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B689B" w14:textId="5B2C6893" w:rsidR="00CB1FD9" w:rsidRDefault="0089705E" w:rsidP="002F3D09">
      <w:pPr>
        <w:spacing w:after="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FA5AA6">
        <w:rPr>
          <w:rFonts w:ascii="Palatino Linotype" w:eastAsia="Palatino Linotype" w:hAnsi="Palatino Linotype" w:cs="Palatino Linotype"/>
          <w:b/>
        </w:rPr>
        <w:t>NOVENA</w:t>
      </w:r>
      <w:r w:rsidR="009D5AF9">
        <w:rPr>
          <w:rFonts w:ascii="Palatino Linotype" w:eastAsia="Palatino Linotype" w:hAnsi="Palatino Linotype" w:cs="Palatino Linotype"/>
          <w:b/>
        </w:rPr>
        <w:t xml:space="preserve"> </w:t>
      </w:r>
      <w:r>
        <w:rPr>
          <w:rFonts w:ascii="Palatino Linotype" w:eastAsia="Palatino Linotype" w:hAnsi="Palatino Linotype" w:cs="Palatino Linotype"/>
          <w:b/>
        </w:rPr>
        <w:t>SE</w:t>
      </w:r>
      <w:r w:rsidR="009D5AF9">
        <w:rPr>
          <w:rFonts w:ascii="Palatino Linotype" w:eastAsia="Palatino Linotype" w:hAnsi="Palatino Linotype" w:cs="Palatino Linotype"/>
          <w:b/>
        </w:rPr>
        <w:t xml:space="preserve">SIÓN ORDINARIA CELEBRADA EL </w:t>
      </w:r>
      <w:r w:rsidR="00FA5AA6">
        <w:rPr>
          <w:rFonts w:ascii="Palatino Linotype" w:eastAsia="Palatino Linotype" w:hAnsi="Palatino Linotype" w:cs="Palatino Linotype"/>
          <w:b/>
        </w:rPr>
        <w:t>DOCE</w:t>
      </w:r>
      <w:r w:rsidR="009D5AF9">
        <w:rPr>
          <w:rFonts w:ascii="Palatino Linotype" w:eastAsia="Palatino Linotype" w:hAnsi="Palatino Linotype" w:cs="Palatino Linotype"/>
          <w:b/>
        </w:rPr>
        <w:t xml:space="preserve"> DE </w:t>
      </w:r>
      <w:r w:rsidR="00FA5AA6">
        <w:rPr>
          <w:rFonts w:ascii="Palatino Linotype" w:eastAsia="Palatino Linotype" w:hAnsi="Palatino Linotype" w:cs="Palatino Linotype"/>
          <w:b/>
        </w:rPr>
        <w:t>MARZO</w:t>
      </w:r>
      <w:r w:rsidR="009D5AF9">
        <w:rPr>
          <w:rFonts w:ascii="Palatino Linotype" w:eastAsia="Palatino Linotype" w:hAnsi="Palatino Linotype" w:cs="Palatino Linotype"/>
          <w:b/>
        </w:rPr>
        <w:t xml:space="preserve"> DE DOS MIL VEINTICINC</w:t>
      </w:r>
      <w:r>
        <w:rPr>
          <w:rFonts w:ascii="Palatino Linotype" w:eastAsia="Palatino Linotype" w:hAnsi="Palatino Linotype" w:cs="Palatino Linotype"/>
          <w:b/>
        </w:rPr>
        <w:t xml:space="preserve">O, EN EL RECURSO DE REVISIÓN </w:t>
      </w:r>
      <w:r w:rsidR="009D5AF9" w:rsidRPr="009D5AF9">
        <w:rPr>
          <w:rFonts w:ascii="Palatino Linotype" w:eastAsia="Palatino Linotype" w:hAnsi="Palatino Linotype" w:cs="Palatino Linotype"/>
          <w:b/>
        </w:rPr>
        <w:t>0</w:t>
      </w:r>
      <w:r w:rsidR="002F3D09">
        <w:rPr>
          <w:rFonts w:ascii="Palatino Linotype" w:eastAsia="Palatino Linotype" w:hAnsi="Palatino Linotype" w:cs="Palatino Linotype"/>
          <w:b/>
        </w:rPr>
        <w:t>0695</w:t>
      </w:r>
      <w:r w:rsidR="00DE645D">
        <w:rPr>
          <w:rFonts w:ascii="Palatino Linotype" w:eastAsia="Palatino Linotype" w:hAnsi="Palatino Linotype" w:cs="Palatino Linotype"/>
          <w:b/>
        </w:rPr>
        <w:t>/INFOEM/IP/RR/2025</w:t>
      </w:r>
      <w:r w:rsidR="00FA5AA6">
        <w:rPr>
          <w:rFonts w:ascii="Palatino Linotype" w:eastAsia="Palatino Linotype" w:hAnsi="Palatino Linotype" w:cs="Palatino Linotype"/>
          <w:b/>
        </w:rPr>
        <w:t xml:space="preserve">. </w:t>
      </w:r>
    </w:p>
    <w:p w14:paraId="519F2930" w14:textId="77777777" w:rsidR="002F3D09" w:rsidRDefault="002F3D09" w:rsidP="002F3D09">
      <w:pPr>
        <w:spacing w:after="0" w:line="360" w:lineRule="auto"/>
        <w:ind w:right="139"/>
        <w:jc w:val="both"/>
        <w:rPr>
          <w:rFonts w:ascii="Palatino Linotype" w:eastAsia="Palatino Linotype" w:hAnsi="Palatino Linotype" w:cs="Palatino Linotype"/>
          <w:b/>
        </w:rPr>
      </w:pPr>
    </w:p>
    <w:p w14:paraId="52A8C884" w14:textId="370FDC8E" w:rsidR="00CB1FD9" w:rsidRDefault="0089705E" w:rsidP="002F3D09">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respe</w:t>
      </w:r>
      <w:r w:rsidR="00A01C7B">
        <w:rPr>
          <w:rFonts w:ascii="Palatino Linotype" w:eastAsia="Palatino Linotype" w:hAnsi="Palatino Linotype" w:cs="Palatino Linotype"/>
        </w:rPr>
        <w:t xml:space="preserve">cto a la resolución dictada en </w:t>
      </w:r>
      <w:r w:rsidR="00A01C7B" w:rsidRPr="00A01C7B">
        <w:rPr>
          <w:rFonts w:ascii="Palatino Linotype" w:eastAsia="Palatino Linotype" w:hAnsi="Palatino Linotype" w:cs="Palatino Linotype"/>
        </w:rPr>
        <w:t>el recurso</w:t>
      </w:r>
      <w:r w:rsidRPr="00A01C7B">
        <w:rPr>
          <w:rFonts w:ascii="Palatino Linotype" w:eastAsia="Palatino Linotype" w:hAnsi="Palatino Linotype" w:cs="Palatino Linotype"/>
        </w:rPr>
        <w:t xml:space="preserve"> de</w:t>
      </w:r>
      <w:r>
        <w:rPr>
          <w:rFonts w:ascii="Palatino Linotype" w:eastAsia="Palatino Linotype" w:hAnsi="Palatino Linotype" w:cs="Palatino Linotype"/>
        </w:rPr>
        <w:t xml:space="preserve"> revisión </w:t>
      </w:r>
      <w:r w:rsidR="009D5AF9" w:rsidRPr="009D5AF9">
        <w:rPr>
          <w:rFonts w:ascii="Palatino Linotype" w:eastAsia="Palatino Linotype" w:hAnsi="Palatino Linotype" w:cs="Palatino Linotype"/>
          <w:b/>
        </w:rPr>
        <w:t>0</w:t>
      </w:r>
      <w:r w:rsidR="002F3D09">
        <w:rPr>
          <w:rFonts w:ascii="Palatino Linotype" w:eastAsia="Palatino Linotype" w:hAnsi="Palatino Linotype" w:cs="Palatino Linotype"/>
          <w:b/>
        </w:rPr>
        <w:t>0695</w:t>
      </w:r>
      <w:r w:rsidR="00DE645D">
        <w:rPr>
          <w:rFonts w:ascii="Palatino Linotype" w:eastAsia="Palatino Linotype" w:hAnsi="Palatino Linotype" w:cs="Palatino Linotype"/>
          <w:b/>
        </w:rPr>
        <w:t>/INFOEM/IP/RR/2025</w:t>
      </w:r>
      <w:r w:rsidR="00FA5AA6">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pronunciada por </w:t>
      </w:r>
      <w:r w:rsidR="00FA5AA6">
        <w:rPr>
          <w:rFonts w:ascii="Palatino Linotype" w:eastAsia="Palatino Linotype" w:hAnsi="Palatino Linotype" w:cs="Palatino Linotype"/>
        </w:rPr>
        <w:t>el</w:t>
      </w:r>
      <w:r>
        <w:rPr>
          <w:rFonts w:ascii="Palatino Linotype" w:eastAsia="Palatino Linotype" w:hAnsi="Palatino Linotype" w:cs="Palatino Linotype"/>
        </w:rPr>
        <w:t xml:space="preserve"> </w:t>
      </w:r>
      <w:r>
        <w:rPr>
          <w:rFonts w:ascii="Palatino Linotype" w:eastAsia="Palatino Linotype" w:hAnsi="Palatino Linotype" w:cs="Palatino Linotype"/>
          <w:b/>
        </w:rPr>
        <w:t>Comisionad</w:t>
      </w:r>
      <w:r w:rsidR="00FA5AA6">
        <w:rPr>
          <w:rFonts w:ascii="Palatino Linotype" w:eastAsia="Palatino Linotype" w:hAnsi="Palatino Linotype" w:cs="Palatino Linotype"/>
          <w:b/>
        </w:rPr>
        <w:t>o</w:t>
      </w:r>
      <w:r>
        <w:rPr>
          <w:rFonts w:ascii="Palatino Linotype" w:eastAsia="Palatino Linotype" w:hAnsi="Palatino Linotype" w:cs="Palatino Linotype"/>
          <w:b/>
        </w:rPr>
        <w:t xml:space="preserve"> </w:t>
      </w:r>
      <w:r w:rsidR="00FA5AA6">
        <w:rPr>
          <w:rFonts w:ascii="Palatino Linotype" w:eastAsia="Palatino Linotype" w:hAnsi="Palatino Linotype" w:cs="Palatino Linotype"/>
          <w:b/>
        </w:rPr>
        <w:t>José Martínez Vilchis</w:t>
      </w:r>
      <w:r>
        <w:rPr>
          <w:rFonts w:ascii="Palatino Linotype" w:eastAsia="Palatino Linotype" w:hAnsi="Palatino Linotype" w:cs="Palatino Linotype"/>
        </w:rPr>
        <w:t xml:space="preserve">, que es del tenor siguiente: </w:t>
      </w:r>
    </w:p>
    <w:p w14:paraId="57377F93" w14:textId="77777777" w:rsidR="002F3D09" w:rsidRDefault="002F3D09" w:rsidP="002F3D09">
      <w:pPr>
        <w:spacing w:after="0" w:line="360" w:lineRule="auto"/>
        <w:ind w:right="139"/>
        <w:jc w:val="both"/>
        <w:rPr>
          <w:rFonts w:ascii="Palatino Linotype" w:eastAsia="Palatino Linotype" w:hAnsi="Palatino Linotype" w:cs="Palatino Linotype"/>
          <w:b/>
        </w:rPr>
      </w:pPr>
    </w:p>
    <w:p w14:paraId="3021515C" w14:textId="77777777" w:rsidR="00CB1FD9" w:rsidRPr="002F3D09" w:rsidRDefault="0089705E" w:rsidP="002F3D09">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1ADE72B7" w14:textId="77777777" w:rsidR="002F3D09" w:rsidRDefault="002F3D09" w:rsidP="002F3D09">
      <w:pPr>
        <w:spacing w:after="0" w:line="360" w:lineRule="auto"/>
        <w:ind w:left="567" w:right="139"/>
        <w:jc w:val="both"/>
        <w:rPr>
          <w:rFonts w:ascii="Palatino Linotype" w:eastAsia="Palatino Linotype" w:hAnsi="Palatino Linotype" w:cs="Palatino Linotype"/>
        </w:rPr>
      </w:pPr>
    </w:p>
    <w:p w14:paraId="093B155C" w14:textId="026C11F7" w:rsidR="00CF61CF" w:rsidRDefault="0089705E" w:rsidP="002F3D09">
      <w:pPr>
        <w:spacing w:after="0" w:line="360" w:lineRule="auto"/>
        <w:jc w:val="both"/>
        <w:rPr>
          <w:rFonts w:ascii="Palatino Linotype" w:eastAsia="Palatino Linotype" w:hAnsi="Palatino Linotype" w:cs="Palatino Linotype"/>
          <w:bCs/>
        </w:rPr>
      </w:pPr>
      <w:r>
        <w:rPr>
          <w:rFonts w:ascii="Palatino Linotype" w:eastAsia="Palatino Linotype" w:hAnsi="Palatino Linotype" w:cs="Palatino Linotype"/>
        </w:rPr>
        <w:t xml:space="preserve">A través de la solicitud de acceso a la información que nos ocupa, la persona solicitante requirió al </w:t>
      </w:r>
      <w:r w:rsidR="00CF61CF">
        <w:rPr>
          <w:rFonts w:ascii="Palatino Linotype" w:eastAsia="Palatino Linotype" w:hAnsi="Palatino Linotype" w:cs="Palatino Linotype"/>
          <w:b/>
        </w:rPr>
        <w:t>Sujeto Obligado</w:t>
      </w:r>
      <w:r w:rsidR="00FA5AA6">
        <w:rPr>
          <w:rFonts w:ascii="Palatino Linotype" w:eastAsia="Palatino Linotype" w:hAnsi="Palatino Linotype" w:cs="Palatino Linotype"/>
          <w:b/>
        </w:rPr>
        <w:t xml:space="preserve"> </w:t>
      </w:r>
      <w:r w:rsidR="00FA5AA6">
        <w:rPr>
          <w:rFonts w:ascii="Palatino Linotype" w:eastAsia="Palatino Linotype" w:hAnsi="Palatino Linotype" w:cs="Palatino Linotype"/>
          <w:bCs/>
        </w:rPr>
        <w:t xml:space="preserve">la siguiente información: </w:t>
      </w:r>
    </w:p>
    <w:p w14:paraId="5AC23612" w14:textId="77777777" w:rsidR="002F3D09" w:rsidRDefault="002F3D09" w:rsidP="002F3D09">
      <w:pPr>
        <w:spacing w:after="0" w:line="360" w:lineRule="auto"/>
        <w:jc w:val="both"/>
        <w:rPr>
          <w:rFonts w:ascii="Palatino Linotype" w:eastAsia="Palatino Linotype" w:hAnsi="Palatino Linotype" w:cs="Palatino Linotype"/>
          <w:bCs/>
        </w:rPr>
      </w:pPr>
    </w:p>
    <w:p w14:paraId="790E3BF0" w14:textId="77777777" w:rsidR="002F3D09" w:rsidRPr="008B31F6" w:rsidRDefault="002F3D09" w:rsidP="002F3D09">
      <w:pPr>
        <w:spacing w:after="0" w:line="276" w:lineRule="auto"/>
        <w:ind w:left="567" w:right="616"/>
        <w:jc w:val="both"/>
        <w:rPr>
          <w:rFonts w:ascii="Palatino Linotype" w:hAnsi="Palatino Linotype"/>
          <w:bCs/>
          <w:i/>
        </w:rPr>
      </w:pPr>
      <w:r w:rsidRPr="00157DDD">
        <w:rPr>
          <w:rFonts w:ascii="Palatino Linotype" w:hAnsi="Palatino Linotype"/>
          <w:bCs/>
          <w:i/>
        </w:rPr>
        <w:t>“</w:t>
      </w:r>
      <w:r w:rsidRPr="00E77604">
        <w:rPr>
          <w:rFonts w:ascii="Palatino Linotype" w:hAnsi="Palatino Linotype"/>
          <w:bCs/>
          <w:i/>
        </w:rPr>
        <w:t>Quisiera solicitar muy amablemente todo el papeleo donde avalan que su administración puede hacer uso de la imagen de su rostro de los niños en redes sociales Hablando de avisos de privacidad formatos de permiso de imagen etc etc Y si no los tienen por que anda publicando los rostros de las personas mayores de edad y sobre todo de menores como se muestra en los archivos adjuntos a esta solicitud De antemano gracias</w:t>
      </w:r>
      <w:r>
        <w:rPr>
          <w:rFonts w:ascii="Palatino Linotype" w:hAnsi="Palatino Linotype"/>
          <w:bCs/>
          <w:i/>
        </w:rPr>
        <w:t xml:space="preserve">” </w:t>
      </w:r>
      <w:r w:rsidRPr="008B31F6">
        <w:rPr>
          <w:rFonts w:ascii="Palatino Linotype" w:hAnsi="Palatino Linotype"/>
          <w:bCs/>
          <w:i/>
        </w:rPr>
        <w:t>(Sic)</w:t>
      </w:r>
    </w:p>
    <w:p w14:paraId="697A2901" w14:textId="58D8CAB7" w:rsidR="002F3D09" w:rsidRDefault="0089705E" w:rsidP="002F3D09">
      <w:pPr>
        <w:spacing w:after="0" w:line="360" w:lineRule="auto"/>
        <w:jc w:val="both"/>
        <w:rPr>
          <w:rStyle w:val="Hipervnculo"/>
          <w:rFonts w:ascii="Palatino Linotype" w:hAnsi="Palatino Linotype"/>
        </w:rPr>
      </w:pPr>
      <w:r w:rsidRPr="002F3D09">
        <w:rPr>
          <w:rFonts w:ascii="Palatino Linotype" w:eastAsia="Palatino Linotype" w:hAnsi="Palatino Linotype" w:cs="Palatino Linotype"/>
        </w:rPr>
        <w:lastRenderedPageBreak/>
        <w:t xml:space="preserve">En respuesta, el </w:t>
      </w:r>
      <w:r w:rsidRPr="002F3D09">
        <w:rPr>
          <w:rFonts w:ascii="Palatino Linotype" w:eastAsia="Palatino Linotype" w:hAnsi="Palatino Linotype" w:cs="Palatino Linotype"/>
          <w:b/>
        </w:rPr>
        <w:t>Sujeto Obligado</w:t>
      </w:r>
      <w:r w:rsidR="00FA5AA6" w:rsidRPr="002F3D09">
        <w:rPr>
          <w:rFonts w:ascii="Palatino Linotype" w:eastAsia="Palatino Linotype" w:hAnsi="Palatino Linotype" w:cs="Palatino Linotype"/>
        </w:rPr>
        <w:t xml:space="preserve"> </w:t>
      </w:r>
      <w:r w:rsidR="002F3D09" w:rsidRPr="002F3D09">
        <w:rPr>
          <w:rFonts w:ascii="Palatino Linotype" w:eastAsia="Palatino Linotype" w:hAnsi="Palatino Linotype" w:cs="Palatino Linotype"/>
        </w:rPr>
        <w:t xml:space="preserve">a través de la Dirección de Comunicación Social del Ayuntamiento de Atizapán informó que, </w:t>
      </w:r>
      <w:r w:rsidR="002F3D09" w:rsidRPr="002F3D09">
        <w:rPr>
          <w:rFonts w:ascii="Palatino Linotype" w:hAnsi="Palatino Linotype"/>
        </w:rPr>
        <w:t xml:space="preserve">es responsable del manejo de la página oficial que difunde información de los actos de gobierno municipal, siendo </w:t>
      </w:r>
      <w:r w:rsidR="002F3D09">
        <w:rPr>
          <w:rFonts w:ascii="Palatino Linotype" w:hAnsi="Palatino Linotype"/>
        </w:rPr>
        <w:t>que</w:t>
      </w:r>
      <w:r w:rsidR="002F3D09" w:rsidRPr="002F3D09">
        <w:rPr>
          <w:rFonts w:ascii="Palatino Linotype" w:hAnsi="Palatino Linotype"/>
        </w:rPr>
        <w:t xml:space="preserve"> la página oficial </w:t>
      </w:r>
      <w:r w:rsidR="002F3D09">
        <w:rPr>
          <w:rFonts w:ascii="Palatino Linotype" w:hAnsi="Palatino Linotype"/>
        </w:rPr>
        <w:t>mediante la cual se</w:t>
      </w:r>
      <w:r w:rsidR="002F3D09" w:rsidRPr="002F3D09">
        <w:rPr>
          <w:rFonts w:ascii="Palatino Linotype" w:hAnsi="Palatino Linotype"/>
        </w:rPr>
        <w:t xml:space="preserve"> difunde información corresponde al siguiente link </w:t>
      </w:r>
      <w:hyperlink r:id="rId8" w:history="1">
        <w:r w:rsidR="002F3D09" w:rsidRPr="002F3D09">
          <w:rPr>
            <w:rStyle w:val="Hipervnculo"/>
            <w:rFonts w:ascii="Palatino Linotype" w:hAnsi="Palatino Linotype"/>
          </w:rPr>
          <w:t>https://www.facebook.com/share/15GCjvtgH1/?mibextid=wwXlfr</w:t>
        </w:r>
      </w:hyperlink>
    </w:p>
    <w:p w14:paraId="7E6E81D4" w14:textId="77777777" w:rsidR="002F3D09" w:rsidRDefault="002F3D09" w:rsidP="002F3D09">
      <w:pPr>
        <w:spacing w:after="0" w:line="360" w:lineRule="auto"/>
        <w:jc w:val="both"/>
        <w:rPr>
          <w:rFonts w:ascii="Palatino" w:hAnsi="Palatino"/>
        </w:rPr>
      </w:pPr>
    </w:p>
    <w:p w14:paraId="347AFA65" w14:textId="58AC0B7F" w:rsidR="002F3D09" w:rsidRDefault="002F3D09" w:rsidP="002F3D09">
      <w:pPr>
        <w:spacing w:after="0" w:line="360" w:lineRule="auto"/>
        <w:jc w:val="both"/>
        <w:rPr>
          <w:rFonts w:ascii="Palatino" w:hAnsi="Palatino"/>
        </w:rPr>
      </w:pPr>
      <w:r w:rsidRPr="002F3D09">
        <w:rPr>
          <w:rFonts w:ascii="Palatino" w:hAnsi="Palatino"/>
        </w:rPr>
        <w:t>As</w:t>
      </w:r>
      <w:r>
        <w:rPr>
          <w:rFonts w:ascii="Palatino" w:hAnsi="Palatino"/>
        </w:rPr>
        <w:t>i</w:t>
      </w:r>
      <w:r w:rsidRPr="002F3D09">
        <w:rPr>
          <w:rFonts w:ascii="Palatino" w:hAnsi="Palatino"/>
        </w:rPr>
        <w:t>mismo</w:t>
      </w:r>
      <w:r>
        <w:rPr>
          <w:rFonts w:ascii="Palatino" w:hAnsi="Palatino"/>
        </w:rPr>
        <w:t xml:space="preserve">, </w:t>
      </w:r>
      <w:r w:rsidRPr="002F3D09">
        <w:rPr>
          <w:rFonts w:ascii="Palatino" w:hAnsi="Palatino"/>
        </w:rPr>
        <w:t>anex</w:t>
      </w:r>
      <w:r>
        <w:rPr>
          <w:rFonts w:ascii="Palatino" w:hAnsi="Palatino"/>
        </w:rPr>
        <w:t>ó</w:t>
      </w:r>
      <w:r w:rsidRPr="002F3D09">
        <w:rPr>
          <w:rFonts w:ascii="Palatino" w:hAnsi="Palatino"/>
        </w:rPr>
        <w:t xml:space="preserve"> el aviso de privacidad del </w:t>
      </w:r>
      <w:r>
        <w:rPr>
          <w:rFonts w:ascii="Palatino" w:hAnsi="Palatino"/>
        </w:rPr>
        <w:t>S</w:t>
      </w:r>
      <w:r w:rsidRPr="002F3D09">
        <w:rPr>
          <w:rFonts w:ascii="Palatino" w:hAnsi="Palatino"/>
        </w:rPr>
        <w:t xml:space="preserve">ujeto </w:t>
      </w:r>
      <w:r>
        <w:rPr>
          <w:rFonts w:ascii="Palatino" w:hAnsi="Palatino"/>
        </w:rPr>
        <w:t>O</w:t>
      </w:r>
      <w:r w:rsidRPr="002F3D09">
        <w:rPr>
          <w:rFonts w:ascii="Palatino" w:hAnsi="Palatino"/>
        </w:rPr>
        <w:t>bligado</w:t>
      </w:r>
      <w:r>
        <w:rPr>
          <w:rFonts w:ascii="Palatino" w:hAnsi="Palatino"/>
        </w:rPr>
        <w:t xml:space="preserve">. </w:t>
      </w:r>
    </w:p>
    <w:p w14:paraId="42D8D512" w14:textId="77777777" w:rsidR="002F3D09" w:rsidRDefault="002F3D09" w:rsidP="002F3D09">
      <w:pPr>
        <w:spacing w:after="0" w:line="360" w:lineRule="auto"/>
        <w:jc w:val="both"/>
        <w:rPr>
          <w:rFonts w:ascii="Palatino" w:hAnsi="Palatino"/>
        </w:rPr>
      </w:pPr>
    </w:p>
    <w:p w14:paraId="3ADB75FB" w14:textId="1013BE45" w:rsidR="002F3D09" w:rsidRDefault="002F3D09" w:rsidP="002F3D09">
      <w:pPr>
        <w:spacing w:after="0" w:line="360" w:lineRule="auto"/>
        <w:jc w:val="both"/>
        <w:rPr>
          <w:rFonts w:ascii="Palatino" w:hAnsi="Palatino"/>
          <w:i/>
          <w:iCs/>
        </w:rPr>
      </w:pPr>
      <w:r>
        <w:rPr>
          <w:rFonts w:ascii="Palatino" w:hAnsi="Palatino"/>
        </w:rPr>
        <w:t xml:space="preserve">Derivado de ello, la parte Recurrente se inconformó señalando a la literalidad lo siguiente </w:t>
      </w:r>
      <w:r w:rsidRPr="002F3D09">
        <w:rPr>
          <w:rFonts w:ascii="Palatino" w:hAnsi="Palatino"/>
          <w:i/>
          <w:iCs/>
        </w:rPr>
        <w:t>“No da respuesta”</w:t>
      </w:r>
      <w:r>
        <w:rPr>
          <w:rFonts w:ascii="Palatino" w:hAnsi="Palatino"/>
          <w:i/>
          <w:iCs/>
        </w:rPr>
        <w:t>.</w:t>
      </w:r>
    </w:p>
    <w:p w14:paraId="06542D7C" w14:textId="77777777" w:rsidR="002F3D09" w:rsidRPr="002F3D09" w:rsidRDefault="002F3D09" w:rsidP="002F3D09">
      <w:pPr>
        <w:spacing w:after="0" w:line="360" w:lineRule="auto"/>
        <w:jc w:val="both"/>
        <w:rPr>
          <w:rFonts w:ascii="Palatino" w:hAnsi="Palatino"/>
        </w:rPr>
      </w:pPr>
    </w:p>
    <w:p w14:paraId="148732B3" w14:textId="26AE2F9E" w:rsidR="008B324B" w:rsidRDefault="0089705E" w:rsidP="002F3D0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el Instituto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fundados, y determinó </w:t>
      </w:r>
      <w:r w:rsidR="002F3D09">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para ordenar la entrega de</w:t>
      </w:r>
      <w:r w:rsidR="008B324B">
        <w:rPr>
          <w:rFonts w:ascii="Palatino Linotype" w:eastAsia="Palatino Linotype" w:hAnsi="Palatino Linotype" w:cs="Palatino Linotype"/>
        </w:rPr>
        <w:t xml:space="preserve"> la siguiente información:</w:t>
      </w:r>
    </w:p>
    <w:p w14:paraId="5DF51037" w14:textId="77777777" w:rsidR="002F3D09" w:rsidRDefault="002F3D09" w:rsidP="002F3D09">
      <w:pPr>
        <w:spacing w:after="0" w:line="360" w:lineRule="auto"/>
        <w:jc w:val="both"/>
        <w:rPr>
          <w:rFonts w:ascii="Palatino Linotype" w:eastAsia="Palatino Linotype" w:hAnsi="Palatino Linotype" w:cs="Palatino Linotype"/>
        </w:rPr>
      </w:pPr>
    </w:p>
    <w:p w14:paraId="6A179C22" w14:textId="77777777" w:rsidR="002F3D09" w:rsidRPr="002F3D09" w:rsidRDefault="008B324B" w:rsidP="002F3D09">
      <w:pPr>
        <w:spacing w:after="0" w:line="276" w:lineRule="auto"/>
        <w:ind w:left="567" w:right="616"/>
        <w:jc w:val="both"/>
        <w:rPr>
          <w:rFonts w:ascii="Palatino Linotype" w:hAnsi="Palatino Linotype" w:cs="Arial"/>
          <w:i/>
        </w:rPr>
      </w:pPr>
      <w:r w:rsidRPr="002F3D09">
        <w:rPr>
          <w:rFonts w:ascii="Palatino Linotype" w:eastAsia="Palatino Linotype" w:hAnsi="Palatino Linotype" w:cs="Palatino Linotype"/>
          <w:b/>
          <w:i/>
          <w:lang w:val="it-IT"/>
        </w:rPr>
        <w:t>“</w:t>
      </w:r>
      <w:r w:rsidR="002F3D09" w:rsidRPr="002F3D09">
        <w:rPr>
          <w:rFonts w:ascii="Palatino Linotype" w:hAnsi="Palatino Linotype" w:cs="Arial"/>
          <w:b/>
          <w:i/>
        </w:rPr>
        <w:t>PRIMERO</w:t>
      </w:r>
      <w:r w:rsidR="002F3D09" w:rsidRPr="002F3D09">
        <w:rPr>
          <w:rFonts w:ascii="Palatino Linotype" w:hAnsi="Palatino Linotype" w:cs="Arial"/>
          <w:i/>
        </w:rPr>
        <w:t>. Se</w:t>
      </w:r>
      <w:r w:rsidR="002F3D09" w:rsidRPr="002F3D09">
        <w:rPr>
          <w:rFonts w:ascii="Palatino Linotype" w:hAnsi="Palatino Linotype" w:cs="Arial"/>
          <w:b/>
          <w:i/>
        </w:rPr>
        <w:t xml:space="preserve"> REVOCA </w:t>
      </w:r>
      <w:r w:rsidR="002F3D09" w:rsidRPr="002F3D09">
        <w:rPr>
          <w:rFonts w:ascii="Palatino Linotype" w:hAnsi="Palatino Linotype" w:cs="Arial"/>
          <w:i/>
        </w:rPr>
        <w:t xml:space="preserve">la respuesta del </w:t>
      </w:r>
      <w:r w:rsidR="002F3D09" w:rsidRPr="002F3D09">
        <w:rPr>
          <w:rFonts w:ascii="Palatino Linotype" w:hAnsi="Palatino Linotype" w:cs="Arial"/>
          <w:b/>
          <w:i/>
        </w:rPr>
        <w:t>Sujeto Obligado</w:t>
      </w:r>
      <w:r w:rsidR="002F3D09" w:rsidRPr="002F3D09">
        <w:rPr>
          <w:rFonts w:ascii="Palatino Linotype" w:hAnsi="Palatino Linotype" w:cs="Arial"/>
          <w:i/>
        </w:rPr>
        <w:t xml:space="preserve"> a la solicitud de acceso a la información pública</w:t>
      </w:r>
      <w:r w:rsidR="002F3D09" w:rsidRPr="002F3D09">
        <w:rPr>
          <w:rFonts w:ascii="Palatino Linotype" w:hAnsi="Palatino Linotype" w:cs="Arial"/>
          <w:b/>
          <w:i/>
        </w:rPr>
        <w:t xml:space="preserve"> </w:t>
      </w:r>
      <w:r w:rsidR="002F3D09" w:rsidRPr="002F3D09">
        <w:rPr>
          <w:rFonts w:ascii="Palatino Linotype" w:hAnsi="Palatino Linotype"/>
          <w:b/>
          <w:bCs/>
          <w:i/>
        </w:rPr>
        <w:t>00007/ATIZAPAN/IP/2025</w:t>
      </w:r>
      <w:r w:rsidR="002F3D09" w:rsidRPr="002F3D09">
        <w:rPr>
          <w:rFonts w:ascii="Palatino Linotype" w:hAnsi="Palatino Linotype" w:cs="Arial"/>
          <w:i/>
        </w:rPr>
        <w:t>,</w:t>
      </w:r>
      <w:r w:rsidR="002F3D09" w:rsidRPr="002F3D09">
        <w:rPr>
          <w:rFonts w:ascii="Palatino Linotype" w:hAnsi="Palatino Linotype" w:cs="Tahoma"/>
          <w:b/>
          <w:i/>
        </w:rPr>
        <w:t xml:space="preserve"> </w:t>
      </w:r>
      <w:r w:rsidR="002F3D09" w:rsidRPr="002F3D09">
        <w:rPr>
          <w:rFonts w:ascii="Palatino Linotype" w:hAnsi="Palatino Linotype" w:cs="Arial"/>
          <w:i/>
        </w:rPr>
        <w:t>por resultar fundados</w:t>
      </w:r>
      <w:r w:rsidR="002F3D09" w:rsidRPr="002F3D09">
        <w:rPr>
          <w:rFonts w:ascii="Palatino Linotype" w:hAnsi="Palatino Linotype" w:cs="Arial"/>
          <w:b/>
          <w:i/>
        </w:rPr>
        <w:t xml:space="preserve"> </w:t>
      </w:r>
      <w:r w:rsidR="002F3D09" w:rsidRPr="002F3D09">
        <w:rPr>
          <w:rFonts w:ascii="Palatino Linotype" w:hAnsi="Palatino Linotype" w:cs="Arial"/>
          <w:i/>
        </w:rPr>
        <w:t xml:space="preserve">los motivos de inconformidad vertidos por la parte </w:t>
      </w:r>
      <w:r w:rsidR="002F3D09" w:rsidRPr="002F3D09">
        <w:rPr>
          <w:rFonts w:ascii="Palatino Linotype" w:hAnsi="Palatino Linotype" w:cs="Arial"/>
          <w:b/>
          <w:i/>
        </w:rPr>
        <w:t>Recurrente</w:t>
      </w:r>
      <w:r w:rsidR="002F3D09" w:rsidRPr="002F3D09">
        <w:rPr>
          <w:rFonts w:ascii="Palatino Linotype" w:hAnsi="Palatino Linotype" w:cs="Arial"/>
          <w:i/>
        </w:rPr>
        <w:t>, en términos del considerando</w:t>
      </w:r>
      <w:r w:rsidR="002F3D09" w:rsidRPr="002F3D09">
        <w:rPr>
          <w:rFonts w:ascii="Palatino Linotype" w:hAnsi="Palatino Linotype" w:cs="Arial"/>
          <w:b/>
          <w:i/>
        </w:rPr>
        <w:t xml:space="preserve"> CUARTO </w:t>
      </w:r>
      <w:r w:rsidR="002F3D09" w:rsidRPr="002F3D09">
        <w:rPr>
          <w:rFonts w:ascii="Palatino Linotype" w:hAnsi="Palatino Linotype" w:cs="Arial"/>
          <w:i/>
        </w:rPr>
        <w:t>de la presente Resolución.</w:t>
      </w:r>
    </w:p>
    <w:p w14:paraId="26CDBEF0" w14:textId="77777777" w:rsidR="002F3D09" w:rsidRPr="002F3D09" w:rsidRDefault="002F3D09" w:rsidP="002F3D09">
      <w:pPr>
        <w:spacing w:after="0" w:line="276" w:lineRule="auto"/>
        <w:ind w:left="567" w:right="616"/>
        <w:jc w:val="both"/>
        <w:rPr>
          <w:rFonts w:ascii="Palatino Linotype" w:hAnsi="Palatino Linotype" w:cs="Arial"/>
          <w:i/>
        </w:rPr>
      </w:pPr>
    </w:p>
    <w:p w14:paraId="3E22B6F5" w14:textId="77777777" w:rsidR="002F3D09" w:rsidRPr="002F3D09" w:rsidRDefault="002F3D09" w:rsidP="002F3D09">
      <w:pPr>
        <w:spacing w:after="0" w:line="276" w:lineRule="auto"/>
        <w:ind w:left="567" w:right="616"/>
        <w:jc w:val="both"/>
        <w:rPr>
          <w:rFonts w:ascii="Palatino Linotype" w:hAnsi="Palatino Linotype" w:cs="Tahoma"/>
          <w:i/>
        </w:rPr>
      </w:pPr>
      <w:r w:rsidRPr="002F3D09">
        <w:rPr>
          <w:rFonts w:ascii="Palatino Linotype" w:hAnsi="Palatino Linotype" w:cs="Arial"/>
          <w:b/>
          <w:i/>
        </w:rPr>
        <w:t>SEGUNDO.</w:t>
      </w:r>
      <w:r w:rsidRPr="002F3D09">
        <w:rPr>
          <w:rFonts w:ascii="Palatino Linotype" w:hAnsi="Palatino Linotype" w:cs="Tahoma"/>
          <w:i/>
        </w:rPr>
        <w:t xml:space="preserve"> Se </w:t>
      </w:r>
      <w:r w:rsidRPr="002F3D09">
        <w:rPr>
          <w:rFonts w:ascii="Palatino Linotype" w:hAnsi="Palatino Linotype" w:cs="Tahoma"/>
          <w:b/>
          <w:i/>
        </w:rPr>
        <w:t>ORDENA</w:t>
      </w:r>
      <w:r w:rsidRPr="002F3D09">
        <w:rPr>
          <w:rFonts w:ascii="Palatino Linotype" w:hAnsi="Palatino Linotype" w:cs="Tahoma"/>
          <w:i/>
        </w:rPr>
        <w:t xml:space="preserve"> al </w:t>
      </w:r>
      <w:r w:rsidRPr="002F3D09">
        <w:rPr>
          <w:rFonts w:ascii="Palatino Linotype" w:hAnsi="Palatino Linotype" w:cs="Tahoma"/>
          <w:b/>
          <w:i/>
        </w:rPr>
        <w:t>Sujeto Obligado,</w:t>
      </w:r>
      <w:r w:rsidRPr="002F3D09">
        <w:rPr>
          <w:rFonts w:ascii="Palatino Linotype" w:hAnsi="Palatino Linotype" w:cs="Tahoma"/>
          <w:i/>
        </w:rPr>
        <w:t xml:space="preserve"> haga entrega a la parte </w:t>
      </w:r>
      <w:r w:rsidRPr="002F3D09">
        <w:rPr>
          <w:rFonts w:ascii="Palatino Linotype" w:hAnsi="Palatino Linotype" w:cs="Tahoma"/>
          <w:b/>
          <w:i/>
        </w:rPr>
        <w:t>Recurrente</w:t>
      </w:r>
      <w:r w:rsidRPr="002F3D09">
        <w:rPr>
          <w:rFonts w:ascii="Palatino Linotype" w:hAnsi="Palatino Linotype" w:cs="Tahoma"/>
          <w:i/>
        </w:rPr>
        <w:t>, previa búsqueda exhaustiva y razonable, a través del Sistema de Acceso a la Información Mexiquense (</w:t>
      </w:r>
      <w:r w:rsidRPr="002F3D09">
        <w:rPr>
          <w:rFonts w:ascii="Palatino Linotype" w:hAnsi="Palatino Linotype" w:cs="Tahoma"/>
          <w:b/>
          <w:i/>
        </w:rPr>
        <w:t>SAIMEX</w:t>
      </w:r>
      <w:r w:rsidRPr="002F3D09">
        <w:rPr>
          <w:rFonts w:ascii="Palatino Linotype" w:hAnsi="Palatino Linotype" w:cs="Tahoma"/>
          <w:i/>
        </w:rPr>
        <w:t>), en versión pública de ser procedente, relacionados con el evento de Día de Reyes 2025 y generados a la fecha de la solicitud, de lo siguiente:</w:t>
      </w:r>
    </w:p>
    <w:p w14:paraId="54D1B091" w14:textId="77777777" w:rsidR="002F3D09" w:rsidRPr="002F3D09" w:rsidRDefault="002F3D09" w:rsidP="002F3D09">
      <w:pPr>
        <w:pStyle w:val="INFOEM"/>
        <w:numPr>
          <w:ilvl w:val="0"/>
          <w:numId w:val="10"/>
        </w:numPr>
        <w:spacing w:before="0" w:after="0" w:line="276" w:lineRule="auto"/>
        <w:ind w:left="567" w:right="616"/>
        <w:rPr>
          <w:szCs w:val="22"/>
        </w:rPr>
      </w:pPr>
      <w:r w:rsidRPr="002F3D09">
        <w:rPr>
          <w:rFonts w:cs="Tahoma"/>
          <w:bCs/>
          <w:szCs w:val="22"/>
        </w:rPr>
        <w:t xml:space="preserve">Avisos de privacidad. </w:t>
      </w:r>
    </w:p>
    <w:p w14:paraId="0B6F832B" w14:textId="77777777" w:rsidR="002F3D09" w:rsidRPr="002F3D09" w:rsidRDefault="002F3D09" w:rsidP="002F3D09">
      <w:pPr>
        <w:pStyle w:val="INFOEM"/>
        <w:numPr>
          <w:ilvl w:val="0"/>
          <w:numId w:val="10"/>
        </w:numPr>
        <w:spacing w:before="0" w:after="0" w:line="276" w:lineRule="auto"/>
        <w:ind w:left="567" w:right="616"/>
        <w:rPr>
          <w:szCs w:val="22"/>
        </w:rPr>
      </w:pPr>
      <w:r w:rsidRPr="002F3D09">
        <w:rPr>
          <w:rFonts w:cs="Tahoma"/>
          <w:bCs/>
          <w:szCs w:val="22"/>
        </w:rPr>
        <w:t xml:space="preserve">Documentos donde conste el consentimiento firmado por los tutores legales de los menores referidos en la solicitud. </w:t>
      </w:r>
    </w:p>
    <w:p w14:paraId="1CE16074" w14:textId="68278AF4" w:rsidR="008B324B" w:rsidRDefault="002F3D09" w:rsidP="002F3D09">
      <w:pPr>
        <w:pStyle w:val="Citas"/>
        <w:spacing w:before="0" w:after="0" w:line="276" w:lineRule="auto"/>
        <w:ind w:left="567" w:right="616"/>
        <w:rPr>
          <w:rFonts w:eastAsia="Palatino Linotype" w:cs="Palatino Linotype"/>
        </w:rPr>
      </w:pPr>
      <w:r w:rsidRPr="002F3D09">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r w:rsidR="00551C41" w:rsidRPr="002F3D09">
        <w:rPr>
          <w:rFonts w:eastAsia="Palatino Linotype" w:cs="Palatino Linotype"/>
        </w:rPr>
        <w:t xml:space="preserve">. </w:t>
      </w:r>
      <w:r w:rsidR="008B324B" w:rsidRPr="002F3D09">
        <w:rPr>
          <w:rFonts w:eastAsia="Palatino Linotype" w:cs="Palatino Linotype"/>
        </w:rPr>
        <w:t>”</w:t>
      </w:r>
    </w:p>
    <w:p w14:paraId="2E8D09C5" w14:textId="7C136F24" w:rsidR="002F3D09" w:rsidRDefault="0029732F" w:rsidP="002F3D09">
      <w:pPr>
        <w:pStyle w:val="Citas"/>
        <w:spacing w:before="0" w:after="0" w:line="276" w:lineRule="auto"/>
        <w:ind w:left="567" w:right="616"/>
      </w:pPr>
      <w:r>
        <w:t>…</w:t>
      </w:r>
    </w:p>
    <w:p w14:paraId="40EDF46C" w14:textId="5114C972" w:rsidR="0029732F" w:rsidRDefault="0029732F" w:rsidP="002F3D09">
      <w:pPr>
        <w:pStyle w:val="Citas"/>
        <w:spacing w:before="0" w:after="0" w:line="276" w:lineRule="auto"/>
        <w:ind w:left="567" w:right="616"/>
      </w:pPr>
      <w:r w:rsidRPr="0029732F">
        <w:rPr>
          <w:b/>
          <w:bCs/>
        </w:rPr>
        <w:t>SEXTO. GÍRESE</w:t>
      </w:r>
      <w:r w:rsidRPr="0029732F">
        <w:t xml:space="preserve"> oficio al Titular de la Dirección General de Protección de Datos Personales, en atención al artículo 24 del Reglamento Interior del Instituto de Transparencia, Acceso a la Información Pública y Protección de Datos Personales del Estado de México y Municipios, en términos del Considerando CUARTO de la presente resolución.</w:t>
      </w:r>
    </w:p>
    <w:p w14:paraId="64A98634" w14:textId="77777777" w:rsidR="0029732F" w:rsidRPr="002F3D09" w:rsidRDefault="0029732F" w:rsidP="002F3D09">
      <w:pPr>
        <w:pStyle w:val="Citas"/>
        <w:spacing w:before="0" w:after="0" w:line="276" w:lineRule="auto"/>
        <w:ind w:left="567" w:right="616"/>
      </w:pPr>
    </w:p>
    <w:p w14:paraId="5C97D8BD" w14:textId="77777777" w:rsidR="00CB1FD9" w:rsidRPr="002F3D09" w:rsidRDefault="0089705E" w:rsidP="002F3D09">
      <w:pPr>
        <w:numPr>
          <w:ilvl w:val="0"/>
          <w:numId w:val="1"/>
        </w:numPr>
        <w:pBdr>
          <w:top w:val="nil"/>
          <w:left w:val="nil"/>
          <w:bottom w:val="nil"/>
          <w:right w:val="nil"/>
          <w:between w:val="nil"/>
        </w:pBdr>
        <w:spacing w:after="0" w:line="360" w:lineRule="auto"/>
        <w:ind w:left="567" w:right="139" w:hanging="425"/>
        <w:jc w:val="both"/>
        <w:rPr>
          <w:rFonts w:ascii="Palatino Linotype" w:eastAsia="Palatino Linotype" w:hAnsi="Palatino Linotype" w:cs="Palatino Linotype"/>
          <w:szCs w:val="24"/>
        </w:rPr>
      </w:pPr>
      <w:r w:rsidRPr="009D5AF9">
        <w:rPr>
          <w:rFonts w:ascii="Palatino Linotype" w:eastAsia="Palatino Linotype" w:hAnsi="Palatino Linotype" w:cs="Palatino Linotype"/>
          <w:b/>
          <w:szCs w:val="24"/>
        </w:rPr>
        <w:t xml:space="preserve">Razones del Voto Particular. </w:t>
      </w:r>
    </w:p>
    <w:p w14:paraId="27803582" w14:textId="77777777" w:rsidR="002F3D09" w:rsidRPr="009D5AF9" w:rsidRDefault="002F3D09" w:rsidP="002F3D09">
      <w:pPr>
        <w:pBdr>
          <w:top w:val="nil"/>
          <w:left w:val="nil"/>
          <w:bottom w:val="nil"/>
          <w:right w:val="nil"/>
          <w:between w:val="nil"/>
        </w:pBdr>
        <w:spacing w:after="0" w:line="360" w:lineRule="auto"/>
        <w:ind w:left="567" w:right="139"/>
        <w:jc w:val="both"/>
        <w:rPr>
          <w:rFonts w:ascii="Palatino Linotype" w:eastAsia="Palatino Linotype" w:hAnsi="Palatino Linotype" w:cs="Palatino Linotype"/>
          <w:szCs w:val="24"/>
        </w:rPr>
      </w:pPr>
    </w:p>
    <w:p w14:paraId="4862AEC4" w14:textId="01960A8C" w:rsidR="00CB1FD9" w:rsidRDefault="0029732F" w:rsidP="002F3D09">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Al respecto, es preciso mencionar que, si bien se comparte el sentido de la Resolución emitida, no coincid</w:t>
      </w:r>
      <w:r w:rsidR="00963B48">
        <w:rPr>
          <w:rFonts w:ascii="Palatino Linotype" w:eastAsia="Palatino Linotype" w:hAnsi="Palatino Linotype" w:cs="Palatino Linotype"/>
        </w:rPr>
        <w:t>o</w:t>
      </w:r>
      <w:r>
        <w:rPr>
          <w:rFonts w:ascii="Palatino Linotype" w:eastAsia="Palatino Linotype" w:hAnsi="Palatino Linotype" w:cs="Palatino Linotype"/>
        </w:rPr>
        <w:t xml:space="preserve"> en el sentido de dar vista al área de Datos Personales de este Organismo Garante, esto debido a que, en el estudio la Ponencia resolutora señaló que, el Presidente Municipal mediante la red  social denominada Facebook difundió el festejo con motivo del Día de Reyes en la que se observan particulares, entre ellos, menores de edad, por lo que, la imagen de particulares así como de menores de edad, es un dato personal que debe ser protegido, ya que los hace identificables. </w:t>
      </w:r>
    </w:p>
    <w:p w14:paraId="0DD2E000" w14:textId="77777777" w:rsidR="0029732F" w:rsidRDefault="0029732F" w:rsidP="002F3D09">
      <w:pPr>
        <w:spacing w:after="0" w:line="360" w:lineRule="auto"/>
        <w:ind w:right="142"/>
        <w:jc w:val="both"/>
        <w:rPr>
          <w:rFonts w:ascii="Palatino Linotype" w:eastAsia="Palatino Linotype" w:hAnsi="Palatino Linotype" w:cs="Palatino Linotype"/>
        </w:rPr>
      </w:pPr>
    </w:p>
    <w:p w14:paraId="7D148BE9" w14:textId="7A220109" w:rsidR="0029732F" w:rsidRDefault="0029732F" w:rsidP="002F3D09">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En ese sentido, consider</w:t>
      </w:r>
      <w:r w:rsidR="003A1E8D">
        <w:rPr>
          <w:rFonts w:ascii="Palatino Linotype" w:eastAsia="Palatino Linotype" w:hAnsi="Palatino Linotype" w:cs="Palatino Linotype"/>
        </w:rPr>
        <w:t>ó</w:t>
      </w:r>
      <w:r>
        <w:rPr>
          <w:rFonts w:ascii="Palatino Linotype" w:eastAsia="Palatino Linotype" w:hAnsi="Palatino Linotype" w:cs="Palatino Linotype"/>
        </w:rPr>
        <w:t xml:space="preserve"> procedente girar oficio al Titular de la Dirección General de Protección de Datos Personales con la finalidad de que determinara lo que a derecho procediera. </w:t>
      </w:r>
    </w:p>
    <w:p w14:paraId="3D19307B" w14:textId="77777777" w:rsidR="0029732F" w:rsidRDefault="0029732F" w:rsidP="002F3D09">
      <w:pPr>
        <w:spacing w:after="0" w:line="360" w:lineRule="auto"/>
        <w:ind w:right="142"/>
        <w:jc w:val="both"/>
        <w:rPr>
          <w:rFonts w:ascii="Palatino Linotype" w:eastAsia="Palatino Linotype" w:hAnsi="Palatino Linotype" w:cs="Palatino Linotype"/>
        </w:rPr>
      </w:pPr>
    </w:p>
    <w:p w14:paraId="7A174D5A" w14:textId="6FCE58DC" w:rsidR="0029732F" w:rsidRDefault="0029732F" w:rsidP="002F3D09">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el estudio de la Ponencia Resolutora fue tendiente a que la información proporcionada por el Sujeto Obligado no satisfizo el requerimiento del particular, situación por la que determinó ordenar los avisos de privacidad y los consentimientos firmados por los tutores legales de los menores. </w:t>
      </w:r>
    </w:p>
    <w:p w14:paraId="11F516D0" w14:textId="77777777" w:rsidR="0029732F" w:rsidRDefault="0029732F" w:rsidP="002F3D09">
      <w:pPr>
        <w:spacing w:after="0" w:line="360" w:lineRule="auto"/>
        <w:ind w:right="142"/>
        <w:jc w:val="both"/>
        <w:rPr>
          <w:rFonts w:ascii="Palatino Linotype" w:eastAsia="Palatino Linotype" w:hAnsi="Palatino Linotype" w:cs="Palatino Linotype"/>
        </w:rPr>
      </w:pPr>
    </w:p>
    <w:p w14:paraId="74795B22" w14:textId="4E19619B" w:rsidR="0029732F" w:rsidRDefault="0029732F" w:rsidP="002F3D09">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Es decir, la Ponencia Resolutora determinó ordenar previa búsqueda exhaustiva y razonable la información solicitada, lo que nos lleva a señalar que a ese momento, se desconocía si el Sujeto Obligado contaba o no con la información, es decir, si contaba o no con los consentimientos necesarios para hacer uso de las imágenes de menores en sus redes sociales. </w:t>
      </w:r>
    </w:p>
    <w:p w14:paraId="420B9551" w14:textId="77777777" w:rsidR="0029732F" w:rsidRDefault="0029732F" w:rsidP="002F3D09">
      <w:pPr>
        <w:spacing w:after="0" w:line="360" w:lineRule="auto"/>
        <w:ind w:right="142"/>
        <w:jc w:val="both"/>
        <w:rPr>
          <w:rFonts w:ascii="Palatino Linotype" w:eastAsia="Palatino Linotype" w:hAnsi="Palatino Linotype" w:cs="Palatino Linotype"/>
        </w:rPr>
      </w:pPr>
    </w:p>
    <w:p w14:paraId="3E4A4BEC" w14:textId="69D3000B" w:rsidR="0029732F" w:rsidRDefault="0029732F" w:rsidP="002F3D09">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debido a que, existe la posibilidad de que el Sujeto Obligado cuente con la información requerida es que resulta improcedente determinar ordenar dar vista a la Dirección General de Datos Personales, pues el Sujeto Obligado aún no ha incurrido en alguna falta (hasta ese momento procesal). </w:t>
      </w:r>
    </w:p>
    <w:p w14:paraId="7463417F" w14:textId="77777777" w:rsidR="0029732F" w:rsidRDefault="0029732F" w:rsidP="002F3D09">
      <w:pPr>
        <w:spacing w:after="0" w:line="360" w:lineRule="auto"/>
        <w:ind w:right="142"/>
        <w:jc w:val="both"/>
        <w:rPr>
          <w:rFonts w:ascii="Palatino Linotype" w:eastAsia="Palatino Linotype" w:hAnsi="Palatino Linotype" w:cs="Palatino Linotype"/>
        </w:rPr>
      </w:pPr>
    </w:p>
    <w:p w14:paraId="5E4DD28F" w14:textId="353291A9" w:rsidR="0029732F" w:rsidRDefault="0029732F" w:rsidP="002F3D09">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Es así que, se considera que, la Ponencia Resolutora carece de elementos suficientes que justifiquen ordenar dar vista a la Dirección General de Datos Personales y, desde mi perspectiva, considero que no es suficiente el que se hayan encontrado publicaciones en una red social para señalar que el Sujeto Obligado está realizando un uso inadecuado de la imagen de los ciudadanos</w:t>
      </w:r>
      <w:r w:rsidR="00963B48">
        <w:rPr>
          <w:rFonts w:ascii="Palatino Linotype" w:eastAsia="Palatino Linotype" w:hAnsi="Palatino Linotype" w:cs="Palatino Linotype"/>
        </w:rPr>
        <w:t xml:space="preserve">, situación que se interpreta de la resolución aprobada y la cual es objeto de mi voto. </w:t>
      </w:r>
    </w:p>
    <w:p w14:paraId="50B9AF12" w14:textId="77777777" w:rsidR="0079531D" w:rsidRDefault="0079531D" w:rsidP="002F3D09">
      <w:pPr>
        <w:spacing w:after="0" w:line="360" w:lineRule="auto"/>
        <w:jc w:val="both"/>
        <w:rPr>
          <w:rFonts w:ascii="Palatino Linotype" w:eastAsia="Palatino Linotype" w:hAnsi="Palatino Linotype" w:cs="Palatino Linotype"/>
        </w:rPr>
      </w:pPr>
    </w:p>
    <w:p w14:paraId="475E5FB8" w14:textId="5B6AEE84" w:rsidR="0079531D" w:rsidRPr="0079531D" w:rsidRDefault="0079531D" w:rsidP="00963B48">
      <w:pPr>
        <w:tabs>
          <w:tab w:val="left" w:pos="4962"/>
        </w:tabs>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w:t>
      </w:r>
      <w:r w:rsidR="00963B48">
        <w:rPr>
          <w:rFonts w:ascii="Palatino Linotype" w:eastAsia="Palatino Linotype" w:hAnsi="Palatino Linotype" w:cs="Palatino Linotype"/>
          <w:b/>
        </w:rPr>
        <w:t>que se carecen de elementos suficientes para determinar ordenar dar Vista a la Dirección General de Datos Personales.</w:t>
      </w:r>
    </w:p>
    <w:p w14:paraId="0A8B0291" w14:textId="77777777" w:rsidR="0079531D" w:rsidRDefault="0079531D" w:rsidP="002F3D09">
      <w:pPr>
        <w:spacing w:after="0" w:line="360" w:lineRule="auto"/>
        <w:jc w:val="both"/>
        <w:rPr>
          <w:rFonts w:ascii="Palatino Linotype" w:eastAsia="Palatino Linotype" w:hAnsi="Palatino Linotype" w:cs="Palatino Linotype"/>
          <w:b/>
        </w:rPr>
      </w:pPr>
    </w:p>
    <w:p w14:paraId="11EE3DA9" w14:textId="77777777" w:rsidR="0079531D" w:rsidRPr="0079531D" w:rsidRDefault="0079531D" w:rsidP="002F3D09">
      <w:pPr>
        <w:pStyle w:val="Prrafodelista"/>
        <w:numPr>
          <w:ilvl w:val="0"/>
          <w:numId w:val="5"/>
        </w:numPr>
        <w:spacing w:line="360" w:lineRule="auto"/>
        <w:jc w:val="both"/>
        <w:rPr>
          <w:rFonts w:ascii="Palatino Linotype" w:eastAsia="Palatino Linotype" w:hAnsi="Palatino Linotype" w:cs="Palatino Linotype"/>
        </w:rPr>
        <w:sectPr w:rsidR="0079531D" w:rsidRPr="0079531D">
          <w:headerReference w:type="default" r:id="rId9"/>
          <w:footerReference w:type="default" r:id="rId10"/>
          <w:pgSz w:w="12240" w:h="15840"/>
          <w:pgMar w:top="2438" w:right="1701" w:bottom="2778" w:left="1701" w:header="1134" w:footer="1134" w:gutter="0"/>
          <w:pgNumType w:start="1"/>
          <w:cols w:space="720"/>
        </w:sectPr>
      </w:pPr>
    </w:p>
    <w:p w14:paraId="7BC02CB8" w14:textId="77777777" w:rsidR="00CB1FD9" w:rsidRDefault="00CB1FD9" w:rsidP="002F3D09">
      <w:pPr>
        <w:spacing w:after="0" w:line="360" w:lineRule="auto"/>
        <w:ind w:right="139"/>
        <w:jc w:val="both"/>
        <w:rPr>
          <w:rFonts w:ascii="Palatino Linotype" w:eastAsia="Palatino Linotype" w:hAnsi="Palatino Linotype" w:cs="Palatino Linotype"/>
          <w:sz w:val="24"/>
          <w:szCs w:val="24"/>
        </w:rPr>
      </w:pPr>
      <w:bookmarkStart w:id="2" w:name="_heading=h.1fob9te" w:colFirst="0" w:colLast="0"/>
      <w:bookmarkEnd w:id="2"/>
    </w:p>
    <w:p w14:paraId="1680951E" w14:textId="77777777" w:rsidR="00CB1FD9" w:rsidRDefault="00CB1FD9" w:rsidP="002F3D09">
      <w:pPr>
        <w:spacing w:after="0" w:line="360" w:lineRule="auto"/>
        <w:ind w:right="139"/>
        <w:jc w:val="both"/>
        <w:rPr>
          <w:rFonts w:ascii="Palatino Linotype" w:eastAsia="Palatino Linotype" w:hAnsi="Palatino Linotype" w:cs="Palatino Linotype"/>
          <w:sz w:val="24"/>
          <w:szCs w:val="24"/>
        </w:rPr>
      </w:pPr>
    </w:p>
    <w:p w14:paraId="5DE5668E" w14:textId="77777777" w:rsidR="00CB1FD9" w:rsidRDefault="00CB1FD9" w:rsidP="002F3D09">
      <w:pPr>
        <w:spacing w:after="0" w:line="360" w:lineRule="auto"/>
        <w:ind w:right="139"/>
        <w:jc w:val="both"/>
        <w:rPr>
          <w:rFonts w:ascii="Palatino Linotype" w:eastAsia="Palatino Linotype" w:hAnsi="Palatino Linotype" w:cs="Palatino Linotype"/>
          <w:sz w:val="24"/>
          <w:szCs w:val="24"/>
        </w:rPr>
      </w:pPr>
    </w:p>
    <w:p w14:paraId="449C3A71" w14:textId="77777777" w:rsidR="00CB1FD9" w:rsidRDefault="00CB1FD9" w:rsidP="002F3D09">
      <w:pPr>
        <w:spacing w:after="0" w:line="360" w:lineRule="auto"/>
        <w:ind w:right="139"/>
        <w:jc w:val="both"/>
        <w:rPr>
          <w:rFonts w:ascii="Palatino Linotype" w:eastAsia="Palatino Linotype" w:hAnsi="Palatino Linotype" w:cs="Palatino Linotype"/>
          <w:sz w:val="24"/>
          <w:szCs w:val="24"/>
        </w:rPr>
      </w:pPr>
    </w:p>
    <w:p w14:paraId="387AC742" w14:textId="77777777" w:rsidR="00CB1FD9" w:rsidRDefault="00CB1FD9" w:rsidP="002F3D09">
      <w:pPr>
        <w:spacing w:after="0" w:line="360" w:lineRule="auto"/>
        <w:ind w:right="139"/>
        <w:jc w:val="both"/>
        <w:rPr>
          <w:rFonts w:ascii="Palatino Linotype" w:eastAsia="Palatino Linotype" w:hAnsi="Palatino Linotype" w:cs="Palatino Linotype"/>
          <w:sz w:val="24"/>
          <w:szCs w:val="24"/>
        </w:rPr>
      </w:pPr>
    </w:p>
    <w:p w14:paraId="593B1062" w14:textId="77777777" w:rsidR="00CB1FD9" w:rsidRDefault="00CB1FD9" w:rsidP="002F3D09">
      <w:pPr>
        <w:spacing w:after="0" w:line="360" w:lineRule="auto"/>
        <w:ind w:right="139"/>
        <w:jc w:val="both"/>
        <w:rPr>
          <w:rFonts w:ascii="Palatino Linotype" w:eastAsia="Palatino Linotype" w:hAnsi="Palatino Linotype" w:cs="Palatino Linotype"/>
          <w:sz w:val="24"/>
          <w:szCs w:val="24"/>
        </w:rPr>
      </w:pPr>
    </w:p>
    <w:p w14:paraId="49F05E89" w14:textId="77777777" w:rsidR="00CB1FD9" w:rsidRDefault="00CB1FD9" w:rsidP="002F3D09">
      <w:pPr>
        <w:spacing w:after="0" w:line="360" w:lineRule="auto"/>
        <w:ind w:right="139"/>
        <w:jc w:val="both"/>
        <w:rPr>
          <w:rFonts w:ascii="Palatino Linotype" w:eastAsia="Palatino Linotype" w:hAnsi="Palatino Linotype" w:cs="Palatino Linotype"/>
          <w:sz w:val="24"/>
          <w:szCs w:val="24"/>
        </w:rPr>
      </w:pPr>
    </w:p>
    <w:sectPr w:rsidR="00CB1FD9">
      <w:headerReference w:type="default" r:id="rId11"/>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0BE92" w14:textId="77777777" w:rsidR="00903481" w:rsidRDefault="00903481">
      <w:pPr>
        <w:spacing w:after="0" w:line="240" w:lineRule="auto"/>
      </w:pPr>
      <w:r>
        <w:separator/>
      </w:r>
    </w:p>
  </w:endnote>
  <w:endnote w:type="continuationSeparator" w:id="0">
    <w:p w14:paraId="5536C284" w14:textId="77777777" w:rsidR="00903481" w:rsidRDefault="0090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028B" w14:textId="77777777" w:rsidR="00CB1FD9" w:rsidRDefault="00897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A5296">
      <w:rPr>
        <w:rFonts w:ascii="Palatino Linotype" w:eastAsia="Palatino Linotype" w:hAnsi="Palatino Linotype" w:cs="Palatino Linotype"/>
        <w:b/>
        <w:noProof/>
        <w:color w:val="000000"/>
        <w:sz w:val="20"/>
        <w:szCs w:val="20"/>
      </w:rPr>
      <w:t>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A5296">
      <w:rPr>
        <w:rFonts w:ascii="Palatino Linotype" w:eastAsia="Palatino Linotype" w:hAnsi="Palatino Linotype" w:cs="Palatino Linotype"/>
        <w:b/>
        <w:noProof/>
        <w:color w:val="000000"/>
        <w:sz w:val="20"/>
        <w:szCs w:val="20"/>
      </w:rPr>
      <w:t>6</w:t>
    </w:r>
    <w:r>
      <w:rPr>
        <w:rFonts w:ascii="Palatino Linotype" w:eastAsia="Palatino Linotype" w:hAnsi="Palatino Linotype" w:cs="Palatino Linotype"/>
        <w:b/>
        <w:color w:val="000000"/>
        <w:sz w:val="20"/>
        <w:szCs w:val="20"/>
      </w:rPr>
      <w:fldChar w:fldCharType="end"/>
    </w:r>
  </w:p>
  <w:p w14:paraId="79547645" w14:textId="77777777"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AC3D3" w14:textId="77777777" w:rsidR="00903481" w:rsidRDefault="00903481">
      <w:pPr>
        <w:spacing w:after="0" w:line="240" w:lineRule="auto"/>
      </w:pPr>
      <w:r>
        <w:separator/>
      </w:r>
    </w:p>
  </w:footnote>
  <w:footnote w:type="continuationSeparator" w:id="0">
    <w:p w14:paraId="47CE8080" w14:textId="77777777" w:rsidR="00903481" w:rsidRDefault="00903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90C1" w14:textId="0B2FD18E" w:rsidR="00CB1FD9" w:rsidRDefault="00963B4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11CD78CC" wp14:editId="3408FE87">
          <wp:simplePos x="0" y="0"/>
          <wp:positionH relativeFrom="column">
            <wp:posOffset>-743168</wp:posOffset>
          </wp:positionH>
          <wp:positionV relativeFrom="paragraph">
            <wp:posOffset>-631190</wp:posOffset>
          </wp:positionV>
          <wp:extent cx="7510628" cy="9883775"/>
          <wp:effectExtent l="0" t="0" r="0" b="0"/>
          <wp:wrapNone/>
          <wp:docPr id="2716407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89705E">
      <w:rPr>
        <w:rFonts w:ascii="Palatino Linotype" w:eastAsia="Palatino Linotype" w:hAnsi="Palatino Linotype" w:cs="Palatino Linotype"/>
        <w:b/>
        <w:color w:val="000000"/>
        <w:sz w:val="20"/>
        <w:szCs w:val="20"/>
      </w:rPr>
      <w:t>VOTO PARTICULAR</w:t>
    </w:r>
  </w:p>
  <w:p w14:paraId="11CCC061" w14:textId="06896E4D" w:rsidR="008541CC" w:rsidRDefault="00BB43F7" w:rsidP="008541C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w:t>
    </w:r>
    <w:r w:rsidR="0089705E">
      <w:rPr>
        <w:rFonts w:ascii="Palatino Linotype" w:eastAsia="Palatino Linotype" w:hAnsi="Palatino Linotype" w:cs="Palatino Linotype"/>
        <w:b/>
        <w:color w:val="000000"/>
        <w:sz w:val="20"/>
        <w:szCs w:val="20"/>
      </w:rPr>
      <w:t xml:space="preserve"> DE REVISIÓN: </w:t>
    </w:r>
    <w:r w:rsidR="009D5AF9" w:rsidRPr="009D5AF9">
      <w:rPr>
        <w:rFonts w:ascii="Palatino Linotype" w:eastAsia="Palatino Linotype" w:hAnsi="Palatino Linotype" w:cs="Palatino Linotype"/>
        <w:b/>
        <w:color w:val="000000"/>
        <w:sz w:val="20"/>
        <w:szCs w:val="20"/>
      </w:rPr>
      <w:t>0</w:t>
    </w:r>
    <w:r w:rsidR="002F3D09">
      <w:rPr>
        <w:rFonts w:ascii="Palatino Linotype" w:eastAsia="Palatino Linotype" w:hAnsi="Palatino Linotype" w:cs="Palatino Linotype"/>
        <w:b/>
        <w:color w:val="000000"/>
        <w:sz w:val="20"/>
        <w:szCs w:val="20"/>
      </w:rPr>
      <w:t>0695</w:t>
    </w:r>
    <w:r w:rsidR="009D5AF9" w:rsidRPr="009D5AF9">
      <w:rPr>
        <w:rFonts w:ascii="Palatino Linotype" w:eastAsia="Palatino Linotype" w:hAnsi="Palatino Linotype" w:cs="Palatino Linotype"/>
        <w:b/>
        <w:color w:val="000000"/>
        <w:sz w:val="20"/>
        <w:szCs w:val="20"/>
      </w:rPr>
      <w:t>/INFOEM/IP/RR/202</w:t>
    </w:r>
    <w:r w:rsidR="00DE645D">
      <w:rPr>
        <w:rFonts w:ascii="Palatino Linotype" w:eastAsia="Palatino Linotype" w:hAnsi="Palatino Linotype" w:cs="Palatino Linotype"/>
        <w:b/>
        <w:color w:val="000000"/>
        <w:sz w:val="20"/>
        <w:szCs w:val="20"/>
      </w:rPr>
      <w:t>5</w:t>
    </w:r>
  </w:p>
  <w:p w14:paraId="451711AC" w14:textId="72D9F08E" w:rsidR="00FA5AA6" w:rsidRPr="008541CC" w:rsidRDefault="008541CC" w:rsidP="008541C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José Martínez Vilchis</w:t>
    </w:r>
    <w:r w:rsidR="00FA5AA6">
      <w:rPr>
        <w:rFonts w:ascii="Palatino Linotype" w:eastAsia="Palatino Linotype" w:hAnsi="Palatino Linotype" w:cs="Palatino Linotype"/>
        <w:b/>
        <w:color w:val="000000"/>
        <w:sz w:val="20"/>
        <w:szCs w:val="20"/>
      </w:rPr>
      <w:t xml:space="preserve"> </w:t>
    </w:r>
  </w:p>
  <w:p w14:paraId="252BB052" w14:textId="77777777"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C602" w14:textId="77777777" w:rsidR="00CB1FD9" w:rsidRDefault="00CB1FD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FD4"/>
    <w:multiLevelType w:val="multilevel"/>
    <w:tmpl w:val="399A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3" w:hanging="359"/>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A7130F5"/>
    <w:multiLevelType w:val="hybridMultilevel"/>
    <w:tmpl w:val="E9121A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1471B"/>
    <w:multiLevelType w:val="hybridMultilevel"/>
    <w:tmpl w:val="430ECC9A"/>
    <w:lvl w:ilvl="0" w:tplc="1B50234A">
      <w:start w:val="1"/>
      <w:numFmt w:val="decimal"/>
      <w:lvlText w:val="%1)"/>
      <w:lvlJc w:val="left"/>
      <w:pPr>
        <w:ind w:left="1080" w:hanging="360"/>
      </w:pPr>
      <w:rPr>
        <w:b/>
        <w:bCs/>
        <w:sz w:val="24"/>
        <w:szCs w:val="24"/>
      </w:rPr>
    </w:lvl>
    <w:lvl w:ilvl="1" w:tplc="E2D25550">
      <w:start w:val="1"/>
      <w:numFmt w:val="upperRoman"/>
      <w:lvlText w:val="%2."/>
      <w:lvlJc w:val="left"/>
      <w:pPr>
        <w:ind w:left="1800" w:hanging="360"/>
      </w:pPr>
      <w:rPr>
        <w:rFonts w:hint="default"/>
        <w:b/>
        <w:sz w:val="24"/>
        <w:szCs w:val="24"/>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121746"/>
    <w:multiLevelType w:val="hybridMultilevel"/>
    <w:tmpl w:val="5DAC1520"/>
    <w:lvl w:ilvl="0" w:tplc="E772A668">
      <w:start w:val="1"/>
      <w:numFmt w:val="decimal"/>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A61248"/>
    <w:multiLevelType w:val="multilevel"/>
    <w:tmpl w:val="02C8F9A2"/>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746A5DAB"/>
    <w:multiLevelType w:val="multilevel"/>
    <w:tmpl w:val="7E2E2B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34184D"/>
    <w:multiLevelType w:val="hybridMultilevel"/>
    <w:tmpl w:val="5DAC1520"/>
    <w:lvl w:ilvl="0" w:tplc="FFFFFFFF">
      <w:start w:val="1"/>
      <w:numFmt w:val="decimal"/>
      <w:lvlText w:val="%1."/>
      <w:lvlJc w:val="left"/>
      <w:pPr>
        <w:ind w:left="1080" w:hanging="36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9"/>
  </w:num>
  <w:num w:numId="2">
    <w:abstractNumId w:val="1"/>
  </w:num>
  <w:num w:numId="3">
    <w:abstractNumId w:val="8"/>
  </w:num>
  <w:num w:numId="4">
    <w:abstractNumId w:val="4"/>
  </w:num>
  <w:num w:numId="5">
    <w:abstractNumId w:val="2"/>
  </w:num>
  <w:num w:numId="6">
    <w:abstractNumId w:val="0"/>
  </w:num>
  <w:num w:numId="7">
    <w:abstractNumId w:val="3"/>
  </w:num>
  <w:num w:numId="8">
    <w:abstractNumId w:val="7"/>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D9"/>
    <w:rsid w:val="0001135A"/>
    <w:rsid w:val="0001351B"/>
    <w:rsid w:val="00113D94"/>
    <w:rsid w:val="001F4818"/>
    <w:rsid w:val="0029732F"/>
    <w:rsid w:val="002F3D09"/>
    <w:rsid w:val="00313FE8"/>
    <w:rsid w:val="003A1E8D"/>
    <w:rsid w:val="0047504F"/>
    <w:rsid w:val="00521A58"/>
    <w:rsid w:val="00551C41"/>
    <w:rsid w:val="00661C5A"/>
    <w:rsid w:val="00726B3B"/>
    <w:rsid w:val="0079531D"/>
    <w:rsid w:val="0081710A"/>
    <w:rsid w:val="00823F1C"/>
    <w:rsid w:val="008541CC"/>
    <w:rsid w:val="0089705E"/>
    <w:rsid w:val="008B324B"/>
    <w:rsid w:val="00903481"/>
    <w:rsid w:val="00926E76"/>
    <w:rsid w:val="00963B48"/>
    <w:rsid w:val="00964BEB"/>
    <w:rsid w:val="00975B73"/>
    <w:rsid w:val="009D5AF9"/>
    <w:rsid w:val="00A01C7B"/>
    <w:rsid w:val="00A16018"/>
    <w:rsid w:val="00A815DF"/>
    <w:rsid w:val="00AC7256"/>
    <w:rsid w:val="00AF22C0"/>
    <w:rsid w:val="00B90306"/>
    <w:rsid w:val="00BB43F7"/>
    <w:rsid w:val="00C95B5D"/>
    <w:rsid w:val="00CB1FD9"/>
    <w:rsid w:val="00CF61CF"/>
    <w:rsid w:val="00DA5296"/>
    <w:rsid w:val="00DE645D"/>
    <w:rsid w:val="00FA5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D434"/>
  <w15:docId w15:val="{2174C602-F5C1-424F-B93A-FF07628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1"/>
    <w:qFormat/>
    <w:rsid w:val="00C54F93"/>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F3D09"/>
    <w:pPr>
      <w:spacing w:before="240" w:line="360" w:lineRule="auto"/>
      <w:ind w:left="851" w:right="851"/>
      <w:jc w:val="both"/>
    </w:pPr>
    <w:rPr>
      <w:rFonts w:ascii="Palatino Linotype" w:eastAsiaTheme="minorHAnsi" w:hAnsi="Palatino Linotype" w:cs="Arial"/>
      <w:i/>
      <w:lang w:eastAsia="en-US"/>
    </w:rPr>
  </w:style>
  <w:style w:type="character" w:styleId="Hipervnculovisitado">
    <w:name w:val="FollowedHyperlink"/>
    <w:basedOn w:val="Fuentedeprrafopredeter"/>
    <w:uiPriority w:val="99"/>
    <w:semiHidden/>
    <w:unhideWhenUsed/>
    <w:rsid w:val="002F3D09"/>
    <w:rPr>
      <w:color w:val="800080" w:themeColor="followedHyperlink"/>
      <w:u w:val="single"/>
    </w:rPr>
  </w:style>
  <w:style w:type="paragraph" w:customStyle="1" w:styleId="INFOEM">
    <w:name w:val="INFOEM"/>
    <w:basedOn w:val="Normal"/>
    <w:qFormat/>
    <w:rsid w:val="002F3D09"/>
    <w:pPr>
      <w:spacing w:before="240" w:line="360" w:lineRule="auto"/>
      <w:ind w:left="851" w:right="851"/>
      <w:jc w:val="both"/>
    </w:pPr>
    <w:rPr>
      <w:rFonts w:ascii="Palatino Linotype" w:eastAsiaTheme="minorHAnsi" w:hAnsi="Palatino Linotype" w:cstheme="minorBidi"/>
      <w:i/>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share/15GCjvtgH1/?mibextid=wwXl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63LcHpaO/zSgOITEiagZUWZhTw==">CgMxLjAyCGguZ2pkZ3hzMgloLjN6bnlzaDcyCWguMWZvYjl0ZTgAciExS2R5eGFjRThxeWFQUFFrS1ZpWUE0MWN2TWdwTkt2MzM=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Infoem590</cp:lastModifiedBy>
  <cp:revision>2</cp:revision>
  <cp:lastPrinted>2025-03-04T18:22:00Z</cp:lastPrinted>
  <dcterms:created xsi:type="dcterms:W3CDTF">2025-03-18T18:32:00Z</dcterms:created>
  <dcterms:modified xsi:type="dcterms:W3CDTF">2025-03-18T18:32:00Z</dcterms:modified>
</cp:coreProperties>
</file>