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8B" w:rsidRDefault="00B9689E">
      <w:pPr>
        <w:spacing w:after="0" w:line="360" w:lineRule="auto"/>
        <w:jc w:val="both"/>
        <w:rPr>
          <w:rFonts w:ascii="Palatino Linotype" w:eastAsia="Palatino Linotype" w:hAnsi="Palatino Linotype" w:cs="Palatino Linotype"/>
          <w:b/>
        </w:rPr>
      </w:pPr>
      <w:bookmarkStart w:id="0" w:name="_heading=h.tyjcwt"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DÉCIMA OCTAVA SESIÓN ORDINARIA DEL VEINTIUNO DE MAYO DE DOS MIL VEINTICINCO, EN EL RECURSO DE REVISIÓN 02535/INFOEM/IP/RR/2025. </w:t>
      </w:r>
    </w:p>
    <w:p w:rsidR="0091668B" w:rsidRDefault="0091668B">
      <w:pPr>
        <w:spacing w:after="0" w:line="360" w:lineRule="auto"/>
        <w:jc w:val="both"/>
        <w:rPr>
          <w:rFonts w:ascii="Palatino Linotype" w:eastAsia="Palatino Linotype" w:hAnsi="Palatino Linotype" w:cs="Palatino Linotype"/>
          <w:b/>
        </w:rPr>
      </w:pPr>
    </w:p>
    <w:p w:rsidR="0091668B" w:rsidRDefault="00B9689E">
      <w:pPr>
        <w:spacing w:after="0" w:line="360" w:lineRule="auto"/>
        <w:ind w:right="142"/>
        <w:jc w:val="both"/>
        <w:rPr>
          <w:rFonts w:ascii="Palatino Linotype" w:eastAsia="Palatino Linotype" w:hAnsi="Palatino Linotype" w:cs="Palatino Linotype"/>
        </w:rPr>
      </w:pPr>
      <w:bookmarkStart w:id="2" w:name="_heading=h.v5vlqbr2x9up" w:colFirst="0" w:colLast="0"/>
      <w:bookmarkEnd w:id="2"/>
      <w:r>
        <w:rPr>
          <w:rFonts w:ascii="Palatino Linotype" w:eastAsia="Palatino Linotype" w:hAnsi="Palatino Linotype" w:cs="Palatino Linotype"/>
        </w:rPr>
        <w:t xml:space="preserve">Con fundamento en lo dispuesto por el artículo 14, fracciones X y XI, del Reglamento del Instituto de Transparencia, Acceso a </w:t>
      </w:r>
      <w:r>
        <w:rPr>
          <w:rFonts w:ascii="Palatino Linotype" w:eastAsia="Palatino Linotype" w:hAnsi="Palatino Linotype" w:cs="Palatino Linotype"/>
        </w:rPr>
        <w:t xml:space="preserve">la Información Pública y Protección de Datos Personales del Estado de México, la que suscribe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 xml:space="preserve">02535/INFOEM/IP/RR/2025, </w:t>
      </w:r>
      <w:r>
        <w:rPr>
          <w:rFonts w:ascii="Palatino Linotype" w:eastAsia="Palatino Linotype" w:hAnsi="Palatino Linotype" w:cs="Palatino Linotype"/>
        </w:rPr>
        <w:t>pronunciada por el Pleno de este Instituto ante e</w:t>
      </w:r>
      <w:r>
        <w:rPr>
          <w:rFonts w:ascii="Palatino Linotype" w:eastAsia="Palatino Linotype" w:hAnsi="Palatino Linotype" w:cs="Palatino Linotype"/>
        </w:rPr>
        <w:t>l proyecto presentado por el Comisionado Presidente José Martínez Vilchis, el cual se formuló, conforme al tenor siguiente:</w:t>
      </w:r>
    </w:p>
    <w:p w:rsidR="0091668B" w:rsidRDefault="0091668B">
      <w:pPr>
        <w:spacing w:after="0" w:line="360" w:lineRule="auto"/>
        <w:ind w:right="142"/>
        <w:jc w:val="both"/>
        <w:rPr>
          <w:rFonts w:ascii="Palatino Linotype" w:eastAsia="Palatino Linotype" w:hAnsi="Palatino Linotype" w:cs="Palatino Linotype"/>
        </w:rPr>
      </w:pPr>
    </w:p>
    <w:p w:rsidR="0091668B" w:rsidRDefault="00B9689E">
      <w:pPr>
        <w:spacing w:after="0" w:line="360" w:lineRule="auto"/>
        <w:ind w:left="567" w:right="142"/>
        <w:jc w:val="both"/>
        <w:rPr>
          <w:rFonts w:ascii="Palatino Linotype" w:eastAsia="Palatino Linotype" w:hAnsi="Palatino Linotype" w:cs="Palatino Linotype"/>
          <w:b/>
        </w:rPr>
      </w:pPr>
      <w:r>
        <w:rPr>
          <w:rFonts w:ascii="Palatino Linotype" w:eastAsia="Palatino Linotype" w:hAnsi="Palatino Linotype" w:cs="Palatino Linotype"/>
          <w:b/>
        </w:rPr>
        <w:t>I. Antecedentes.</w:t>
      </w:r>
    </w:p>
    <w:p w:rsidR="0091668B" w:rsidRDefault="0091668B">
      <w:pPr>
        <w:spacing w:after="0" w:line="360" w:lineRule="auto"/>
        <w:ind w:left="567" w:right="142"/>
        <w:jc w:val="both"/>
        <w:rPr>
          <w:rFonts w:ascii="Palatino Linotype" w:eastAsia="Palatino Linotype" w:hAnsi="Palatino Linotype" w:cs="Palatino Linotype"/>
          <w:b/>
        </w:rPr>
      </w:pPr>
    </w:p>
    <w:p w:rsidR="0091668B" w:rsidRDefault="00B9689E">
      <w:pPr>
        <w:spacing w:after="0" w:line="360" w:lineRule="auto"/>
        <w:ind w:right="142"/>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Como quedó debidamente asentado en la resolución, materia del presente voto la persona solicitante </w:t>
      </w:r>
      <w:r>
        <w:rPr>
          <w:rFonts w:ascii="Palatino Linotype" w:eastAsia="Palatino Linotype" w:hAnsi="Palatino Linotype" w:cs="Palatino Linotype"/>
          <w:color w:val="000000"/>
        </w:rPr>
        <w:t>requirió:</w:t>
      </w:r>
    </w:p>
    <w:p w:rsidR="0091668B" w:rsidRDefault="0091668B">
      <w:pPr>
        <w:pBdr>
          <w:top w:val="nil"/>
          <w:left w:val="nil"/>
          <w:bottom w:val="nil"/>
          <w:right w:val="nil"/>
          <w:between w:val="nil"/>
        </w:pBdr>
        <w:spacing w:after="0" w:line="360" w:lineRule="auto"/>
        <w:ind w:left="720" w:right="142"/>
        <w:jc w:val="both"/>
        <w:rPr>
          <w:rFonts w:ascii="Palatino Linotype" w:eastAsia="Palatino Linotype" w:hAnsi="Palatino Linotype" w:cs="Palatino Linotype"/>
          <w:color w:val="000000"/>
        </w:rPr>
      </w:pPr>
    </w:p>
    <w:p w:rsidR="0091668B" w:rsidRDefault="00B9689E">
      <w:pPr>
        <w:numPr>
          <w:ilvl w:val="0"/>
          <w:numId w:val="1"/>
        </w:numPr>
        <w:pBdr>
          <w:top w:val="nil"/>
          <w:left w:val="nil"/>
          <w:bottom w:val="nil"/>
          <w:right w:val="nil"/>
          <w:between w:val="nil"/>
        </w:pBdr>
        <w:spacing w:after="0" w:line="360" w:lineRule="auto"/>
        <w:ind w:right="14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Inv</w:t>
      </w:r>
      <w:r>
        <w:rPr>
          <w:rFonts w:ascii="Palatino Linotype" w:eastAsia="Palatino Linotype" w:hAnsi="Palatino Linotype" w:cs="Palatino Linotype"/>
          <w:color w:val="000000"/>
        </w:rPr>
        <w:t>entarios de altas de bienes muebles e inmuebles correspondientes a los años 2023 y 2024.</w:t>
      </w:r>
    </w:p>
    <w:p w:rsidR="0091668B" w:rsidRDefault="0091668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91668B" w:rsidRDefault="00B9689E">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emitió su respuesta de la siguiente forma:</w:t>
      </w:r>
    </w:p>
    <w:p w:rsidR="0091668B" w:rsidRDefault="0091668B">
      <w:pPr>
        <w:spacing w:after="0" w:line="360" w:lineRule="auto"/>
        <w:ind w:right="142"/>
        <w:jc w:val="both"/>
        <w:rPr>
          <w:rFonts w:ascii="Palatino Linotype" w:eastAsia="Palatino Linotype" w:hAnsi="Palatino Linotype" w:cs="Palatino Linotype"/>
        </w:rPr>
      </w:pPr>
      <w:bookmarkStart w:id="3" w:name="_heading=h.fa9ccjhntycq" w:colFirst="0" w:colLast="0"/>
      <w:bookmarkEnd w:id="3"/>
    </w:p>
    <w:p w:rsidR="0091668B" w:rsidRDefault="00B9689E">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La Secretaria del Ayuntamiento manifiesta que del primero al treinta y uno de diciembre de dos mil veintitrés se llevaron a cabo 10 movimientos de alta de bienes muebles y 2 de bienes Inmuebles </w:t>
      </w:r>
    </w:p>
    <w:p w:rsidR="0091668B" w:rsidRDefault="0091668B">
      <w:pPr>
        <w:spacing w:after="0" w:line="360" w:lineRule="auto"/>
        <w:ind w:right="142"/>
        <w:jc w:val="both"/>
        <w:rPr>
          <w:rFonts w:ascii="Palatino Linotype" w:eastAsia="Palatino Linotype" w:hAnsi="Palatino Linotype" w:cs="Palatino Linotype"/>
        </w:rPr>
      </w:pPr>
    </w:p>
    <w:p w:rsidR="0091668B" w:rsidRDefault="00B9689E">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Respecto al año dos mil veinticuatro manifestó que se llevar</w:t>
      </w:r>
      <w:r>
        <w:rPr>
          <w:rFonts w:ascii="Palatino Linotype" w:eastAsia="Palatino Linotype" w:hAnsi="Palatino Linotype" w:cs="Palatino Linotype"/>
        </w:rPr>
        <w:t>on a cabo dos movimientos de alta de bienes muebles y respecto bienes inmuebles no se cuenta con movimientos.</w:t>
      </w:r>
    </w:p>
    <w:p w:rsidR="0091668B" w:rsidRDefault="0091668B">
      <w:pPr>
        <w:spacing w:after="0" w:line="360" w:lineRule="auto"/>
        <w:ind w:right="142"/>
        <w:jc w:val="both"/>
        <w:rPr>
          <w:rFonts w:ascii="Palatino Linotype" w:eastAsia="Palatino Linotype" w:hAnsi="Palatino Linotype" w:cs="Palatino Linotype"/>
        </w:rPr>
      </w:pPr>
    </w:p>
    <w:p w:rsidR="0091668B" w:rsidRDefault="00B9689E">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Para tal efecto adjuntó, un reporte de altas de bienes muebles del primero al treinta y uno de diciembre de dos mil veintitrés y dos mil veinticu</w:t>
      </w:r>
      <w:r>
        <w:rPr>
          <w:rFonts w:ascii="Palatino Linotype" w:eastAsia="Palatino Linotype" w:hAnsi="Palatino Linotype" w:cs="Palatino Linotype"/>
        </w:rPr>
        <w:t>atro.</w:t>
      </w:r>
    </w:p>
    <w:p w:rsidR="0091668B" w:rsidRDefault="0091668B">
      <w:pPr>
        <w:spacing w:after="0" w:line="360" w:lineRule="auto"/>
        <w:ind w:right="142"/>
        <w:jc w:val="both"/>
        <w:rPr>
          <w:rFonts w:ascii="Palatino Linotype" w:eastAsia="Palatino Linotype" w:hAnsi="Palatino Linotype" w:cs="Palatino Linotype"/>
        </w:rPr>
      </w:pPr>
    </w:p>
    <w:p w:rsidR="0091668B" w:rsidRDefault="00B9689E">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Bajo tales argumentos,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interpuso el medio de impugnación de la siguiente forma:</w:t>
      </w:r>
    </w:p>
    <w:p w:rsidR="0091668B" w:rsidRDefault="0091668B">
      <w:pPr>
        <w:spacing w:after="0" w:line="360" w:lineRule="auto"/>
        <w:ind w:right="-234"/>
        <w:jc w:val="both"/>
        <w:rPr>
          <w:rFonts w:ascii="Palatino Linotype" w:eastAsia="Palatino Linotype" w:hAnsi="Palatino Linotype" w:cs="Palatino Linotype"/>
          <w:b/>
          <w:color w:val="000000"/>
        </w:rPr>
      </w:pPr>
    </w:p>
    <w:p w:rsidR="0091668B" w:rsidRDefault="00B9689E">
      <w:pPr>
        <w:numPr>
          <w:ilvl w:val="0"/>
          <w:numId w:val="2"/>
        </w:numPr>
        <w:pBdr>
          <w:top w:val="nil"/>
          <w:left w:val="nil"/>
          <w:bottom w:val="nil"/>
          <w:right w:val="nil"/>
          <w:between w:val="nil"/>
        </w:pBdr>
        <w:spacing w:after="0" w:line="360" w:lineRule="auto"/>
        <w:ind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Acto Impugnado </w:t>
      </w:r>
    </w:p>
    <w:p w:rsidR="0091668B" w:rsidRDefault="00B9689E">
      <w:pPr>
        <w:pBdr>
          <w:top w:val="nil"/>
          <w:left w:val="nil"/>
          <w:bottom w:val="nil"/>
          <w:right w:val="nil"/>
          <w:between w:val="nil"/>
        </w:pBdr>
        <w:spacing w:after="0" w:line="360" w:lineRule="auto"/>
        <w:ind w:left="1145"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“No se brinda la información correspondiente a lo solicitado” (Sic)</w:t>
      </w:r>
    </w:p>
    <w:p w:rsidR="0091668B" w:rsidRDefault="0091668B">
      <w:pPr>
        <w:spacing w:after="0" w:line="360" w:lineRule="auto"/>
        <w:ind w:right="567"/>
        <w:jc w:val="both"/>
        <w:rPr>
          <w:rFonts w:ascii="Palatino Linotype" w:eastAsia="Palatino Linotype" w:hAnsi="Palatino Linotype" w:cs="Palatino Linotype"/>
          <w:i/>
          <w:color w:val="000000"/>
        </w:rPr>
      </w:pPr>
    </w:p>
    <w:p w:rsidR="0091668B" w:rsidRDefault="00B9689E">
      <w:pPr>
        <w:numPr>
          <w:ilvl w:val="0"/>
          <w:numId w:val="2"/>
        </w:numPr>
        <w:pBdr>
          <w:top w:val="nil"/>
          <w:left w:val="nil"/>
          <w:bottom w:val="nil"/>
          <w:right w:val="nil"/>
          <w:between w:val="nil"/>
        </w:pBdr>
        <w:spacing w:after="0" w:line="360" w:lineRule="auto"/>
        <w:ind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Motivos de Inconformidad</w:t>
      </w:r>
      <w:r>
        <w:rPr>
          <w:rFonts w:ascii="Palatino Linotype" w:eastAsia="Palatino Linotype" w:hAnsi="Palatino Linotype" w:cs="Palatino Linotype"/>
          <w:i/>
          <w:color w:val="000000"/>
        </w:rPr>
        <w:t>:</w:t>
      </w:r>
    </w:p>
    <w:p w:rsidR="0091668B" w:rsidRDefault="00B9689E">
      <w:pPr>
        <w:pBdr>
          <w:top w:val="nil"/>
          <w:left w:val="nil"/>
          <w:bottom w:val="nil"/>
          <w:right w:val="nil"/>
          <w:between w:val="nil"/>
        </w:pBdr>
        <w:spacing w:after="0" w:line="360" w:lineRule="auto"/>
        <w:ind w:left="785" w:right="56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w:t>
      </w:r>
      <w:r>
        <w:rPr>
          <w:rFonts w:ascii="Palatino Linotype" w:eastAsia="Palatino Linotype" w:hAnsi="Palatino Linotype" w:cs="Palatino Linotype"/>
          <w:i/>
          <w:color w:val="000000"/>
        </w:rPr>
        <w:t>no se da la información” (Sic)</w:t>
      </w:r>
    </w:p>
    <w:p w:rsidR="0091668B" w:rsidRDefault="0091668B">
      <w:pPr>
        <w:spacing w:after="0" w:line="360" w:lineRule="auto"/>
        <w:ind w:right="-93"/>
        <w:jc w:val="both"/>
        <w:rPr>
          <w:rFonts w:ascii="Palatino Linotype" w:eastAsia="Palatino Linotype" w:hAnsi="Palatino Linotype" w:cs="Palatino Linotype"/>
        </w:rPr>
      </w:pPr>
    </w:p>
    <w:p w:rsidR="0091668B" w:rsidRDefault="00B9689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manifestaciones,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resultó omiso de emitir su informe justificado. </w:t>
      </w:r>
    </w:p>
    <w:p w:rsidR="0091668B" w:rsidRDefault="0091668B">
      <w:pPr>
        <w:spacing w:after="0" w:line="360" w:lineRule="auto"/>
        <w:jc w:val="both"/>
        <w:rPr>
          <w:rFonts w:ascii="Palatino Linotype" w:eastAsia="Palatino Linotype" w:hAnsi="Palatino Linotype" w:cs="Palatino Linotype"/>
        </w:rPr>
      </w:pPr>
    </w:p>
    <w:p w:rsidR="0091668B" w:rsidRDefault="00B9689E">
      <w:pPr>
        <w:spacing w:after="0" w:line="360" w:lineRule="auto"/>
        <w:jc w:val="both"/>
        <w:rPr>
          <w:rFonts w:ascii="Palatino Linotype" w:eastAsia="Palatino Linotype" w:hAnsi="Palatino Linotype" w:cs="Palatino Linotype"/>
          <w:color w:val="FF0000"/>
        </w:rPr>
      </w:pPr>
      <w:r>
        <w:rPr>
          <w:rFonts w:ascii="Palatino Linotype" w:eastAsia="Palatino Linotype" w:hAnsi="Palatino Linotype" w:cs="Palatino Linotype"/>
        </w:rPr>
        <w:t xml:space="preserve">Por su parte,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 xml:space="preserve">resultó omisa en emitir sus manifestaciones que conforme a derecho le corresponde. </w:t>
      </w:r>
    </w:p>
    <w:p w:rsidR="0091668B" w:rsidRDefault="0091668B">
      <w:pPr>
        <w:spacing w:after="0" w:line="360" w:lineRule="auto"/>
        <w:jc w:val="both"/>
        <w:rPr>
          <w:rFonts w:ascii="Palatino Linotype" w:eastAsia="Palatino Linotype" w:hAnsi="Palatino Linotype" w:cs="Palatino Linotype"/>
        </w:rPr>
      </w:pPr>
    </w:p>
    <w:p w:rsidR="0091668B" w:rsidRDefault="00B9689E">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esta tesitura, derivado del </w:t>
      </w:r>
      <w:r>
        <w:rPr>
          <w:rFonts w:ascii="Palatino Linotype" w:eastAsia="Palatino Linotype" w:hAnsi="Palatino Linotype" w:cs="Palatino Linotype"/>
        </w:rPr>
        <w:t>análisis efectuado, el instituto</w:t>
      </w:r>
      <w:r>
        <w:t xml:space="preserve"> </w:t>
      </w:r>
      <w:r>
        <w:rPr>
          <w:rFonts w:ascii="Palatino Linotype" w:eastAsia="Palatino Linotype" w:hAnsi="Palatino Linotype" w:cs="Palatino Linotype"/>
        </w:rPr>
        <w:t>determinó resolver el recurso de revisión de la siguiente forma:</w:t>
      </w:r>
    </w:p>
    <w:p w:rsidR="0091668B" w:rsidRDefault="0091668B">
      <w:pPr>
        <w:pBdr>
          <w:top w:val="nil"/>
          <w:left w:val="nil"/>
          <w:bottom w:val="nil"/>
          <w:right w:val="nil"/>
          <w:between w:val="nil"/>
        </w:pBdr>
        <w:spacing w:after="0" w:line="360" w:lineRule="auto"/>
        <w:jc w:val="both"/>
        <w:rPr>
          <w:rFonts w:ascii="Palatino Linotype" w:eastAsia="Palatino Linotype" w:hAnsi="Palatino Linotype" w:cs="Palatino Linotype"/>
        </w:rPr>
      </w:pPr>
    </w:p>
    <w:p w:rsidR="0091668B" w:rsidRDefault="00B9689E">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“SEGUNDO. Se MODIFICA la respuesta proporcionada por EL SUJETO OBLIGADO y se ORDENA al Sujeto Obligado, a través del Sistema de Acceso a la Información Mexiq</w:t>
      </w:r>
      <w:r>
        <w:rPr>
          <w:rFonts w:ascii="Palatino Linotype" w:eastAsia="Palatino Linotype" w:hAnsi="Palatino Linotype" w:cs="Palatino Linotype"/>
          <w:i/>
        </w:rPr>
        <w:t>uense (SAIMEX) en términos del considerando QUINTO de esta resolución, haga entrega de ser procedente en versión pública de lo siguiente:</w:t>
      </w:r>
    </w:p>
    <w:p w:rsidR="0091668B" w:rsidRDefault="00B9689E">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1.</w:t>
      </w:r>
      <w:r>
        <w:rPr>
          <w:rFonts w:ascii="Palatino Linotype" w:eastAsia="Palatino Linotype" w:hAnsi="Palatino Linotype" w:cs="Palatino Linotype"/>
          <w:i/>
        </w:rPr>
        <w:tab/>
        <w:t>El inventario  de alta de los bienes muebles e inmuebles del año dos mil veintitrés referido en respuesta.</w:t>
      </w:r>
    </w:p>
    <w:p w:rsidR="0091668B" w:rsidRDefault="0091668B">
      <w:pPr>
        <w:spacing w:after="0" w:line="276" w:lineRule="auto"/>
        <w:ind w:left="851" w:right="709"/>
        <w:jc w:val="both"/>
        <w:rPr>
          <w:rFonts w:ascii="Palatino Linotype" w:eastAsia="Palatino Linotype" w:hAnsi="Palatino Linotype" w:cs="Palatino Linotype"/>
          <w:i/>
        </w:rPr>
      </w:pPr>
    </w:p>
    <w:p w:rsidR="0091668B" w:rsidRDefault="00B9689E">
      <w:pPr>
        <w:spacing w:after="0" w:line="276" w:lineRule="auto"/>
        <w:ind w:left="851" w:right="709"/>
        <w:jc w:val="both"/>
        <w:rPr>
          <w:rFonts w:ascii="Palatino Linotype" w:eastAsia="Palatino Linotype" w:hAnsi="Palatino Linotype" w:cs="Palatino Linotype"/>
          <w:b/>
          <w:i/>
        </w:rPr>
      </w:pPr>
      <w:r>
        <w:rPr>
          <w:rFonts w:ascii="Palatino Linotype" w:eastAsia="Palatino Linotype" w:hAnsi="Palatino Linotype" w:cs="Palatino Linotype"/>
          <w:b/>
          <w:i/>
        </w:rPr>
        <w:t>2.</w:t>
      </w:r>
      <w:r>
        <w:rPr>
          <w:rFonts w:ascii="Palatino Linotype" w:eastAsia="Palatino Linotype" w:hAnsi="Palatino Linotype" w:cs="Palatino Linotype"/>
          <w:b/>
          <w:i/>
          <w:u w:val="single"/>
        </w:rPr>
        <w:tab/>
        <w:t>El i</w:t>
      </w:r>
      <w:r>
        <w:rPr>
          <w:rFonts w:ascii="Palatino Linotype" w:eastAsia="Palatino Linotype" w:hAnsi="Palatino Linotype" w:cs="Palatino Linotype"/>
          <w:b/>
          <w:i/>
          <w:u w:val="single"/>
        </w:rPr>
        <w:t>nventario  de alta de los bienes muebles del primero de enero al diez junio de dos mil veinticuatro referido en respuesta.</w:t>
      </w:r>
    </w:p>
    <w:p w:rsidR="0091668B" w:rsidRDefault="0091668B">
      <w:pPr>
        <w:spacing w:after="0" w:line="276" w:lineRule="auto"/>
        <w:ind w:left="851" w:right="709"/>
        <w:jc w:val="both"/>
        <w:rPr>
          <w:rFonts w:ascii="Palatino Linotype" w:eastAsia="Palatino Linotype" w:hAnsi="Palatino Linotype" w:cs="Palatino Linotype"/>
          <w:i/>
        </w:rPr>
      </w:pPr>
    </w:p>
    <w:p w:rsidR="0091668B" w:rsidRDefault="00B9689E">
      <w:pPr>
        <w:spacing w:after="0" w:line="276" w:lineRule="auto"/>
        <w:ind w:left="851" w:right="709"/>
        <w:jc w:val="both"/>
        <w:rPr>
          <w:rFonts w:ascii="Palatino Linotype" w:eastAsia="Palatino Linotype" w:hAnsi="Palatino Linotype" w:cs="Palatino Linotype"/>
          <w:i/>
        </w:rPr>
      </w:pPr>
      <w:r>
        <w:rPr>
          <w:rFonts w:ascii="Palatino Linotype" w:eastAsia="Palatino Linotype" w:hAnsi="Palatino Linotype" w:cs="Palatino Linotype"/>
          <w:i/>
        </w:rPr>
        <w:t>Para la entrega en versión pública deberá emitir el Acuerdo del Comité de Transparencia en términos de los artículos 49, fracción VIII y 132 fracción II de la Ley de Transparencia y Acceso a la Información Pública del Estado de México y Municipios, en el q</w:t>
      </w:r>
      <w:r>
        <w:rPr>
          <w:rFonts w:ascii="Palatino Linotype" w:eastAsia="Palatino Linotype" w:hAnsi="Palatino Linotype" w:cs="Palatino Linotype"/>
          <w:i/>
        </w:rPr>
        <w:t>ue funde y motive las razones sobre los datos que se supriman o eliminen y se ponga a disposición del Recurrente.”</w:t>
      </w:r>
    </w:p>
    <w:p w:rsidR="0091668B" w:rsidRDefault="0091668B">
      <w:pPr>
        <w:spacing w:after="0" w:line="276" w:lineRule="auto"/>
        <w:ind w:left="851" w:right="709"/>
        <w:jc w:val="both"/>
        <w:rPr>
          <w:rFonts w:ascii="Palatino Linotype" w:eastAsia="Palatino Linotype" w:hAnsi="Palatino Linotype" w:cs="Palatino Linotype"/>
          <w:i/>
        </w:rPr>
      </w:pPr>
    </w:p>
    <w:p w:rsidR="0091668B" w:rsidRDefault="00B9689E">
      <w:pPr>
        <w:spacing w:after="0" w:line="276" w:lineRule="auto"/>
        <w:ind w:left="851" w:right="709"/>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rsidR="0091668B" w:rsidRDefault="0091668B">
      <w:pPr>
        <w:spacing w:after="0" w:line="360" w:lineRule="auto"/>
        <w:ind w:right="-93"/>
        <w:jc w:val="both"/>
        <w:rPr>
          <w:rFonts w:ascii="Palatino Linotype" w:eastAsia="Palatino Linotype" w:hAnsi="Palatino Linotype" w:cs="Palatino Linotype"/>
        </w:rPr>
      </w:pPr>
    </w:p>
    <w:p w:rsidR="0091668B" w:rsidRDefault="00B9689E">
      <w:pPr>
        <w:numPr>
          <w:ilvl w:val="0"/>
          <w:numId w:val="3"/>
        </w:numPr>
        <w:pBdr>
          <w:top w:val="nil"/>
          <w:left w:val="nil"/>
          <w:bottom w:val="nil"/>
          <w:right w:val="nil"/>
          <w:between w:val="nil"/>
        </w:pBdr>
        <w:spacing w:after="0" w:line="360" w:lineRule="auto"/>
        <w:ind w:right="142"/>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91668B" w:rsidRDefault="0091668B">
      <w:pPr>
        <w:spacing w:after="0" w:line="360" w:lineRule="auto"/>
        <w:ind w:right="142"/>
        <w:jc w:val="both"/>
        <w:rPr>
          <w:rFonts w:ascii="Palatino Linotype" w:eastAsia="Palatino Linotype" w:hAnsi="Palatino Linotype" w:cs="Palatino Linotype"/>
          <w:b/>
        </w:rPr>
      </w:pPr>
    </w:p>
    <w:p w:rsidR="0091668B" w:rsidRDefault="00B9689E">
      <w:pPr>
        <w:spacing w:after="0" w:line="360" w:lineRule="auto"/>
        <w:jc w:val="both"/>
        <w:rPr>
          <w:rFonts w:ascii="Palatino Linotype" w:eastAsia="Palatino Linotype" w:hAnsi="Palatino Linotype" w:cs="Palatino Linotype"/>
        </w:rPr>
      </w:pPr>
      <w:bookmarkStart w:id="4" w:name="_heading=h.wesfdmx83dwi" w:colFirst="0" w:colLast="0"/>
      <w:bookmarkEnd w:id="4"/>
      <w:r>
        <w:rPr>
          <w:rFonts w:ascii="Palatino Linotype" w:eastAsia="Palatino Linotype" w:hAnsi="Palatino Linotype" w:cs="Palatino Linotype"/>
        </w:rPr>
        <w:t>Para iniciar la emisión del presente voto, conviene mencionar, de manera respetuosa, que con relación a la información que se ordena en el punto 2 del resolutivo segundo de la resolución relativo al “</w:t>
      </w:r>
      <w:r>
        <w:rPr>
          <w:rFonts w:ascii="Palatino Linotype" w:eastAsia="Palatino Linotype" w:hAnsi="Palatino Linotype" w:cs="Palatino Linotype"/>
          <w:b/>
          <w:i/>
        </w:rPr>
        <w:t>inventario  de alta de los bienes muebles del primero de</w:t>
      </w:r>
      <w:r>
        <w:rPr>
          <w:rFonts w:ascii="Palatino Linotype" w:eastAsia="Palatino Linotype" w:hAnsi="Palatino Linotype" w:cs="Palatino Linotype"/>
          <w:b/>
          <w:i/>
        </w:rPr>
        <w:t xml:space="preserve"> enero al diez junio de dos mil veinticuatro referido en respuesta</w:t>
      </w:r>
      <w:r>
        <w:rPr>
          <w:rFonts w:ascii="Palatino Linotype" w:eastAsia="Palatino Linotype" w:hAnsi="Palatino Linotype" w:cs="Palatino Linotype"/>
        </w:rPr>
        <w:t>”, la suscrita no comparte que se ordene dicha información únicamente al mes de junio de 2024, pues atendiendo la Ley en la Materia, los lineamientos para la publicación de obligaciones de t</w:t>
      </w:r>
      <w:r>
        <w:rPr>
          <w:rFonts w:ascii="Palatino Linotype" w:eastAsia="Palatino Linotype" w:hAnsi="Palatino Linotype" w:cs="Palatino Linotype"/>
        </w:rPr>
        <w:t xml:space="preserve">ransparencia, así como los Lineamientos para la Integración, Presentación y Envío de los Informes Trimestrales </w:t>
      </w:r>
      <w:r>
        <w:rPr>
          <w:rFonts w:ascii="Palatino Linotype" w:eastAsia="Palatino Linotype" w:hAnsi="Palatino Linotype" w:cs="Palatino Linotype"/>
        </w:rPr>
        <w:lastRenderedPageBreak/>
        <w:t>Municipales del Ejercicio 2024, emitidos por el Órgano Superior de Fiscalización del Estado de México, el inventario de bienes se actualiza de ma</w:t>
      </w:r>
      <w:r>
        <w:rPr>
          <w:rFonts w:ascii="Palatino Linotype" w:eastAsia="Palatino Linotype" w:hAnsi="Palatino Linotype" w:cs="Palatino Linotype"/>
        </w:rPr>
        <w:t>nera semestral, o, en su caso, treinta días hábiles después de adquirir un bien.</w:t>
      </w:r>
    </w:p>
    <w:p w:rsidR="0091668B" w:rsidRDefault="0091668B">
      <w:pPr>
        <w:spacing w:after="0" w:line="360" w:lineRule="auto"/>
        <w:jc w:val="both"/>
        <w:rPr>
          <w:rFonts w:ascii="Palatino Linotype" w:eastAsia="Palatino Linotype" w:hAnsi="Palatino Linotype" w:cs="Palatino Linotype"/>
        </w:rPr>
      </w:pPr>
      <w:bookmarkStart w:id="5" w:name="_heading=h.i35xi0uueedr" w:colFirst="0" w:colLast="0"/>
      <w:bookmarkEnd w:id="5"/>
    </w:p>
    <w:p w:rsidR="0091668B" w:rsidRDefault="00B9689E">
      <w:pPr>
        <w:spacing w:after="0" w:line="360" w:lineRule="auto"/>
        <w:jc w:val="both"/>
        <w:rPr>
          <w:rFonts w:ascii="Palatino Linotype" w:eastAsia="Palatino Linotype" w:hAnsi="Palatino Linotype" w:cs="Palatino Linotype"/>
        </w:rPr>
      </w:pPr>
      <w:bookmarkStart w:id="6" w:name="_heading=h.cgb8yx3hwu6r" w:colFirst="0" w:colLast="0"/>
      <w:bookmarkEnd w:id="6"/>
      <w:r>
        <w:rPr>
          <w:rFonts w:ascii="Palatino Linotype" w:eastAsia="Palatino Linotype" w:hAnsi="Palatino Linotype" w:cs="Palatino Linotype"/>
        </w:rPr>
        <w:t xml:space="preserve">Sin embargo en la resolución se consideró que no había fuente obligacional, bajo los siguientes argumentos: </w:t>
      </w:r>
    </w:p>
    <w:p w:rsidR="0091668B" w:rsidRDefault="0091668B">
      <w:pPr>
        <w:spacing w:after="0" w:line="276" w:lineRule="auto"/>
        <w:ind w:left="567" w:right="474"/>
        <w:jc w:val="both"/>
        <w:rPr>
          <w:rFonts w:ascii="Palatino Linotype" w:eastAsia="Palatino Linotype" w:hAnsi="Palatino Linotype" w:cs="Palatino Linotype"/>
        </w:rPr>
      </w:pPr>
    </w:p>
    <w:p w:rsidR="0091668B" w:rsidRDefault="00B9689E">
      <w:pPr>
        <w:spacing w:after="0" w:line="276" w:lineRule="auto"/>
        <w:ind w:left="567" w:right="474"/>
        <w:jc w:val="both"/>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i/>
        </w:rPr>
        <w:t>Ahora bien, resulta oportuno traer a contexto lo establecido en</w:t>
      </w:r>
      <w:r>
        <w:rPr>
          <w:rFonts w:ascii="Palatino Linotype" w:eastAsia="Palatino Linotype" w:hAnsi="Palatino Linotype" w:cs="Palatino Linotype"/>
          <w:i/>
        </w:rPr>
        <w:t xml:space="preserve"> la fracción XXXVIII del artículo 92 de la Ley de Transparencia y Acceso a la Información Pública de Estado de México y Municipios; precepto que describe la información documental que el sujeto obligado debe poseer y en su caso generar, toda vez que dicha </w:t>
      </w:r>
      <w:r>
        <w:rPr>
          <w:rFonts w:ascii="Palatino Linotype" w:eastAsia="Palatino Linotype" w:hAnsi="Palatino Linotype" w:cs="Palatino Linotype"/>
          <w:i/>
        </w:rPr>
        <w:t xml:space="preserve">información debe ser publica y accesible de manera permanente a cualquier persona, así dicho artículo establece que el inventario de bienes muebles e inmuebles en posesión y propiedad de los sujetos obligados, constituye una obligación de transparencia, y </w:t>
      </w:r>
      <w:r>
        <w:rPr>
          <w:rFonts w:ascii="Palatino Linotype" w:eastAsia="Palatino Linotype" w:hAnsi="Palatino Linotype" w:cs="Palatino Linotype"/>
          <w:i/>
        </w:rPr>
        <w:t>por ende, estos deberán poner a disposición del público de manera permanente y actualizada de forma sencilla, precisa y entendible, en los respectivos medios electrónicos, como se advierte enseguida:</w:t>
      </w:r>
      <w:r>
        <w:rPr>
          <w:rFonts w:ascii="Palatino Linotype" w:eastAsia="Palatino Linotype" w:hAnsi="Palatino Linotype" w:cs="Palatino Linotype"/>
        </w:rPr>
        <w:t xml:space="preserve"> </w:t>
      </w:r>
    </w:p>
    <w:p w:rsidR="0091668B" w:rsidRDefault="0091668B">
      <w:pPr>
        <w:spacing w:after="0" w:line="276" w:lineRule="auto"/>
        <w:ind w:left="567" w:right="474"/>
        <w:jc w:val="both"/>
        <w:rPr>
          <w:rFonts w:ascii="Palatino Linotype" w:eastAsia="Palatino Linotype" w:hAnsi="Palatino Linotype" w:cs="Palatino Linotype"/>
        </w:rPr>
      </w:pPr>
    </w:p>
    <w:p w:rsidR="0091668B" w:rsidRDefault="00B9689E">
      <w:pPr>
        <w:spacing w:after="0" w:line="240" w:lineRule="auto"/>
        <w:ind w:left="1134" w:right="1041"/>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92</w:t>
      </w:r>
      <w:r>
        <w:rPr>
          <w:rFonts w:ascii="Palatino Linotype" w:eastAsia="Palatino Linotype" w:hAnsi="Palatino Linotype" w:cs="Palatino Linotype"/>
          <w:i/>
        </w:rPr>
        <w:t>. Los sujetos obligados deberán poner a di</w:t>
      </w:r>
      <w:r>
        <w:rPr>
          <w:rFonts w:ascii="Palatino Linotype" w:eastAsia="Palatino Linotype" w:hAnsi="Palatino Linotype" w:cs="Palatino Linotype"/>
          <w:i/>
        </w:rPr>
        <w:t>sposición del público de manera permanente y actualizada de forma sencilla, precisa y entendible, en los respectivos medios electrónicos, de acuerdo con sus facultades, atribuciones, funciones u objeto social, según corresponda, la información, por lo meno</w:t>
      </w:r>
      <w:r>
        <w:rPr>
          <w:rFonts w:ascii="Palatino Linotype" w:eastAsia="Palatino Linotype" w:hAnsi="Palatino Linotype" w:cs="Palatino Linotype"/>
          <w:i/>
        </w:rPr>
        <w:t>s, de los temas, documentos y políticas que a continuación se señalan:</w:t>
      </w:r>
    </w:p>
    <w:p w:rsidR="0091668B" w:rsidRDefault="00B9689E">
      <w:pPr>
        <w:spacing w:after="0" w:line="240" w:lineRule="auto"/>
        <w:ind w:left="1134" w:right="1041"/>
        <w:jc w:val="both"/>
        <w:rPr>
          <w:rFonts w:ascii="Palatino Linotype" w:eastAsia="Palatino Linotype" w:hAnsi="Palatino Linotype" w:cs="Palatino Linotype"/>
        </w:rPr>
      </w:pPr>
      <w:r>
        <w:rPr>
          <w:rFonts w:ascii="Palatino Linotype" w:eastAsia="Palatino Linotype" w:hAnsi="Palatino Linotype" w:cs="Palatino Linotype"/>
          <w:i/>
        </w:rPr>
        <w:t>(…)</w:t>
      </w:r>
      <w:r>
        <w:rPr>
          <w:rFonts w:ascii="Palatino Linotype" w:eastAsia="Palatino Linotype" w:hAnsi="Palatino Linotype" w:cs="Palatino Linotype"/>
        </w:rPr>
        <w:t xml:space="preserve"> </w:t>
      </w:r>
    </w:p>
    <w:p w:rsidR="0091668B" w:rsidRDefault="00B9689E">
      <w:pPr>
        <w:spacing w:after="0" w:line="240" w:lineRule="auto"/>
        <w:ind w:left="1134" w:right="1041"/>
        <w:jc w:val="both"/>
        <w:rPr>
          <w:rFonts w:ascii="Palatino Linotype" w:eastAsia="Palatino Linotype" w:hAnsi="Palatino Linotype" w:cs="Palatino Linotype"/>
          <w:b/>
          <w:i/>
        </w:rPr>
      </w:pPr>
      <w:r>
        <w:rPr>
          <w:rFonts w:ascii="Palatino Linotype" w:eastAsia="Palatino Linotype" w:hAnsi="Palatino Linotype" w:cs="Palatino Linotype"/>
          <w:b/>
          <w:i/>
        </w:rPr>
        <w:t>XXXVIII. El inventario de bienes muebles e inmuebles en posesión y propiedad;</w:t>
      </w:r>
    </w:p>
    <w:p w:rsidR="0091668B" w:rsidRDefault="00B9689E">
      <w:pPr>
        <w:spacing w:after="0" w:line="240" w:lineRule="auto"/>
        <w:ind w:left="1134" w:right="1041"/>
        <w:jc w:val="both"/>
        <w:rPr>
          <w:rFonts w:ascii="Palatino Linotype" w:eastAsia="Palatino Linotype" w:hAnsi="Palatino Linotype" w:cs="Palatino Linotype"/>
          <w:i/>
        </w:rPr>
      </w:pPr>
      <w:r>
        <w:rPr>
          <w:rFonts w:ascii="Palatino Linotype" w:eastAsia="Palatino Linotype" w:hAnsi="Palatino Linotype" w:cs="Palatino Linotype"/>
          <w:i/>
        </w:rPr>
        <w:t>(…)”</w:t>
      </w:r>
    </w:p>
    <w:p w:rsidR="0091668B" w:rsidRDefault="00B9689E">
      <w:pPr>
        <w:spacing w:after="0" w:line="240" w:lineRule="auto"/>
        <w:ind w:left="1134" w:right="1041"/>
        <w:jc w:val="both"/>
        <w:rPr>
          <w:rFonts w:ascii="Palatino Linotype" w:eastAsia="Palatino Linotype" w:hAnsi="Palatino Linotype" w:cs="Palatino Linotype"/>
        </w:rPr>
      </w:pPr>
      <w:r>
        <w:rPr>
          <w:rFonts w:ascii="Palatino Linotype" w:eastAsia="Palatino Linotype" w:hAnsi="Palatino Linotype" w:cs="Palatino Linotype"/>
        </w:rPr>
        <w:t xml:space="preserve">(Énfasis añadido) </w:t>
      </w:r>
    </w:p>
    <w:p w:rsidR="0091668B" w:rsidRDefault="00B9689E">
      <w:pPr>
        <w:spacing w:after="0" w:line="276" w:lineRule="auto"/>
        <w:ind w:left="567" w:right="474"/>
        <w:jc w:val="both"/>
        <w:rPr>
          <w:rFonts w:ascii="Palatino Linotype" w:eastAsia="Palatino Linotype" w:hAnsi="Palatino Linotype" w:cs="Palatino Linotype"/>
        </w:rPr>
      </w:pPr>
      <w:r>
        <w:rPr>
          <w:rFonts w:ascii="Palatino Linotype" w:eastAsia="Palatino Linotype" w:hAnsi="Palatino Linotype" w:cs="Palatino Linotype"/>
        </w:rPr>
        <w:t>[…]</w:t>
      </w:r>
    </w:p>
    <w:p w:rsidR="0091668B" w:rsidRDefault="00B9689E">
      <w:pPr>
        <w:spacing w:after="0" w:line="276"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De los preceptos referidos con anterioridad, podemos advertir de la existe</w:t>
      </w:r>
      <w:r>
        <w:rPr>
          <w:rFonts w:ascii="Palatino Linotype" w:eastAsia="Palatino Linotype" w:hAnsi="Palatino Linotype" w:cs="Palatino Linotype"/>
          <w:i/>
        </w:rPr>
        <w:t>ncia de documentos específicos que pudieran colmar la pretensión del Recurrente, ya que los sujetos obligados deberán publicar el inventario de bienes inmuebles que utilicen, tengan a su cargo y/o les hayan sido asignados para el ejercicio de sus funciones</w:t>
      </w:r>
      <w:r>
        <w:rPr>
          <w:rFonts w:ascii="Palatino Linotype" w:eastAsia="Palatino Linotype" w:hAnsi="Palatino Linotype" w:cs="Palatino Linotype"/>
          <w:i/>
        </w:rPr>
        <w:t xml:space="preserve">, en dicho </w:t>
      </w:r>
      <w:r>
        <w:rPr>
          <w:rFonts w:ascii="Palatino Linotype" w:eastAsia="Palatino Linotype" w:hAnsi="Palatino Linotype" w:cs="Palatino Linotype"/>
          <w:i/>
        </w:rPr>
        <w:lastRenderedPageBreak/>
        <w:t>inventario se deberá incluir un inventario de altas, bajas y donaciones de bienes muebles e inmuebles.</w:t>
      </w:r>
    </w:p>
    <w:p w:rsidR="0091668B" w:rsidRDefault="0091668B">
      <w:pPr>
        <w:spacing w:after="0" w:line="276" w:lineRule="auto"/>
        <w:ind w:left="567" w:right="474"/>
        <w:jc w:val="both"/>
        <w:rPr>
          <w:rFonts w:ascii="Palatino Linotype" w:eastAsia="Palatino Linotype" w:hAnsi="Palatino Linotype" w:cs="Palatino Linotype"/>
        </w:rPr>
      </w:pPr>
    </w:p>
    <w:p w:rsidR="0091668B" w:rsidRDefault="00B9689E">
      <w:pPr>
        <w:spacing w:after="0" w:line="276" w:lineRule="auto"/>
        <w:ind w:left="567" w:right="474"/>
        <w:jc w:val="both"/>
        <w:rPr>
          <w:rFonts w:ascii="Palatino Linotype" w:eastAsia="Palatino Linotype" w:hAnsi="Palatino Linotype" w:cs="Palatino Linotype"/>
        </w:rPr>
      </w:pPr>
      <w:r>
        <w:rPr>
          <w:rFonts w:ascii="Palatino Linotype" w:eastAsia="Palatino Linotype" w:hAnsi="Palatino Linotype" w:cs="Palatino Linotype"/>
        </w:rPr>
        <w:t>[…]</w:t>
      </w:r>
    </w:p>
    <w:p w:rsidR="0091668B" w:rsidRDefault="0091668B">
      <w:pPr>
        <w:spacing w:after="0" w:line="276" w:lineRule="auto"/>
        <w:ind w:left="567" w:right="474"/>
        <w:jc w:val="both"/>
        <w:rPr>
          <w:rFonts w:ascii="Palatino Linotype" w:eastAsia="Palatino Linotype" w:hAnsi="Palatino Linotype" w:cs="Palatino Linotype"/>
        </w:rPr>
      </w:pPr>
    </w:p>
    <w:p w:rsidR="0091668B" w:rsidRDefault="00B9689E">
      <w:pPr>
        <w:spacing w:after="0" w:line="276" w:lineRule="auto"/>
        <w:ind w:left="567" w:right="474"/>
        <w:jc w:val="both"/>
        <w:rPr>
          <w:rFonts w:ascii="Palatino Linotype" w:eastAsia="Palatino Linotype" w:hAnsi="Palatino Linotype" w:cs="Palatino Linotype"/>
          <w:i/>
        </w:rPr>
      </w:pPr>
      <w:r>
        <w:rPr>
          <w:rFonts w:ascii="Palatino Linotype" w:eastAsia="Palatino Linotype" w:hAnsi="Palatino Linotype" w:cs="Palatino Linotype"/>
          <w:i/>
        </w:rPr>
        <w:t xml:space="preserve">No pasa desapercibido que el Sujeto Obligado debe registrar sus bienes inmuebles y muebles e identificar cuales se encuentren escriturados además deben ser reportados al Organismo Superior de Fiscalización del Estado de México,  lo anterior en términos de </w:t>
      </w:r>
      <w:r>
        <w:rPr>
          <w:rFonts w:ascii="Palatino Linotype" w:eastAsia="Palatino Linotype" w:hAnsi="Palatino Linotype" w:cs="Palatino Linotype"/>
          <w:i/>
        </w:rPr>
        <w:t xml:space="preserve">los </w:t>
      </w:r>
      <w:r>
        <w:rPr>
          <w:rFonts w:ascii="Palatino Linotype" w:eastAsia="Palatino Linotype" w:hAnsi="Palatino Linotype" w:cs="Palatino Linotype"/>
          <w:b/>
          <w:i/>
        </w:rPr>
        <w:t>Lineamientos para la Integración del Informe Trimestral Municipal</w:t>
      </w:r>
      <w:r>
        <w:rPr>
          <w:rFonts w:ascii="Palatino Linotype" w:eastAsia="Palatino Linotype" w:hAnsi="Palatino Linotype" w:cs="Palatino Linotype"/>
          <w:i/>
        </w:rPr>
        <w:t>, emitidos por el mismo Órgano Superior en específico en el módulo cuatro se aprecia que se debe reportar la información de los bienes inmuebles y muebles, como así se aprecia en las sigu</w:t>
      </w:r>
      <w:r>
        <w:rPr>
          <w:rFonts w:ascii="Palatino Linotype" w:eastAsia="Palatino Linotype" w:hAnsi="Palatino Linotype" w:cs="Palatino Linotype"/>
          <w:i/>
        </w:rPr>
        <w:t>ientes imágenes que de manera ilustrativa se insertan a continuación:</w:t>
      </w:r>
    </w:p>
    <w:p w:rsidR="0091668B" w:rsidRDefault="0091668B">
      <w:pPr>
        <w:spacing w:after="0" w:line="276" w:lineRule="auto"/>
        <w:ind w:left="567" w:right="474"/>
        <w:jc w:val="both"/>
        <w:rPr>
          <w:rFonts w:ascii="Palatino Linotype" w:eastAsia="Palatino Linotype" w:hAnsi="Palatino Linotype" w:cs="Palatino Linotype"/>
        </w:rPr>
      </w:pPr>
    </w:p>
    <w:p w:rsidR="0091668B" w:rsidRDefault="00B9689E">
      <w:pPr>
        <w:spacing w:after="0" w:line="276" w:lineRule="auto"/>
        <w:ind w:left="567" w:right="474"/>
        <w:jc w:val="both"/>
        <w:rPr>
          <w:rFonts w:ascii="Palatino Linotype" w:eastAsia="Palatino Linotype" w:hAnsi="Palatino Linotype" w:cs="Palatino Linotype"/>
        </w:rPr>
      </w:pPr>
      <w:r>
        <w:rPr>
          <w:rFonts w:ascii="Palatino Linotype" w:eastAsia="Palatino Linotype" w:hAnsi="Palatino Linotype" w:cs="Palatino Linotype"/>
        </w:rPr>
        <w:t>[…]</w:t>
      </w:r>
    </w:p>
    <w:p w:rsidR="0091668B" w:rsidRDefault="0091668B">
      <w:pPr>
        <w:spacing w:after="0" w:line="276" w:lineRule="auto"/>
        <w:ind w:left="567" w:right="474"/>
        <w:jc w:val="both"/>
        <w:rPr>
          <w:rFonts w:ascii="Palatino Linotype" w:eastAsia="Palatino Linotype" w:hAnsi="Palatino Linotype" w:cs="Palatino Linotype"/>
        </w:rPr>
      </w:pPr>
    </w:p>
    <w:p w:rsidR="0091668B" w:rsidRDefault="00B9689E">
      <w:pPr>
        <w:spacing w:after="0" w:line="276" w:lineRule="auto"/>
        <w:ind w:left="567" w:right="474"/>
        <w:jc w:val="both"/>
        <w:rPr>
          <w:rFonts w:ascii="Palatino Linotype" w:eastAsia="Palatino Linotype" w:hAnsi="Palatino Linotype" w:cs="Palatino Linotype"/>
        </w:rPr>
      </w:pPr>
      <w:r>
        <w:rPr>
          <w:rFonts w:ascii="Palatino Linotype" w:eastAsia="Palatino Linotype" w:hAnsi="Palatino Linotype" w:cs="Palatino Linotype"/>
          <w:b/>
          <w:i/>
        </w:rPr>
        <w:t>Sin que pase por desapercibido por  este Instituto que en fecha diez de junio de dos mil veinticuatro se abrogaron los Lineamientos para el Registro y Control del Inventario y la C</w:t>
      </w:r>
      <w:r>
        <w:rPr>
          <w:rFonts w:ascii="Palatino Linotype" w:eastAsia="Palatino Linotype" w:hAnsi="Palatino Linotype" w:cs="Palatino Linotype"/>
          <w:b/>
          <w:i/>
        </w:rPr>
        <w:t>onciliación y Desincorporación de Bienes Muebles e Inmuebles para las Entidades Fiscalizables Municipales del Estado de México</w:t>
      </w:r>
      <w:r>
        <w:rPr>
          <w:rFonts w:ascii="Palatino Linotype" w:eastAsia="Palatino Linotype" w:hAnsi="Palatino Linotype" w:cs="Palatino Linotype"/>
          <w:i/>
        </w:rPr>
        <w:t xml:space="preserve"> los cuales tenían por objeto establecer disposiciones para el registro y control del inventario y la conciliación y desincorporac</w:t>
      </w:r>
      <w:r>
        <w:rPr>
          <w:rFonts w:ascii="Palatino Linotype" w:eastAsia="Palatino Linotype" w:hAnsi="Palatino Linotype" w:cs="Palatino Linotype"/>
          <w:i/>
        </w:rPr>
        <w:t xml:space="preserve">ión de bienes muebles e inmuebles para las entidades fiscalizables municipales por lo que es de recordarse que el Recurrente solicito información de los años 2023 y 2024 </w:t>
      </w:r>
      <w:r>
        <w:rPr>
          <w:rFonts w:ascii="Palatino Linotype" w:eastAsia="Palatino Linotype" w:hAnsi="Palatino Linotype" w:cs="Palatino Linotype"/>
          <w:b/>
          <w:i/>
        </w:rPr>
        <w:t>por lo que la temporalidad debe ser modificada del primero de enero de dos mil veintit</w:t>
      </w:r>
      <w:r>
        <w:rPr>
          <w:rFonts w:ascii="Palatino Linotype" w:eastAsia="Palatino Linotype" w:hAnsi="Palatino Linotype" w:cs="Palatino Linotype"/>
          <w:b/>
          <w:i/>
        </w:rPr>
        <w:t xml:space="preserve">rés al </w:t>
      </w:r>
      <w:r>
        <w:rPr>
          <w:rFonts w:ascii="Palatino Linotype" w:eastAsia="Palatino Linotype" w:hAnsi="Palatino Linotype" w:cs="Palatino Linotype"/>
          <w:b/>
          <w:i/>
          <w:u w:val="single"/>
        </w:rPr>
        <w:t>diez de junio de dos mil veinticuatro</w:t>
      </w:r>
      <w:r>
        <w:rPr>
          <w:rFonts w:ascii="Palatino Linotype" w:eastAsia="Palatino Linotype" w:hAnsi="Palatino Linotype" w:cs="Palatino Linotype"/>
          <w:i/>
          <w:u w:val="single"/>
        </w:rPr>
        <w:t>.</w:t>
      </w:r>
      <w:r>
        <w:rPr>
          <w:rFonts w:ascii="Palatino Linotype" w:eastAsia="Palatino Linotype" w:hAnsi="Palatino Linotype" w:cs="Palatino Linotype"/>
        </w:rPr>
        <w:t>[…]”</w:t>
      </w:r>
    </w:p>
    <w:p w:rsidR="0091668B" w:rsidRDefault="0091668B">
      <w:pPr>
        <w:spacing w:after="0" w:line="360" w:lineRule="auto"/>
        <w:jc w:val="both"/>
        <w:rPr>
          <w:rFonts w:ascii="Palatino Linotype" w:eastAsia="Palatino Linotype" w:hAnsi="Palatino Linotype" w:cs="Palatino Linotype"/>
        </w:rPr>
      </w:pPr>
    </w:p>
    <w:p w:rsidR="0091668B" w:rsidRDefault="00B9689E">
      <w:pPr>
        <w:spacing w:after="0" w:line="360" w:lineRule="auto"/>
        <w:jc w:val="both"/>
        <w:rPr>
          <w:rFonts w:ascii="Palatino Linotype" w:eastAsia="Palatino Linotype" w:hAnsi="Palatino Linotype" w:cs="Palatino Linotype"/>
        </w:rPr>
      </w:pPr>
      <w:bookmarkStart w:id="7" w:name="_heading=h.ltf4c75zk37" w:colFirst="0" w:colLast="0"/>
      <w:bookmarkEnd w:id="7"/>
      <w:r>
        <w:rPr>
          <w:rFonts w:ascii="Palatino Linotype" w:eastAsia="Palatino Linotype" w:hAnsi="Palatino Linotype" w:cs="Palatino Linotype"/>
        </w:rPr>
        <w:t>De lo anterior, si bien de la resolución del medio de impugnación que nos ocupa, se advierte el análisis relativo a que los inventarios de bienes constituyen una obligación de transparencia común que los s</w:t>
      </w:r>
      <w:r>
        <w:rPr>
          <w:rFonts w:ascii="Palatino Linotype" w:eastAsia="Palatino Linotype" w:hAnsi="Palatino Linotype" w:cs="Palatino Linotype"/>
        </w:rPr>
        <w:t>ujetos obligados se encuentran constreñidos a poner a disposición del público de manera permanente y actualizada; y, que dicha información el ente obligado se encuentra constreñido a reportarlo en su informe trimestral municipal al Órgano Superior de Fisca</w:t>
      </w:r>
      <w:r>
        <w:rPr>
          <w:rFonts w:ascii="Palatino Linotype" w:eastAsia="Palatino Linotype" w:hAnsi="Palatino Linotype" w:cs="Palatino Linotype"/>
        </w:rPr>
        <w:t xml:space="preserve">lización del Estado de México, conforme los Lineamientos para la </w:t>
      </w:r>
      <w:r>
        <w:rPr>
          <w:rFonts w:ascii="Palatino Linotype" w:eastAsia="Palatino Linotype" w:hAnsi="Palatino Linotype" w:cs="Palatino Linotype"/>
        </w:rPr>
        <w:lastRenderedPageBreak/>
        <w:t>Integración, Presentación y Envío de los Informes Trimestrales Municipales; en el proyecto, de manera infundada, se determina modificar la temporalidad requerida del inventario respecto del e</w:t>
      </w:r>
      <w:r>
        <w:rPr>
          <w:rFonts w:ascii="Palatino Linotype" w:eastAsia="Palatino Linotype" w:hAnsi="Palatino Linotype" w:cs="Palatino Linotype"/>
        </w:rPr>
        <w:t xml:space="preserve">jercicio 2024, y únicamente ordenar dicho inventario del periodo comprendido del primero de enero al diez junio de dos mil veinticuatro; ello, atendiendo que el diez de junio de dos mil veinticuatro se abrogaron los Lineamientos para el Registro y Control </w:t>
      </w:r>
      <w:r>
        <w:rPr>
          <w:rFonts w:ascii="Palatino Linotype" w:eastAsia="Palatino Linotype" w:hAnsi="Palatino Linotype" w:cs="Palatino Linotype"/>
        </w:rPr>
        <w:t>del Inventario y la Conciliación y Desincorporación de Bienes Muebles e Inmuebles para las Entidades Fiscalizables Municipales del Estado de México.</w:t>
      </w:r>
    </w:p>
    <w:p w:rsidR="0091668B" w:rsidRDefault="0091668B">
      <w:pPr>
        <w:spacing w:after="0" w:line="360" w:lineRule="auto"/>
        <w:jc w:val="both"/>
        <w:rPr>
          <w:rFonts w:ascii="Palatino Linotype" w:eastAsia="Palatino Linotype" w:hAnsi="Palatino Linotype" w:cs="Palatino Linotype"/>
        </w:rPr>
      </w:pPr>
    </w:p>
    <w:p w:rsidR="0091668B" w:rsidRDefault="00B9689E">
      <w:pPr>
        <w:spacing w:after="0"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rPr>
        <w:t>Lo anterior, sin tomar en cuenta, que es en los propios Lineamientos para la Integración, Presentación y E</w:t>
      </w:r>
      <w:r>
        <w:rPr>
          <w:rFonts w:ascii="Palatino Linotype" w:eastAsia="Palatino Linotype" w:hAnsi="Palatino Linotype" w:cs="Palatino Linotype"/>
        </w:rPr>
        <w:t xml:space="preserve">nvío de los Informes Trimestrales Municipales, que emite el Órgano Superior de Fiscalización del Estado de México, y que incluso se citan en la resolución, en </w:t>
      </w:r>
      <w:r>
        <w:rPr>
          <w:rFonts w:ascii="Palatino Linotype" w:eastAsia="Palatino Linotype" w:hAnsi="Palatino Linotype" w:cs="Palatino Linotype"/>
          <w:b/>
          <w:u w:val="single"/>
        </w:rPr>
        <w:t>los que en su Módulo 4, refieren que el inventario de bienes se actualiza de manera semestral.</w:t>
      </w:r>
    </w:p>
    <w:p w:rsidR="0091668B" w:rsidRDefault="0091668B">
      <w:pPr>
        <w:spacing w:after="0" w:line="360" w:lineRule="auto"/>
        <w:jc w:val="both"/>
        <w:rPr>
          <w:rFonts w:ascii="Palatino Linotype" w:eastAsia="Palatino Linotype" w:hAnsi="Palatino Linotype" w:cs="Palatino Linotype"/>
          <w:b/>
          <w:u w:val="single"/>
        </w:rPr>
      </w:pPr>
    </w:p>
    <w:p w:rsidR="0091668B" w:rsidRDefault="00B9689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w:t>
      </w:r>
      <w:r>
        <w:rPr>
          <w:rFonts w:ascii="Palatino Linotype" w:eastAsia="Palatino Linotype" w:hAnsi="Palatino Linotype" w:cs="Palatino Linotype"/>
        </w:rPr>
        <w:t xml:space="preserve">or lo que, atendiendo que la solicitud que dio origen al recurso de revisión que nos ocupa se presentó el veintisiete de enero de dos mil veinticinco, por tanto el Ayuntamiento de </w:t>
      </w:r>
      <w:proofErr w:type="spellStart"/>
      <w:r>
        <w:rPr>
          <w:rFonts w:ascii="Palatino Linotype" w:eastAsia="Palatino Linotype" w:hAnsi="Palatino Linotype" w:cs="Palatino Linotype"/>
        </w:rPr>
        <w:t>Joquicingo</w:t>
      </w:r>
      <w:proofErr w:type="spellEnd"/>
      <w:r>
        <w:rPr>
          <w:rFonts w:ascii="Palatino Linotype" w:eastAsia="Palatino Linotype" w:hAnsi="Palatino Linotype" w:cs="Palatino Linotype"/>
        </w:rPr>
        <w:t>, debe contar con la información –inventario de bienes- respecto d</w:t>
      </w:r>
      <w:r>
        <w:rPr>
          <w:rFonts w:ascii="Palatino Linotype" w:eastAsia="Palatino Linotype" w:hAnsi="Palatino Linotype" w:cs="Palatino Linotype"/>
        </w:rPr>
        <w:t>e todo el ejercicio 2024.</w:t>
      </w:r>
    </w:p>
    <w:p w:rsidR="0091668B" w:rsidRDefault="0091668B">
      <w:pPr>
        <w:spacing w:after="0" w:line="360" w:lineRule="auto"/>
        <w:jc w:val="both"/>
        <w:rPr>
          <w:rFonts w:ascii="Palatino Linotype" w:eastAsia="Palatino Linotype" w:hAnsi="Palatino Linotype" w:cs="Palatino Linotype"/>
        </w:rPr>
      </w:pPr>
    </w:p>
    <w:p w:rsidR="0091668B" w:rsidRDefault="00B9689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Resulta conveniente citar el contenido del Módulo 4, de los Lineamientos señalados en el párrafo anterior, que señalan la periodicidad en la que se genera la información relativa al inventario de bienes:</w:t>
      </w:r>
    </w:p>
    <w:p w:rsidR="0091668B" w:rsidRDefault="0091668B">
      <w:pPr>
        <w:spacing w:after="0" w:line="360" w:lineRule="auto"/>
        <w:jc w:val="both"/>
        <w:rPr>
          <w:rFonts w:ascii="Palatino Linotype" w:eastAsia="Palatino Linotype" w:hAnsi="Palatino Linotype" w:cs="Palatino Linotype"/>
        </w:rPr>
      </w:pPr>
    </w:p>
    <w:p w:rsidR="0091668B" w:rsidRDefault="00B9689E">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172075" cy="4762500"/>
            <wp:effectExtent l="0" t="0" r="0" b="0"/>
            <wp:docPr id="1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172075" cy="4762500"/>
                    </a:xfrm>
                    <a:prstGeom prst="rect">
                      <a:avLst/>
                    </a:prstGeom>
                    <a:ln/>
                  </pic:spPr>
                </pic:pic>
              </a:graphicData>
            </a:graphic>
          </wp:inline>
        </w:drawing>
      </w:r>
    </w:p>
    <w:p w:rsidR="0091668B" w:rsidRDefault="0091668B">
      <w:pPr>
        <w:spacing w:after="0" w:line="360" w:lineRule="auto"/>
        <w:jc w:val="both"/>
        <w:rPr>
          <w:rFonts w:ascii="Palatino Linotype" w:eastAsia="Palatino Linotype" w:hAnsi="Palatino Linotype" w:cs="Palatino Linotype"/>
        </w:rPr>
      </w:pPr>
    </w:p>
    <w:p w:rsidR="0091668B" w:rsidRDefault="00B9689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Máxime que incluso la</w:t>
      </w:r>
      <w:r>
        <w:rPr>
          <w:rFonts w:ascii="Palatino Linotype" w:eastAsia="Palatino Linotype" w:hAnsi="Palatino Linotype" w:cs="Palatino Linotype"/>
        </w:rPr>
        <w:t xml:space="preserve"> Ley de Transparencia y Acceso a la Información Pública del Estado de México y Municipios, en su numeral 92, fracción XXXVIII, así como los LINEAMIENTOS TÉCNICOS GENERALES PARA LA PUBLICACIÓN, HOMOLOGACIÓN Y ESTANDARIZACIÓN DE LA INFORMACIÓN DE LAS OBLIGAC</w:t>
      </w:r>
      <w:r>
        <w:rPr>
          <w:rFonts w:ascii="Palatino Linotype" w:eastAsia="Palatino Linotype" w:hAnsi="Palatino Linotype" w:cs="Palatino Linotype"/>
        </w:rPr>
        <w:t>IONES ESTABLECIDAS EN EL TÍTULO QUINTO Y EN LA FRACCIÓN IV DEL ARTÍCULO 31 DE LA LEY GENERAL DE TRANSPARENCIA Y ACCESO A LA INFORMACIÓN PÚBLICA, QUE DEBEN DE DIFUNDIR LOS SUJETOS OBLIGADOS EN LOS PORTALES DE INTERNET Y EN LA PLATAFORMA NACIONAL DE TRANSPAR</w:t>
      </w:r>
      <w:r>
        <w:rPr>
          <w:rFonts w:ascii="Palatino Linotype" w:eastAsia="Palatino Linotype" w:hAnsi="Palatino Linotype" w:cs="Palatino Linotype"/>
        </w:rPr>
        <w:t xml:space="preserve">ENCIA, vigentes a la fecha de la </w:t>
      </w:r>
      <w:r>
        <w:rPr>
          <w:rFonts w:ascii="Palatino Linotype" w:eastAsia="Palatino Linotype" w:hAnsi="Palatino Linotype" w:cs="Palatino Linotype"/>
        </w:rPr>
        <w:lastRenderedPageBreak/>
        <w:t xml:space="preserve">solicitud de información, disponen que el periodo de actualización del inventario de bienes, </w:t>
      </w:r>
      <w:r>
        <w:rPr>
          <w:rFonts w:ascii="Palatino Linotype" w:eastAsia="Palatino Linotype" w:hAnsi="Palatino Linotype" w:cs="Palatino Linotype"/>
          <w:b/>
          <w:u w:val="single"/>
        </w:rPr>
        <w:t>es de manera semestral</w:t>
      </w:r>
      <w:r>
        <w:rPr>
          <w:rFonts w:ascii="Palatino Linotype" w:eastAsia="Palatino Linotype" w:hAnsi="Palatino Linotype" w:cs="Palatino Linotype"/>
        </w:rPr>
        <w:t xml:space="preserve">, o, en su caso, </w:t>
      </w:r>
      <w:r>
        <w:rPr>
          <w:rFonts w:ascii="Palatino Linotype" w:eastAsia="Palatino Linotype" w:hAnsi="Palatino Linotype" w:cs="Palatino Linotype"/>
          <w:u w:val="single"/>
        </w:rPr>
        <w:t>treinta días hábiles después de adquirir o dar de baja un bien</w:t>
      </w:r>
      <w:r>
        <w:rPr>
          <w:rFonts w:ascii="Palatino Linotype" w:eastAsia="Palatino Linotype" w:hAnsi="Palatino Linotype" w:cs="Palatino Linotype"/>
        </w:rPr>
        <w:t>, como se muestra:</w:t>
      </w:r>
    </w:p>
    <w:p w:rsidR="0091668B" w:rsidRDefault="0091668B">
      <w:pPr>
        <w:spacing w:after="0" w:line="360" w:lineRule="auto"/>
        <w:jc w:val="both"/>
        <w:rPr>
          <w:rFonts w:ascii="Palatino Linotype" w:eastAsia="Palatino Linotype" w:hAnsi="Palatino Linotype" w:cs="Palatino Linotype"/>
        </w:rPr>
      </w:pPr>
    </w:p>
    <w:p w:rsidR="0091668B" w:rsidRDefault="00B9689E">
      <w:pPr>
        <w:spacing w:after="0" w:line="360" w:lineRule="auto"/>
        <w:ind w:left="851" w:right="900"/>
        <w:jc w:val="both"/>
        <w:rPr>
          <w:rFonts w:ascii="Palatino Linotype" w:eastAsia="Palatino Linotype" w:hAnsi="Palatino Linotype" w:cs="Palatino Linotype"/>
          <w:b/>
          <w:i/>
        </w:rPr>
      </w:pPr>
      <w:r>
        <w:rPr>
          <w:rFonts w:ascii="Palatino Linotype" w:eastAsia="Palatino Linotype" w:hAnsi="Palatino Linotype" w:cs="Palatino Linotype"/>
          <w:b/>
          <w:i/>
        </w:rPr>
        <w:t>“LEY DE T</w:t>
      </w:r>
      <w:r>
        <w:rPr>
          <w:rFonts w:ascii="Palatino Linotype" w:eastAsia="Palatino Linotype" w:hAnsi="Palatino Linotype" w:cs="Palatino Linotype"/>
          <w:b/>
          <w:i/>
        </w:rPr>
        <w:t>RANSPARENCIA Y ACCESO A LA INFORMACIÓN PÚBLICA DEL ESTADO DE MÉXICO Y MUNICIPIOS</w:t>
      </w:r>
    </w:p>
    <w:p w:rsidR="0091668B" w:rsidRDefault="00B9689E">
      <w:pPr>
        <w:spacing w:after="0" w:line="36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92.</w:t>
      </w:r>
      <w:r>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w:t>
      </w:r>
      <w:r>
        <w:rPr>
          <w:rFonts w:ascii="Palatino Linotype" w:eastAsia="Palatino Linotype" w:hAnsi="Palatino Linotype" w:cs="Palatino Linotype"/>
          <w:i/>
        </w:rPr>
        <w:t xml:space="preserve"> corresponda, la información, por lo menos, de los temas, documentos y políticas que a continuación se señalan:</w:t>
      </w:r>
    </w:p>
    <w:p w:rsidR="0091668B" w:rsidRDefault="00B9689E">
      <w:pPr>
        <w:spacing w:after="0" w:line="36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91668B" w:rsidRDefault="00B9689E">
      <w:pPr>
        <w:spacing w:after="0" w:line="36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XXXVIII. El inventario de bienes muebles e inmuebles en posesión y propiedad;</w:t>
      </w:r>
    </w:p>
    <w:p w:rsidR="0091668B" w:rsidRDefault="00B9689E">
      <w:pPr>
        <w:spacing w:after="0" w:line="360" w:lineRule="auto"/>
        <w:ind w:left="851" w:right="900"/>
        <w:jc w:val="both"/>
        <w:rPr>
          <w:rFonts w:ascii="Palatino Linotype" w:eastAsia="Palatino Linotype" w:hAnsi="Palatino Linotype" w:cs="Palatino Linotype"/>
          <w:b/>
          <w:i/>
          <w:u w:val="single"/>
        </w:rPr>
      </w:pPr>
      <w:r>
        <w:rPr>
          <w:rFonts w:ascii="Palatino Linotype" w:eastAsia="Palatino Linotype" w:hAnsi="Palatino Linotype" w:cs="Palatino Linotype"/>
          <w:i/>
        </w:rPr>
        <w:t>Periodo de actualización:</w:t>
      </w:r>
      <w:r>
        <w:rPr>
          <w:rFonts w:ascii="Palatino Linotype" w:eastAsia="Palatino Linotype" w:hAnsi="Palatino Linotype" w:cs="Palatino Linotype"/>
          <w:b/>
          <w:i/>
          <w:u w:val="single"/>
        </w:rPr>
        <w:t xml:space="preserve"> semestral</w:t>
      </w:r>
    </w:p>
    <w:p w:rsidR="0091668B" w:rsidRDefault="00B9689E">
      <w:pPr>
        <w:spacing w:after="0" w:line="360" w:lineRule="auto"/>
        <w:ind w:left="851" w:right="900"/>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En su caso, 30 días hábiles después de adquirir o dar de baja algún bien.”</w:t>
      </w:r>
    </w:p>
    <w:p w:rsidR="0091668B" w:rsidRDefault="0091668B">
      <w:pPr>
        <w:spacing w:after="0" w:line="360" w:lineRule="auto"/>
        <w:ind w:left="851" w:right="900"/>
        <w:jc w:val="both"/>
        <w:rPr>
          <w:rFonts w:ascii="Palatino Linotype" w:eastAsia="Palatino Linotype" w:hAnsi="Palatino Linotype" w:cs="Palatino Linotype"/>
        </w:rPr>
      </w:pPr>
    </w:p>
    <w:p w:rsidR="0091668B" w:rsidRDefault="00B9689E">
      <w:pPr>
        <w:spacing w:after="0" w:line="360" w:lineRule="auto"/>
        <w:ind w:left="851" w:right="90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“LINEAMIENTOS TÉCNICOS GENERALES PARA LA PUBLICACIÓN, HOMOLOGACIÓN Y ESTANDARIZACIÓN DE LA INFORMACIÓN DE LAS OBLIGACIONES ESTABLECIDAS EN EL TÍTULO QUINTO Y EN LA FRACCIÓN IV DEL </w:t>
      </w:r>
      <w:r>
        <w:rPr>
          <w:rFonts w:ascii="Palatino Linotype" w:eastAsia="Palatino Linotype" w:hAnsi="Palatino Linotype" w:cs="Palatino Linotype"/>
          <w:b/>
          <w:i/>
        </w:rPr>
        <w:t>ARTÍCULO 31 DE LA LEY GENERAL DE TRANSPARENCIA Y ACCESO A LA INFORMACIÓN PÚBLICA, QUE DEBEN DE DIFUNDIR LOS SUJETOS OBLIGADOS EN LOS PORTALES DE INTERNET Y EN LA PLATAFORMA NACIONAL DE TRANSPARENCIA</w:t>
      </w:r>
    </w:p>
    <w:p w:rsidR="0091668B" w:rsidRDefault="0091668B">
      <w:pPr>
        <w:spacing w:after="0" w:line="360" w:lineRule="auto"/>
        <w:ind w:left="851" w:right="900"/>
        <w:jc w:val="both"/>
        <w:rPr>
          <w:rFonts w:ascii="Palatino Linotype" w:eastAsia="Palatino Linotype" w:hAnsi="Palatino Linotype" w:cs="Palatino Linotype"/>
          <w:i/>
        </w:rPr>
      </w:pPr>
    </w:p>
    <w:p w:rsidR="0091668B" w:rsidRDefault="00B9689E">
      <w:pPr>
        <w:spacing w:after="0" w:line="36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XXXIV. El inventario de bienes muebles e inmuebles en po</w:t>
      </w:r>
      <w:r>
        <w:rPr>
          <w:rFonts w:ascii="Palatino Linotype" w:eastAsia="Palatino Linotype" w:hAnsi="Palatino Linotype" w:cs="Palatino Linotype"/>
          <w:i/>
        </w:rPr>
        <w:t>sesión y propiedad</w:t>
      </w:r>
    </w:p>
    <w:p w:rsidR="0091668B" w:rsidRDefault="00B9689E">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4734805" cy="2906935"/>
            <wp:effectExtent l="0" t="0" r="0" b="0"/>
            <wp:docPr id="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734805" cy="2906935"/>
                    </a:xfrm>
                    <a:prstGeom prst="rect">
                      <a:avLst/>
                    </a:prstGeom>
                    <a:ln/>
                  </pic:spPr>
                </pic:pic>
              </a:graphicData>
            </a:graphic>
          </wp:inline>
        </w:drawing>
      </w:r>
      <w:r>
        <w:rPr>
          <w:rFonts w:ascii="Palatino Linotype" w:eastAsia="Palatino Linotype" w:hAnsi="Palatino Linotype" w:cs="Palatino Linotype"/>
        </w:rPr>
        <w:t>”</w:t>
      </w:r>
    </w:p>
    <w:p w:rsidR="0091668B" w:rsidRDefault="0091668B">
      <w:pPr>
        <w:spacing w:after="0" w:line="360" w:lineRule="auto"/>
        <w:ind w:right="142"/>
        <w:jc w:val="both"/>
        <w:rPr>
          <w:rFonts w:ascii="Palatino Linotype" w:eastAsia="Palatino Linotype" w:hAnsi="Palatino Linotype" w:cs="Palatino Linotype"/>
        </w:rPr>
      </w:pPr>
    </w:p>
    <w:p w:rsidR="0091668B" w:rsidRDefault="00B9689E">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Es por las razones expuestas, que la suscrita no comparte que el inventario de bienes muebles, requerido respecto del ejercicio dos mil veinticuatro, se haya ordenado su entrega únicamente respecto del periodo comprendido del primero</w:t>
      </w:r>
      <w:r>
        <w:rPr>
          <w:rFonts w:ascii="Palatino Linotype" w:eastAsia="Palatino Linotype" w:hAnsi="Palatino Linotype" w:cs="Palatino Linotype"/>
        </w:rPr>
        <w:t xml:space="preserve"> de enero al diez de junio de dos mil veinticuatro, en virtud de que existe fuente obligacional contar con la información actualizada al mes de diciembre de dos mil veinticuatro; </w:t>
      </w:r>
      <w:r>
        <w:rPr>
          <w:rFonts w:ascii="Palatino Linotype" w:eastAsia="Palatino Linotype" w:hAnsi="Palatino Linotype" w:cs="Palatino Linotype"/>
          <w:u w:val="single"/>
        </w:rPr>
        <w:t xml:space="preserve">y, por dichas consideraciones es que se emite el presente </w:t>
      </w:r>
      <w:r>
        <w:rPr>
          <w:rFonts w:ascii="Palatino Linotype" w:eastAsia="Palatino Linotype" w:hAnsi="Palatino Linotype" w:cs="Palatino Linotype"/>
          <w:b/>
          <w:u w:val="single"/>
        </w:rPr>
        <w:t>Voto Particular.</w:t>
      </w:r>
      <w:r>
        <w:rPr>
          <w:rFonts w:ascii="Palatino Linotype" w:eastAsia="Palatino Linotype" w:hAnsi="Palatino Linotype" w:cs="Palatino Linotype"/>
        </w:rPr>
        <w:t xml:space="preserve"> </w:t>
      </w: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Pr>
        <w:spacing w:after="0" w:line="360" w:lineRule="auto"/>
        <w:ind w:right="142"/>
        <w:jc w:val="both"/>
        <w:rPr>
          <w:rFonts w:ascii="Palatino Linotype" w:eastAsia="Palatino Linotype" w:hAnsi="Palatino Linotype" w:cs="Palatino Linotype"/>
        </w:rPr>
      </w:pPr>
    </w:p>
    <w:p w:rsidR="0091668B" w:rsidRDefault="0091668B"/>
    <w:p w:rsidR="0091668B" w:rsidRDefault="0091668B"/>
    <w:sectPr w:rsidR="0091668B">
      <w:headerReference w:type="default" r:id="rId10"/>
      <w:pgSz w:w="12240" w:h="15840"/>
      <w:pgMar w:top="1417" w:right="1701" w:bottom="212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9E" w:rsidRDefault="00B9689E">
      <w:pPr>
        <w:spacing w:after="0" w:line="240" w:lineRule="auto"/>
      </w:pPr>
      <w:r>
        <w:separator/>
      </w:r>
    </w:p>
  </w:endnote>
  <w:endnote w:type="continuationSeparator" w:id="0">
    <w:p w:rsidR="00B9689E" w:rsidRDefault="00B9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9E" w:rsidRDefault="00B9689E">
      <w:pPr>
        <w:spacing w:after="0" w:line="240" w:lineRule="auto"/>
      </w:pPr>
      <w:r>
        <w:separator/>
      </w:r>
    </w:p>
  </w:footnote>
  <w:footnote w:type="continuationSeparator" w:id="0">
    <w:p w:rsidR="00B9689E" w:rsidRDefault="00B96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8B" w:rsidRDefault="00B9689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58240" behindDoc="1" locked="0" layoutInCell="1" hidden="0" allowOverlap="1">
          <wp:simplePos x="0" y="0"/>
          <wp:positionH relativeFrom="column">
            <wp:posOffset>-723261</wp:posOffset>
          </wp:positionH>
          <wp:positionV relativeFrom="paragraph">
            <wp:posOffset>-552446</wp:posOffset>
          </wp:positionV>
          <wp:extent cx="7510628" cy="9883775"/>
          <wp:effectExtent l="0" t="0" r="0" b="0"/>
          <wp:wrapNone/>
          <wp:docPr id="1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91668B" w:rsidRDefault="00B9689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02535/INFOEM/IP/RR/2025.</w:t>
    </w:r>
  </w:p>
  <w:p w:rsidR="0091668B" w:rsidRDefault="00B9689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Ayuntamiento de </w:t>
    </w:r>
    <w:proofErr w:type="spellStart"/>
    <w:r>
      <w:rPr>
        <w:rFonts w:ascii="Palatino Linotype" w:eastAsia="Palatino Linotype" w:hAnsi="Palatino Linotype" w:cs="Palatino Linotype"/>
        <w:b/>
        <w:color w:val="000000"/>
        <w:sz w:val="20"/>
        <w:szCs w:val="20"/>
      </w:rPr>
      <w:t>Joquicingo</w:t>
    </w:r>
    <w:proofErr w:type="spellEnd"/>
    <w:r>
      <w:rPr>
        <w:rFonts w:ascii="Palatino Linotype" w:eastAsia="Palatino Linotype" w:hAnsi="Palatino Linotype" w:cs="Palatino Linotype"/>
        <w:b/>
        <w:color w:val="000000"/>
        <w:sz w:val="20"/>
        <w:szCs w:val="20"/>
      </w:rPr>
      <w:t>.</w:t>
    </w:r>
  </w:p>
  <w:p w:rsidR="0091668B" w:rsidRDefault="00B9689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Comisionado Ponente:</w:t>
    </w:r>
    <w:r>
      <w:t xml:space="preserve"> </w:t>
    </w:r>
    <w:r>
      <w:rPr>
        <w:rFonts w:ascii="Palatino Linotype" w:eastAsia="Palatino Linotype" w:hAnsi="Palatino Linotype" w:cs="Palatino Linotype"/>
        <w:b/>
        <w:color w:val="000000"/>
        <w:sz w:val="20"/>
        <w:szCs w:val="20"/>
      </w:rPr>
      <w:t xml:space="preserve">José Martínez Vilchis. </w:t>
    </w:r>
  </w:p>
  <w:p w:rsidR="0091668B" w:rsidRDefault="0091668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E5F18"/>
    <w:multiLevelType w:val="multilevel"/>
    <w:tmpl w:val="C8B20C16"/>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7D454E"/>
    <w:multiLevelType w:val="multilevel"/>
    <w:tmpl w:val="1C3EEC8C"/>
    <w:lvl w:ilvl="0">
      <w:start w:val="1"/>
      <w:numFmt w:val="lowerLetter"/>
      <w:lvlText w:val="%1."/>
      <w:lvlJc w:val="left"/>
      <w:pPr>
        <w:ind w:left="1145" w:hanging="360"/>
      </w:pPr>
      <w:rPr>
        <w:b/>
        <w:color w:val="000000"/>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 w15:restartNumberingAfterBreak="0">
    <w:nsid w:val="7DF16AE0"/>
    <w:multiLevelType w:val="multilevel"/>
    <w:tmpl w:val="E35845FA"/>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8B"/>
    <w:rsid w:val="0091668B"/>
    <w:rsid w:val="0092193B"/>
    <w:rsid w:val="00B968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4D138-16F0-42A1-A669-DC64BB32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B5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70B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B56"/>
    <w:rPr>
      <w:rFonts w:ascii="Calibri" w:eastAsia="Calibri" w:hAnsi="Calibri" w:cs="Calibri"/>
      <w:lang w:eastAsia="es-MX"/>
    </w:rPr>
  </w:style>
  <w:style w:type="paragraph" w:styleId="Piedepgina">
    <w:name w:val="footer"/>
    <w:basedOn w:val="Normal"/>
    <w:link w:val="PiedepginaCar"/>
    <w:uiPriority w:val="99"/>
    <w:unhideWhenUsed/>
    <w:rsid w:val="00D70B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B56"/>
    <w:rPr>
      <w:rFonts w:ascii="Calibri" w:eastAsia="Calibri" w:hAnsi="Calibri" w:cs="Calibri"/>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0B5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0B56"/>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LqMSHziPobfFA0qOTpRBT3W4A==">CgMxLjAyCGgudHlqY3d0Mg5oLnY1dmxxYnIyeDl1cDIOaC5mYTljY2pobnR5Y3EyDmgud2VzZmRteDgzZHdpMg5oLmkzNXhpMHV1ZWVkcjIOaC5jZ2I4eXgzaHd1NnIyDWgubHRmNGM3NXprMzc4AHIhMW90UVNjWS05VkQ5UzZhVS1hTHVxbjh4bnBucVIwcEJz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1793</Words>
  <Characters>9864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INFOEM-411</cp:lastModifiedBy>
  <cp:revision>2</cp:revision>
  <dcterms:created xsi:type="dcterms:W3CDTF">2025-05-26T16:52:00Z</dcterms:created>
  <dcterms:modified xsi:type="dcterms:W3CDTF">2025-05-26T16:52:00Z</dcterms:modified>
</cp:coreProperties>
</file>