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794D09" w14:textId="77777777" w:rsidR="009D0379" w:rsidRDefault="009D0379" w:rsidP="00E9781B">
      <w:pPr>
        <w:spacing w:after="0" w:line="360" w:lineRule="auto"/>
        <w:ind w:right="-93"/>
        <w:contextualSpacing/>
        <w:jc w:val="both"/>
        <w:rPr>
          <w:rFonts w:ascii="Palatino Linotype" w:hAnsi="Palatino Linotype" w:cs="Tahoma"/>
          <w:b/>
        </w:rPr>
      </w:pPr>
    </w:p>
    <w:p w14:paraId="534670B4" w14:textId="1F868914" w:rsidR="00EE4E7D" w:rsidRDefault="00F84B95" w:rsidP="00E9781B">
      <w:pPr>
        <w:spacing w:after="0" w:line="360" w:lineRule="auto"/>
        <w:ind w:right="-93"/>
        <w:contextualSpacing/>
        <w:jc w:val="both"/>
        <w:rPr>
          <w:rFonts w:ascii="Palatino Linotype" w:hAnsi="Palatino Linotype" w:cs="Tahoma"/>
          <w:b/>
        </w:rPr>
      </w:pPr>
      <w:r w:rsidRPr="006A7606">
        <w:rPr>
          <w:rFonts w:ascii="Palatino Linotype" w:hAnsi="Palatino Linotype" w:cs="Tahoma"/>
          <w:b/>
        </w:rPr>
        <w:t>VOTO PARTICULAR</w:t>
      </w:r>
      <w:r w:rsidR="00E85534">
        <w:rPr>
          <w:rFonts w:ascii="Palatino Linotype" w:hAnsi="Palatino Linotype" w:cs="Tahoma"/>
          <w:b/>
        </w:rPr>
        <w:t xml:space="preserve"> CONCURRENTE</w:t>
      </w:r>
      <w:r w:rsidRPr="006A7606">
        <w:rPr>
          <w:rFonts w:ascii="Palatino Linotype" w:hAnsi="Palatino Linotype" w:cs="Tahoma"/>
          <w:b/>
        </w:rPr>
        <w:t xml:space="preserve"> QUE FORMULA</w:t>
      </w:r>
      <w:r w:rsidR="00E85534">
        <w:rPr>
          <w:rFonts w:ascii="Palatino Linotype" w:hAnsi="Palatino Linotype" w:cs="Tahoma"/>
          <w:b/>
        </w:rPr>
        <w:t>N</w:t>
      </w:r>
      <w:r w:rsidRPr="006A7606">
        <w:rPr>
          <w:rFonts w:ascii="Palatino Linotype" w:hAnsi="Palatino Linotype" w:cs="Tahoma"/>
          <w:b/>
        </w:rPr>
        <w:t xml:space="preserve"> EL COMISIO</w:t>
      </w:r>
      <w:r w:rsidR="00D10504">
        <w:rPr>
          <w:rFonts w:ascii="Palatino Linotype" w:hAnsi="Palatino Linotype" w:cs="Tahoma"/>
          <w:b/>
        </w:rPr>
        <w:t xml:space="preserve">NADO LUIS GUSTAVO PARRA NORIEGA Y LA COMISIONADA </w:t>
      </w:r>
      <w:r w:rsidR="00D10504" w:rsidRPr="00D10504">
        <w:rPr>
          <w:rFonts w:ascii="Palatino Linotype" w:hAnsi="Palatino Linotype" w:cs="Tahoma"/>
          <w:b/>
        </w:rPr>
        <w:t>GUADALUPE RAMÍREZ PEÑA</w:t>
      </w:r>
      <w:r w:rsidR="0068245C">
        <w:rPr>
          <w:rFonts w:ascii="Palatino Linotype" w:hAnsi="Palatino Linotype" w:cs="Tahoma"/>
          <w:b/>
        </w:rPr>
        <w:t xml:space="preserve"> </w:t>
      </w:r>
      <w:r w:rsidR="00D10504" w:rsidRPr="00C569A8">
        <w:rPr>
          <w:rFonts w:ascii="Palatino Linotype" w:hAnsi="Palatino Linotype" w:cs="Tahoma"/>
          <w:b/>
        </w:rPr>
        <w:t xml:space="preserve">CON RELACIÓN A LA RESOLUCIÓN </w:t>
      </w:r>
      <w:r w:rsidR="000E1D76">
        <w:rPr>
          <w:rFonts w:ascii="Palatino Linotype" w:hAnsi="Palatino Linotype" w:cs="Tahoma"/>
          <w:b/>
        </w:rPr>
        <w:t>DE</w:t>
      </w:r>
      <w:r w:rsidR="00D10504" w:rsidRPr="00C569A8">
        <w:rPr>
          <w:rFonts w:ascii="Palatino Linotype" w:hAnsi="Palatino Linotype" w:cs="Tahoma"/>
          <w:b/>
        </w:rPr>
        <w:t xml:space="preserve">L RECURSO DE REVISIÓN </w:t>
      </w:r>
      <w:r w:rsidR="0011061A" w:rsidRPr="0011061A">
        <w:rPr>
          <w:rFonts w:ascii="Palatino Linotype" w:hAnsi="Palatino Linotype" w:cs="Arial"/>
          <w:b/>
        </w:rPr>
        <w:t>003</w:t>
      </w:r>
      <w:r w:rsidR="00824F87">
        <w:rPr>
          <w:rFonts w:ascii="Palatino Linotype" w:hAnsi="Palatino Linotype" w:cs="Arial"/>
          <w:b/>
        </w:rPr>
        <w:t>8</w:t>
      </w:r>
      <w:r w:rsidR="000B66C3">
        <w:rPr>
          <w:rFonts w:ascii="Palatino Linotype" w:hAnsi="Palatino Linotype" w:cs="Arial"/>
          <w:b/>
        </w:rPr>
        <w:t>9</w:t>
      </w:r>
      <w:r w:rsidR="0011061A" w:rsidRPr="0011061A">
        <w:rPr>
          <w:rFonts w:ascii="Palatino Linotype" w:hAnsi="Palatino Linotype" w:cs="Arial"/>
          <w:b/>
        </w:rPr>
        <w:t>/INFOEM/IP/RR/2025</w:t>
      </w:r>
      <w:r w:rsidR="0011061A" w:rsidRPr="00C569A8">
        <w:rPr>
          <w:rFonts w:ascii="Palatino Linotype" w:hAnsi="Palatino Linotype" w:cs="Tahoma"/>
          <w:b/>
        </w:rPr>
        <w:t>, PROMOVIDO EN CONTRA</w:t>
      </w:r>
      <w:r w:rsidR="0011061A">
        <w:rPr>
          <w:rFonts w:ascii="Palatino Linotype" w:hAnsi="Palatino Linotype" w:cs="Tahoma"/>
          <w:b/>
        </w:rPr>
        <w:t xml:space="preserve"> DEL </w:t>
      </w:r>
      <w:r w:rsidR="0011061A" w:rsidRPr="0011061A">
        <w:rPr>
          <w:rFonts w:ascii="Palatino Linotype" w:hAnsi="Palatino Linotype" w:cs="Tahoma"/>
          <w:b/>
        </w:rPr>
        <w:t>COLEGIO DE BACHILLERES DEL ESTADO DE MÉXICO</w:t>
      </w:r>
    </w:p>
    <w:p w14:paraId="5CA09F1B" w14:textId="77777777" w:rsidR="005F31DF" w:rsidRPr="006A7606" w:rsidRDefault="005F31DF" w:rsidP="00E9781B">
      <w:pPr>
        <w:spacing w:after="0" w:line="360" w:lineRule="auto"/>
        <w:ind w:right="-93"/>
        <w:contextualSpacing/>
        <w:jc w:val="both"/>
        <w:rPr>
          <w:rFonts w:ascii="Palatino Linotype" w:hAnsi="Palatino Linotype" w:cs="Tahoma"/>
        </w:rPr>
      </w:pPr>
    </w:p>
    <w:p w14:paraId="18B4E70E" w14:textId="7CB57FC0" w:rsidR="00D10504" w:rsidRPr="00C569A8" w:rsidRDefault="00D10504" w:rsidP="00E9781B">
      <w:pPr>
        <w:spacing w:after="0" w:line="360" w:lineRule="auto"/>
        <w:ind w:right="-93"/>
        <w:contextualSpacing/>
        <w:jc w:val="both"/>
        <w:rPr>
          <w:rFonts w:ascii="Palatino Linotype" w:hAnsi="Palatino Linotype"/>
        </w:rPr>
      </w:pPr>
      <w:r w:rsidRPr="00C569A8">
        <w:rPr>
          <w:rFonts w:ascii="Palatino Linotype" w:hAnsi="Palatino Linotype"/>
        </w:rPr>
        <w:t xml:space="preserve">El Pleno del Instituto de Transparencia, Acceso a la Información Pública y Protección de Datos Personales del Estado de México resolvió por unanimidad de votos, la Resolución relativa al Recurso de Revisión </w:t>
      </w:r>
      <w:r w:rsidR="0011061A" w:rsidRPr="0011061A">
        <w:rPr>
          <w:rFonts w:ascii="Palatino Linotype" w:hAnsi="Palatino Linotype" w:cs="Arial"/>
          <w:b/>
        </w:rPr>
        <w:t>003</w:t>
      </w:r>
      <w:r w:rsidR="00824F87">
        <w:rPr>
          <w:rFonts w:ascii="Palatino Linotype" w:hAnsi="Palatino Linotype" w:cs="Arial"/>
          <w:b/>
        </w:rPr>
        <w:t>8</w:t>
      </w:r>
      <w:r w:rsidR="000B66C3">
        <w:rPr>
          <w:rFonts w:ascii="Palatino Linotype" w:hAnsi="Palatino Linotype" w:cs="Arial"/>
          <w:b/>
        </w:rPr>
        <w:t>9</w:t>
      </w:r>
      <w:r w:rsidR="0011061A" w:rsidRPr="0011061A">
        <w:rPr>
          <w:rFonts w:ascii="Palatino Linotype" w:hAnsi="Palatino Linotype" w:cs="Arial"/>
          <w:b/>
        </w:rPr>
        <w:t>/INFOEM/IP/RR/2025</w:t>
      </w:r>
      <w:r w:rsidRPr="00C569A8">
        <w:rPr>
          <w:rFonts w:ascii="Palatino Linotype" w:hAnsi="Palatino Linotype"/>
          <w:b/>
          <w:bCs/>
        </w:rPr>
        <w:t xml:space="preserve">, </w:t>
      </w:r>
      <w:r w:rsidR="00EE4E7D">
        <w:rPr>
          <w:rFonts w:ascii="Palatino Linotype" w:hAnsi="Palatino Linotype"/>
          <w:b/>
          <w:bCs/>
        </w:rPr>
        <w:t xml:space="preserve"> </w:t>
      </w:r>
      <w:r w:rsidR="00EE4E7D" w:rsidRPr="003D0587">
        <w:rPr>
          <w:rFonts w:ascii="Palatino Linotype" w:hAnsi="Palatino Linotype"/>
          <w:bCs/>
        </w:rPr>
        <w:t>presentad</w:t>
      </w:r>
      <w:r w:rsidR="003D0587">
        <w:rPr>
          <w:rFonts w:ascii="Palatino Linotype" w:hAnsi="Palatino Linotype"/>
          <w:bCs/>
        </w:rPr>
        <w:t>o</w:t>
      </w:r>
      <w:r w:rsidR="00EE4E7D" w:rsidRPr="003D0587">
        <w:rPr>
          <w:rFonts w:ascii="Palatino Linotype" w:hAnsi="Palatino Linotype"/>
          <w:bCs/>
        </w:rPr>
        <w:t xml:space="preserve"> por</w:t>
      </w:r>
      <w:r w:rsidR="005F31DF">
        <w:rPr>
          <w:rFonts w:ascii="Palatino Linotype" w:hAnsi="Palatino Linotype"/>
          <w:bCs/>
        </w:rPr>
        <w:t xml:space="preserve"> la </w:t>
      </w:r>
      <w:r w:rsidR="00EE4E7D" w:rsidRPr="003D0587">
        <w:rPr>
          <w:rFonts w:ascii="Palatino Linotype" w:hAnsi="Palatino Linotype"/>
          <w:bCs/>
        </w:rPr>
        <w:t>Comisionad</w:t>
      </w:r>
      <w:r w:rsidR="005F31DF">
        <w:rPr>
          <w:rFonts w:ascii="Palatino Linotype" w:hAnsi="Palatino Linotype"/>
          <w:bCs/>
        </w:rPr>
        <w:t>a</w:t>
      </w:r>
      <w:r w:rsidR="00EE4E7D" w:rsidRPr="003D0587">
        <w:rPr>
          <w:rFonts w:ascii="Palatino Linotype" w:hAnsi="Palatino Linotype"/>
          <w:bCs/>
        </w:rPr>
        <w:t xml:space="preserve"> </w:t>
      </w:r>
      <w:r w:rsidR="005F31DF" w:rsidRPr="005F31DF">
        <w:rPr>
          <w:rFonts w:ascii="Palatino Linotype" w:hAnsi="Palatino Linotype"/>
          <w:bCs/>
        </w:rPr>
        <w:t>Guadalupe Ramírez Peña</w:t>
      </w:r>
      <w:r w:rsidR="00EE4E7D" w:rsidRPr="003D0587">
        <w:rPr>
          <w:rFonts w:ascii="Palatino Linotype" w:hAnsi="Palatino Linotype"/>
          <w:bCs/>
        </w:rPr>
        <w:t>, conforme al criterio mayoritario del Pleno</w:t>
      </w:r>
      <w:r w:rsidR="00EE4E7D">
        <w:rPr>
          <w:rFonts w:ascii="Palatino Linotype" w:hAnsi="Palatino Linotype"/>
          <w:b/>
          <w:bCs/>
        </w:rPr>
        <w:t xml:space="preserve">, </w:t>
      </w:r>
      <w:r w:rsidRPr="00C569A8">
        <w:rPr>
          <w:rFonts w:ascii="Palatino Linotype" w:hAnsi="Palatino Linotype"/>
        </w:rPr>
        <w:t xml:space="preserve">respecto de la cual, quienes suscriben, emiten </w:t>
      </w:r>
      <w:r w:rsidRPr="00C569A8">
        <w:rPr>
          <w:rFonts w:ascii="Palatino Linotype" w:hAnsi="Palatino Linotype"/>
          <w:b/>
        </w:rPr>
        <w:t>VOTO PARTICULAR CONCURRENTE</w:t>
      </w:r>
      <w:r w:rsidRPr="00C569A8">
        <w:rPr>
          <w:rFonts w:ascii="Palatino Linotype" w:hAnsi="Palatino Linotype"/>
        </w:rPr>
        <w:t>, con fundamento en los artículos 14, fracción XI, del Reglamento del Instituto de Transparencia, Acceso a la Información Pública y Protección de Personales Datos del Estado de México, así como 45 y 48, fracción I, de los Lineamientos para el funcionamiento del Pleno y las Comisiones del Instituto de Transparencia, Acceso a la Información Pública y Protección de Datos Personales del Estado de México y Municipios.</w:t>
      </w:r>
    </w:p>
    <w:p w14:paraId="17CE4573" w14:textId="77777777" w:rsidR="00F34C61" w:rsidRPr="00885189" w:rsidRDefault="00F34C61" w:rsidP="00E9781B">
      <w:pPr>
        <w:spacing w:after="0" w:line="360" w:lineRule="auto"/>
        <w:jc w:val="both"/>
        <w:rPr>
          <w:rFonts w:ascii="Palatino Linotype" w:hAnsi="Palatino Linotype" w:cs="Tahoma"/>
        </w:rPr>
      </w:pPr>
    </w:p>
    <w:p w14:paraId="7E43B484" w14:textId="5B459D8C" w:rsidR="0011061A" w:rsidRDefault="00DC2C51" w:rsidP="00E9781B">
      <w:pPr>
        <w:spacing w:after="0" w:line="360" w:lineRule="auto"/>
        <w:jc w:val="both"/>
        <w:rPr>
          <w:rFonts w:ascii="Palatino Linotype" w:hAnsi="Palatino Linotype" w:cs="Tahoma"/>
        </w:rPr>
      </w:pPr>
      <w:r>
        <w:rPr>
          <w:rFonts w:ascii="Palatino Linotype" w:hAnsi="Palatino Linotype"/>
        </w:rPr>
        <w:t xml:space="preserve">A través de una solicitud </w:t>
      </w:r>
      <w:r w:rsidR="00DB4E6B" w:rsidRPr="00450A4B">
        <w:rPr>
          <w:rFonts w:ascii="Palatino Linotype" w:hAnsi="Palatino Linotype"/>
        </w:rPr>
        <w:t>de acceso a la información, el Particular requirió</w:t>
      </w:r>
      <w:r w:rsidR="00CE3769">
        <w:rPr>
          <w:rFonts w:ascii="Palatino Linotype" w:hAnsi="Palatino Linotype"/>
        </w:rPr>
        <w:t xml:space="preserve"> </w:t>
      </w:r>
      <w:r w:rsidR="005F31DF">
        <w:rPr>
          <w:rFonts w:ascii="Palatino Linotype" w:hAnsi="Palatino Linotype"/>
        </w:rPr>
        <w:t xml:space="preserve">información </w:t>
      </w:r>
      <w:r w:rsidR="0011061A">
        <w:rPr>
          <w:rFonts w:ascii="Palatino Linotype" w:hAnsi="Palatino Linotype"/>
        </w:rPr>
        <w:t xml:space="preserve">de un servidor público con la particularidad de que en su requerimiento, refirió ser el Titular de los datos personales, </w:t>
      </w:r>
      <w:r>
        <w:rPr>
          <w:rFonts w:ascii="Palatino Linotype" w:hAnsi="Palatino Linotype"/>
        </w:rPr>
        <w:t xml:space="preserve">con </w:t>
      </w:r>
      <w:r w:rsidR="0011061A">
        <w:rPr>
          <w:rFonts w:ascii="Palatino Linotype" w:hAnsi="Palatino Linotype"/>
        </w:rPr>
        <w:t xml:space="preserve">discrepancia entre el nombre del usuario de la cuenta de SAIMEX y del servidor público referido en la solicitud, </w:t>
      </w:r>
      <w:r w:rsidR="00B631C8">
        <w:rPr>
          <w:rFonts w:ascii="Palatino Linotype" w:hAnsi="Palatino Linotype"/>
        </w:rPr>
        <w:t>además</w:t>
      </w:r>
      <w:r w:rsidR="0011061A">
        <w:rPr>
          <w:rFonts w:ascii="Palatino Linotype" w:hAnsi="Palatino Linotype"/>
        </w:rPr>
        <w:t xml:space="preserve"> no se aportó documento alguno para acreditar la titularidad de los datos personales ni la representación</w:t>
      </w:r>
      <w:r w:rsidR="00522F7B">
        <w:rPr>
          <w:rFonts w:ascii="Palatino Linotype" w:hAnsi="Palatino Linotype"/>
        </w:rPr>
        <w:t>;</w:t>
      </w:r>
      <w:r w:rsidR="003D0587">
        <w:rPr>
          <w:rFonts w:ascii="Palatino Linotype" w:hAnsi="Palatino Linotype"/>
        </w:rPr>
        <w:t xml:space="preserve"> </w:t>
      </w:r>
      <w:r w:rsidR="00C34CAE" w:rsidRPr="00450A4B">
        <w:rPr>
          <w:rFonts w:ascii="Palatino Linotype" w:hAnsi="Palatino Linotype"/>
        </w:rPr>
        <w:t>en respuesta</w:t>
      </w:r>
      <w:r w:rsidR="00522F7B">
        <w:rPr>
          <w:rFonts w:ascii="Palatino Linotype" w:hAnsi="Palatino Linotype"/>
        </w:rPr>
        <w:t>,</w:t>
      </w:r>
      <w:r w:rsidR="00C34CAE" w:rsidRPr="00450A4B">
        <w:rPr>
          <w:rFonts w:ascii="Palatino Linotype" w:hAnsi="Palatino Linotype"/>
        </w:rPr>
        <w:t xml:space="preserve"> el Sujeto Obligado </w:t>
      </w:r>
      <w:r w:rsidR="0011061A" w:rsidRPr="00450A4B">
        <w:rPr>
          <w:rFonts w:ascii="Palatino Linotype" w:hAnsi="Palatino Linotype"/>
        </w:rPr>
        <w:t xml:space="preserve">proporcionó </w:t>
      </w:r>
      <w:r w:rsidR="004674E0">
        <w:rPr>
          <w:rFonts w:ascii="Palatino Linotype" w:hAnsi="Palatino Linotype"/>
        </w:rPr>
        <w:t xml:space="preserve">información </w:t>
      </w:r>
      <w:r w:rsidR="0011061A">
        <w:rPr>
          <w:rFonts w:ascii="Palatino Linotype" w:hAnsi="Palatino Linotype"/>
        </w:rPr>
        <w:t>de la persona identificable en la solicitud sin</w:t>
      </w:r>
      <w:r>
        <w:rPr>
          <w:rFonts w:ascii="Palatino Linotype" w:hAnsi="Palatino Linotype"/>
        </w:rPr>
        <w:t xml:space="preserve"> que el Particular, hubiese acreditado</w:t>
      </w:r>
      <w:r w:rsidR="0011061A">
        <w:rPr>
          <w:rFonts w:ascii="Palatino Linotype" w:hAnsi="Palatino Linotype"/>
        </w:rPr>
        <w:t xml:space="preserve"> la identidad del titular de los datos personales ni de la representación, </w:t>
      </w:r>
      <w:r w:rsidR="00CE3769">
        <w:rPr>
          <w:rFonts w:ascii="Palatino Linotype" w:hAnsi="Palatino Linotype"/>
        </w:rPr>
        <w:t>p</w:t>
      </w:r>
      <w:r w:rsidR="002476E8" w:rsidRPr="00450A4B">
        <w:rPr>
          <w:rFonts w:ascii="Palatino Linotype" w:hAnsi="Palatino Linotype"/>
        </w:rPr>
        <w:t>or lo que</w:t>
      </w:r>
      <w:r w:rsidR="00B631C8">
        <w:rPr>
          <w:rFonts w:ascii="Palatino Linotype" w:hAnsi="Palatino Linotype"/>
        </w:rPr>
        <w:t>,</w:t>
      </w:r>
      <w:r w:rsidR="0011061A">
        <w:rPr>
          <w:rFonts w:ascii="Palatino Linotype" w:hAnsi="Palatino Linotype"/>
        </w:rPr>
        <w:t xml:space="preserve"> este Organismo Garante recondujo la vía </w:t>
      </w:r>
      <w:r w:rsidR="00B631C8">
        <w:rPr>
          <w:rFonts w:ascii="Palatino Linotype" w:hAnsi="Palatino Linotype"/>
        </w:rPr>
        <w:t xml:space="preserve">del recurso de revisión </w:t>
      </w:r>
      <w:r w:rsidR="0011061A">
        <w:rPr>
          <w:rFonts w:ascii="Palatino Linotype" w:hAnsi="Palatino Linotype"/>
        </w:rPr>
        <w:t xml:space="preserve">para darle tratamiento del derecho de Acceso a Datos Personales y </w:t>
      </w:r>
      <w:r w:rsidR="0011061A">
        <w:rPr>
          <w:rFonts w:ascii="Palatino Linotype" w:hAnsi="Palatino Linotype"/>
        </w:rPr>
        <w:lastRenderedPageBreak/>
        <w:t>previno al Particular, para acreditar la titularidad de los datos personales y de su representación, lo que no fue satisfecho a cabalidad por el Recurrente,  por lo que</w:t>
      </w:r>
      <w:r w:rsidR="000E2690">
        <w:rPr>
          <w:rFonts w:ascii="Palatino Linotype" w:hAnsi="Palatino Linotype"/>
        </w:rPr>
        <w:t>,</w:t>
      </w:r>
      <w:r w:rsidR="0011061A">
        <w:rPr>
          <w:rFonts w:ascii="Palatino Linotype" w:hAnsi="Palatino Linotype"/>
        </w:rPr>
        <w:t xml:space="preserve"> </w:t>
      </w:r>
      <w:r w:rsidR="000E2690">
        <w:rPr>
          <w:rFonts w:ascii="Palatino Linotype" w:hAnsi="Palatino Linotype"/>
        </w:rPr>
        <w:t>resultó procedente</w:t>
      </w:r>
      <w:r w:rsidR="0011061A">
        <w:rPr>
          <w:rFonts w:ascii="Palatino Linotype" w:hAnsi="Palatino Linotype"/>
        </w:rPr>
        <w:t xml:space="preserve"> so</w:t>
      </w:r>
      <w:r w:rsidR="007004F7">
        <w:rPr>
          <w:rFonts w:ascii="Palatino Linotype" w:hAnsi="Palatino Linotype"/>
        </w:rPr>
        <w:t>brese</w:t>
      </w:r>
      <w:r w:rsidR="000E2690">
        <w:rPr>
          <w:rFonts w:ascii="Palatino Linotype" w:hAnsi="Palatino Linotype"/>
        </w:rPr>
        <w:t>er</w:t>
      </w:r>
      <w:r w:rsidR="007004F7">
        <w:rPr>
          <w:rFonts w:ascii="Palatino Linotype" w:hAnsi="Palatino Linotype"/>
        </w:rPr>
        <w:t xml:space="preserve"> el medio de impugnación.</w:t>
      </w:r>
    </w:p>
    <w:p w14:paraId="06713680" w14:textId="77777777" w:rsidR="0011061A" w:rsidRDefault="0011061A" w:rsidP="00E9781B">
      <w:pPr>
        <w:spacing w:after="0" w:line="360" w:lineRule="auto"/>
        <w:jc w:val="both"/>
        <w:rPr>
          <w:rFonts w:ascii="Palatino Linotype" w:hAnsi="Palatino Linotype" w:cs="Tahoma"/>
        </w:rPr>
      </w:pPr>
    </w:p>
    <w:p w14:paraId="69B0BBB9" w14:textId="472036DC" w:rsidR="003D0587" w:rsidRDefault="00C2677C" w:rsidP="00E9781B">
      <w:pPr>
        <w:spacing w:after="0" w:line="360" w:lineRule="auto"/>
        <w:jc w:val="both"/>
        <w:rPr>
          <w:rFonts w:ascii="Palatino Linotype" w:hAnsi="Palatino Linotype" w:cs="Tahoma"/>
        </w:rPr>
      </w:pPr>
      <w:r>
        <w:rPr>
          <w:rFonts w:ascii="Palatino Linotype" w:hAnsi="Palatino Linotype" w:cs="Tahoma"/>
        </w:rPr>
        <w:t>A</w:t>
      </w:r>
      <w:r w:rsidR="00D10504" w:rsidRPr="00D10504">
        <w:rPr>
          <w:rFonts w:ascii="Palatino Linotype" w:hAnsi="Palatino Linotype" w:cs="Tahoma"/>
        </w:rPr>
        <w:t xml:space="preserve"> partir de </w:t>
      </w:r>
      <w:r w:rsidR="0092661F">
        <w:rPr>
          <w:rFonts w:ascii="Palatino Linotype" w:hAnsi="Palatino Linotype" w:cs="Tahoma"/>
        </w:rPr>
        <w:t>tales</w:t>
      </w:r>
      <w:r w:rsidR="002476E8">
        <w:rPr>
          <w:rFonts w:ascii="Palatino Linotype" w:hAnsi="Palatino Linotype" w:cs="Tahoma"/>
        </w:rPr>
        <w:t xml:space="preserve"> actuaciones</w:t>
      </w:r>
      <w:r w:rsidR="00D10504" w:rsidRPr="00D10504">
        <w:rPr>
          <w:rFonts w:ascii="Palatino Linotype" w:hAnsi="Palatino Linotype" w:cs="Tahoma"/>
        </w:rPr>
        <w:t xml:space="preserve">, </w:t>
      </w:r>
      <w:r w:rsidR="002476E8">
        <w:rPr>
          <w:rFonts w:ascii="Palatino Linotype" w:hAnsi="Palatino Linotype" w:cs="Tahoma"/>
        </w:rPr>
        <w:t xml:space="preserve">se </w:t>
      </w:r>
      <w:r w:rsidR="00D10504" w:rsidRPr="00D10504">
        <w:rPr>
          <w:rFonts w:ascii="Palatino Linotype" w:hAnsi="Palatino Linotype" w:cs="Tahoma"/>
        </w:rPr>
        <w:t xml:space="preserve">consideró procedente </w:t>
      </w:r>
      <w:r w:rsidR="00CB10F4">
        <w:rPr>
          <w:rFonts w:ascii="Palatino Linotype" w:hAnsi="Palatino Linotype" w:cs="Tahoma"/>
        </w:rPr>
        <w:t xml:space="preserve">dar vista a la Dirección General de </w:t>
      </w:r>
      <w:r w:rsidR="002476E8">
        <w:rPr>
          <w:rFonts w:ascii="Palatino Linotype" w:hAnsi="Palatino Linotype" w:cs="Tahoma"/>
        </w:rPr>
        <w:t xml:space="preserve">Protección de </w:t>
      </w:r>
      <w:r w:rsidR="00CB10F4">
        <w:rPr>
          <w:rFonts w:ascii="Palatino Linotype" w:hAnsi="Palatino Linotype" w:cs="Tahoma"/>
        </w:rPr>
        <w:t>Datos</w:t>
      </w:r>
      <w:r w:rsidR="0059459B">
        <w:rPr>
          <w:rFonts w:ascii="Palatino Linotype" w:hAnsi="Palatino Linotype" w:cs="Tahoma"/>
        </w:rPr>
        <w:t xml:space="preserve"> Personales, al </w:t>
      </w:r>
      <w:r w:rsidR="007004F7">
        <w:rPr>
          <w:rFonts w:ascii="Palatino Linotype" w:hAnsi="Palatino Linotype" w:cs="Tahoma"/>
        </w:rPr>
        <w:t xml:space="preserve">haberse puesto a la vista del Particular, </w:t>
      </w:r>
      <w:r w:rsidR="00B631C8">
        <w:rPr>
          <w:rFonts w:ascii="Palatino Linotype" w:hAnsi="Palatino Linotype" w:cs="Tahoma"/>
        </w:rPr>
        <w:t>datos personales susceptibles de ser clasificados</w:t>
      </w:r>
      <w:r w:rsidR="007004F7">
        <w:rPr>
          <w:rFonts w:ascii="Palatino Linotype" w:hAnsi="Palatino Linotype" w:cs="Tahoma"/>
        </w:rPr>
        <w:t xml:space="preserve">, sin haber acreditado la titularidad de los datos ni la representación </w:t>
      </w:r>
      <w:r w:rsidR="00B631C8">
        <w:rPr>
          <w:rFonts w:ascii="Palatino Linotype" w:hAnsi="Palatino Linotype" w:cs="Tahoma"/>
        </w:rPr>
        <w:t>de quien realiza las actuaciones en SAIMEX</w:t>
      </w:r>
      <w:r w:rsidR="002476E8">
        <w:rPr>
          <w:rFonts w:ascii="Palatino Linotype" w:hAnsi="Palatino Linotype" w:cs="Tahoma"/>
        </w:rPr>
        <w:t xml:space="preserve">. </w:t>
      </w:r>
    </w:p>
    <w:p w14:paraId="7ABD4907" w14:textId="77777777" w:rsidR="003D0587" w:rsidRDefault="003D0587" w:rsidP="00E9781B">
      <w:pPr>
        <w:spacing w:after="0" w:line="360" w:lineRule="auto"/>
        <w:jc w:val="both"/>
        <w:rPr>
          <w:rFonts w:ascii="Palatino Linotype" w:hAnsi="Palatino Linotype" w:cs="Tahoma"/>
        </w:rPr>
      </w:pPr>
    </w:p>
    <w:p w14:paraId="52C6FF7D" w14:textId="1CCDFBFA" w:rsidR="002476E8" w:rsidRPr="003D0587" w:rsidRDefault="00D51704" w:rsidP="00E9781B">
      <w:pPr>
        <w:spacing w:after="0" w:line="360" w:lineRule="auto"/>
        <w:jc w:val="both"/>
        <w:rPr>
          <w:rFonts w:ascii="Palatino Linotype" w:hAnsi="Palatino Linotype" w:cs="Tahoma"/>
        </w:rPr>
      </w:pPr>
      <w:r w:rsidRPr="004124F9">
        <w:rPr>
          <w:rFonts w:ascii="Palatino Linotype" w:eastAsia="Times New Roman" w:hAnsi="Palatino Linotype"/>
          <w:lang w:eastAsia="es-MX"/>
        </w:rPr>
        <w:t xml:space="preserve">Al respecto, es preciso mencionar </w:t>
      </w:r>
      <w:r w:rsidR="00A66F4D" w:rsidRPr="004124F9">
        <w:rPr>
          <w:rFonts w:ascii="Palatino Linotype" w:eastAsia="Times New Roman" w:hAnsi="Palatino Linotype"/>
          <w:lang w:eastAsia="es-MX"/>
        </w:rPr>
        <w:t>que,</w:t>
      </w:r>
      <w:r w:rsidRPr="004124F9">
        <w:rPr>
          <w:rFonts w:ascii="Palatino Linotype" w:eastAsia="Times New Roman" w:hAnsi="Palatino Linotype"/>
          <w:lang w:eastAsia="es-MX"/>
        </w:rPr>
        <w:t xml:space="preserve"> si bien se </w:t>
      </w:r>
      <w:r w:rsidRPr="004124F9">
        <w:rPr>
          <w:rFonts w:ascii="Palatino Linotype" w:hAnsi="Palatino Linotype"/>
        </w:rPr>
        <w:t xml:space="preserve">comparte el sentido de la Resolución emitida en virtud de que </w:t>
      </w:r>
      <w:r w:rsidR="00DC2C51">
        <w:rPr>
          <w:rFonts w:ascii="Palatino Linotype" w:hAnsi="Palatino Linotype"/>
        </w:rPr>
        <w:t>es procedente el sobreseimiento</w:t>
      </w:r>
      <w:r w:rsidR="0084064B">
        <w:rPr>
          <w:rFonts w:ascii="Palatino Linotype" w:hAnsi="Palatino Linotype"/>
        </w:rPr>
        <w:t xml:space="preserve">, no </w:t>
      </w:r>
      <w:r w:rsidR="00B631C8">
        <w:rPr>
          <w:rFonts w:ascii="Palatino Linotype" w:hAnsi="Palatino Linotype"/>
        </w:rPr>
        <w:t>compartimos</w:t>
      </w:r>
      <w:r w:rsidR="0084064B">
        <w:rPr>
          <w:rFonts w:ascii="Palatino Linotype" w:hAnsi="Palatino Linotype"/>
        </w:rPr>
        <w:t xml:space="preserve"> dar vista al área de </w:t>
      </w:r>
      <w:r w:rsidR="009D0379">
        <w:rPr>
          <w:rFonts w:ascii="Palatino Linotype" w:hAnsi="Palatino Linotype"/>
        </w:rPr>
        <w:t>D</w:t>
      </w:r>
      <w:r w:rsidR="0084064B">
        <w:rPr>
          <w:rFonts w:ascii="Palatino Linotype" w:hAnsi="Palatino Linotype"/>
        </w:rPr>
        <w:t xml:space="preserve">atos </w:t>
      </w:r>
      <w:r w:rsidR="009D0379">
        <w:rPr>
          <w:rFonts w:ascii="Palatino Linotype" w:hAnsi="Palatino Linotype"/>
        </w:rPr>
        <w:t>P</w:t>
      </w:r>
      <w:r w:rsidR="0084064B">
        <w:rPr>
          <w:rFonts w:ascii="Palatino Linotype" w:hAnsi="Palatino Linotype"/>
        </w:rPr>
        <w:t>ersonales</w:t>
      </w:r>
      <w:r w:rsidR="009D0379">
        <w:rPr>
          <w:rFonts w:ascii="Palatino Linotype" w:hAnsi="Palatino Linotype"/>
        </w:rPr>
        <w:t xml:space="preserve"> de este Instituto</w:t>
      </w:r>
      <w:r w:rsidR="0084064B">
        <w:rPr>
          <w:rFonts w:ascii="Palatino Linotype" w:hAnsi="Palatino Linotype"/>
        </w:rPr>
        <w:t xml:space="preserve">, </w:t>
      </w:r>
      <w:r w:rsidR="00DC2C51">
        <w:rPr>
          <w:rFonts w:ascii="Palatino Linotype" w:hAnsi="Palatino Linotype"/>
        </w:rPr>
        <w:t>en virtud de que el sobreseimiento implica no entrar al estudio de fondo por la deficiencia de algún requisito de procedencia, como aconteció en el presente asunto.</w:t>
      </w:r>
    </w:p>
    <w:p w14:paraId="371CFD42" w14:textId="77777777" w:rsidR="00D51704" w:rsidRDefault="00D51704" w:rsidP="00E9781B">
      <w:pPr>
        <w:tabs>
          <w:tab w:val="left" w:pos="0"/>
        </w:tabs>
        <w:spacing w:after="0" w:line="360" w:lineRule="auto"/>
        <w:ind w:right="49"/>
        <w:contextualSpacing/>
        <w:jc w:val="both"/>
        <w:rPr>
          <w:rFonts w:ascii="Palatino Linotype" w:hAnsi="Palatino Linotype"/>
        </w:rPr>
      </w:pPr>
    </w:p>
    <w:p w14:paraId="3F0F14EB" w14:textId="2ABB459F" w:rsidR="00D51704" w:rsidRDefault="00D51704" w:rsidP="00E9781B">
      <w:pPr>
        <w:shd w:val="clear" w:color="auto" w:fill="FFFFFF"/>
        <w:spacing w:after="0" w:line="360" w:lineRule="auto"/>
        <w:ind w:right="49"/>
        <w:jc w:val="both"/>
        <w:textAlignment w:val="baseline"/>
        <w:rPr>
          <w:rFonts w:ascii="Palatino Linotype" w:eastAsia="Calibri" w:hAnsi="Palatino Linotype" w:cs="Times New Roman"/>
        </w:rPr>
      </w:pPr>
      <w:r w:rsidRPr="004124F9">
        <w:rPr>
          <w:rFonts w:ascii="Palatino Linotype" w:eastAsia="Calibri" w:hAnsi="Palatino Linotype" w:cs="Times New Roman"/>
        </w:rPr>
        <w:t xml:space="preserve">En ese sentido, es de resaltar que el recurso de revisión es la garantía secundaria mediante la cual se pretende reparar cualquier posible afectación al derecho de acceso </w:t>
      </w:r>
      <w:r w:rsidR="00DC2C51">
        <w:rPr>
          <w:rFonts w:ascii="Palatino Linotype" w:eastAsia="Calibri" w:hAnsi="Palatino Linotype" w:cs="Times New Roman"/>
        </w:rPr>
        <w:t>a datos personales</w:t>
      </w:r>
      <w:r w:rsidRPr="004124F9">
        <w:rPr>
          <w:rFonts w:ascii="Palatino Linotype" w:eastAsia="Calibri" w:hAnsi="Palatino Linotype" w:cs="Times New Roman"/>
        </w:rPr>
        <w:t xml:space="preserve">, en donde las resoluciones de este </w:t>
      </w:r>
      <w:r w:rsidR="00665265">
        <w:rPr>
          <w:rFonts w:ascii="Palatino Linotype" w:eastAsia="Calibri" w:hAnsi="Palatino Linotype" w:cs="Times New Roman"/>
        </w:rPr>
        <w:t>Organismo</w:t>
      </w:r>
      <w:r w:rsidRPr="004124F9">
        <w:rPr>
          <w:rFonts w:ascii="Palatino Linotype" w:eastAsia="Calibri" w:hAnsi="Palatino Linotype" w:cs="Times New Roman"/>
        </w:rPr>
        <w:t xml:space="preserve"> Garante pueden:</w:t>
      </w:r>
    </w:p>
    <w:p w14:paraId="40A254C3" w14:textId="77777777" w:rsidR="00D51704" w:rsidRPr="004124F9" w:rsidRDefault="00D51704" w:rsidP="00E9781B">
      <w:pPr>
        <w:shd w:val="clear" w:color="auto" w:fill="FFFFFF"/>
        <w:spacing w:after="0" w:line="360" w:lineRule="auto"/>
        <w:ind w:right="49"/>
        <w:jc w:val="both"/>
        <w:textAlignment w:val="baseline"/>
        <w:rPr>
          <w:rFonts w:ascii="Palatino Linotype" w:eastAsia="Calibri" w:hAnsi="Palatino Linotype" w:cs="Times New Roman"/>
        </w:rPr>
      </w:pPr>
    </w:p>
    <w:p w14:paraId="2E9A8B11" w14:textId="77777777" w:rsidR="00D51704" w:rsidRPr="002872F1" w:rsidRDefault="00D51704" w:rsidP="00E9781B">
      <w:pPr>
        <w:numPr>
          <w:ilvl w:val="0"/>
          <w:numId w:val="1"/>
        </w:numPr>
        <w:spacing w:after="0" w:line="360" w:lineRule="auto"/>
        <w:contextualSpacing/>
        <w:jc w:val="both"/>
        <w:rPr>
          <w:rFonts w:ascii="Palatino Linotype" w:eastAsia="Calibri" w:hAnsi="Palatino Linotype" w:cs="Times New Roman"/>
          <w:lang w:eastAsia="es-ES"/>
        </w:rPr>
      </w:pPr>
      <w:r w:rsidRPr="002872F1">
        <w:rPr>
          <w:rFonts w:ascii="Palatino Linotype" w:eastAsia="Calibri" w:hAnsi="Palatino Linotype" w:cs="Times New Roman"/>
          <w:lang w:eastAsia="es-ES"/>
        </w:rPr>
        <w:t>Desechar o sobreseer el recurso</w:t>
      </w:r>
    </w:p>
    <w:p w14:paraId="79D5D6ED" w14:textId="77777777" w:rsidR="00D51704" w:rsidRPr="002872F1" w:rsidRDefault="00D51704" w:rsidP="00E9781B">
      <w:pPr>
        <w:numPr>
          <w:ilvl w:val="0"/>
          <w:numId w:val="1"/>
        </w:numPr>
        <w:spacing w:after="0" w:line="360" w:lineRule="auto"/>
        <w:contextualSpacing/>
        <w:jc w:val="both"/>
        <w:rPr>
          <w:rFonts w:ascii="Palatino Linotype" w:eastAsia="Calibri" w:hAnsi="Palatino Linotype" w:cs="Times New Roman"/>
          <w:lang w:eastAsia="es-ES"/>
        </w:rPr>
      </w:pPr>
      <w:r w:rsidRPr="002872F1">
        <w:rPr>
          <w:rFonts w:ascii="Palatino Linotype" w:eastAsia="Calibri" w:hAnsi="Palatino Linotype" w:cs="Times New Roman"/>
          <w:lang w:eastAsia="es-ES"/>
        </w:rPr>
        <w:t>Confirma la respuesta del sujeto obligado</w:t>
      </w:r>
    </w:p>
    <w:p w14:paraId="1BA33471" w14:textId="77777777" w:rsidR="00D51704" w:rsidRPr="002872F1" w:rsidRDefault="00D51704" w:rsidP="00E9781B">
      <w:pPr>
        <w:numPr>
          <w:ilvl w:val="0"/>
          <w:numId w:val="1"/>
        </w:numPr>
        <w:spacing w:after="0" w:line="360" w:lineRule="auto"/>
        <w:contextualSpacing/>
        <w:jc w:val="both"/>
        <w:rPr>
          <w:rFonts w:ascii="Palatino Linotype" w:eastAsia="Calibri" w:hAnsi="Palatino Linotype" w:cs="Times New Roman"/>
          <w:lang w:eastAsia="es-ES"/>
        </w:rPr>
      </w:pPr>
      <w:r w:rsidRPr="002872F1">
        <w:rPr>
          <w:rFonts w:ascii="Palatino Linotype" w:eastAsia="Calibri" w:hAnsi="Palatino Linotype" w:cs="Times New Roman"/>
          <w:lang w:eastAsia="es-ES"/>
        </w:rPr>
        <w:t xml:space="preserve">Revocar o modificar la respuesta del sujeto obligado; y </w:t>
      </w:r>
    </w:p>
    <w:p w14:paraId="5F1F8DB8" w14:textId="77777777" w:rsidR="00D51704" w:rsidRPr="002872F1" w:rsidRDefault="00D51704" w:rsidP="00E9781B">
      <w:pPr>
        <w:numPr>
          <w:ilvl w:val="0"/>
          <w:numId w:val="1"/>
        </w:numPr>
        <w:spacing w:after="0" w:line="360" w:lineRule="auto"/>
        <w:contextualSpacing/>
        <w:jc w:val="both"/>
        <w:rPr>
          <w:rFonts w:ascii="Palatino Linotype" w:eastAsia="Calibri" w:hAnsi="Palatino Linotype" w:cs="Times New Roman"/>
          <w:lang w:eastAsia="es-ES"/>
        </w:rPr>
      </w:pPr>
      <w:r w:rsidRPr="002872F1">
        <w:rPr>
          <w:rFonts w:ascii="Palatino Linotype" w:eastAsia="Calibri" w:hAnsi="Palatino Linotype" w:cs="Times New Roman"/>
          <w:lang w:eastAsia="es-ES"/>
        </w:rPr>
        <w:t>Ordenar la entrega de la información</w:t>
      </w:r>
    </w:p>
    <w:p w14:paraId="111D241B" w14:textId="77777777" w:rsidR="00A66F4D" w:rsidRDefault="00A66F4D" w:rsidP="00E9781B">
      <w:pPr>
        <w:spacing w:after="0" w:line="360" w:lineRule="auto"/>
        <w:jc w:val="both"/>
        <w:rPr>
          <w:rFonts w:ascii="Palatino Linotype" w:eastAsia="Calibri" w:hAnsi="Palatino Linotype" w:cs="Times New Roman"/>
          <w:lang w:eastAsia="es-ES"/>
        </w:rPr>
      </w:pPr>
    </w:p>
    <w:p w14:paraId="1DE86FD2" w14:textId="6B15B8F9" w:rsidR="00E9781B" w:rsidRPr="00E9781B" w:rsidRDefault="00E9781B" w:rsidP="00E9781B">
      <w:pPr>
        <w:shd w:val="clear" w:color="auto" w:fill="FFFFFF"/>
        <w:spacing w:after="0" w:line="360" w:lineRule="auto"/>
        <w:ind w:right="49"/>
        <w:jc w:val="both"/>
        <w:textAlignment w:val="baseline"/>
        <w:rPr>
          <w:rFonts w:ascii="Palatino Linotype" w:eastAsia="Calibri" w:hAnsi="Palatino Linotype" w:cs="Times New Roman"/>
        </w:rPr>
      </w:pPr>
      <w:r>
        <w:rPr>
          <w:rFonts w:ascii="Palatino Linotype" w:eastAsia="Calibri" w:hAnsi="Palatino Linotype" w:cs="Times New Roman"/>
        </w:rPr>
        <w:t xml:space="preserve">El sobreseimiento definido por </w:t>
      </w:r>
      <w:r w:rsidRPr="00E9781B">
        <w:rPr>
          <w:rFonts w:ascii="Palatino Linotype" w:eastAsia="Calibri" w:hAnsi="Palatino Linotype" w:cs="Times New Roman"/>
        </w:rPr>
        <w:t>Eduardo Pallares en su obra denominada Diccionario de Derecho Procesal Civil, al referirse al sobreseimiento establece lo siguiente:</w:t>
      </w:r>
    </w:p>
    <w:p w14:paraId="79167E76" w14:textId="651389E4" w:rsidR="00E9781B" w:rsidRPr="00E9781B" w:rsidRDefault="00E9781B" w:rsidP="00E9781B">
      <w:pPr>
        <w:shd w:val="clear" w:color="auto" w:fill="FFFFFF"/>
        <w:spacing w:after="0" w:line="360" w:lineRule="auto"/>
        <w:ind w:right="49"/>
        <w:jc w:val="both"/>
        <w:textAlignment w:val="baseline"/>
        <w:rPr>
          <w:rFonts w:ascii="Palatino Linotype" w:eastAsia="Calibri" w:hAnsi="Palatino Linotype" w:cs="Times New Roman"/>
        </w:rPr>
      </w:pPr>
    </w:p>
    <w:p w14:paraId="3337215A" w14:textId="31913EA0" w:rsidR="00E9781B" w:rsidRDefault="00E9781B" w:rsidP="000E2690">
      <w:pPr>
        <w:shd w:val="clear" w:color="auto" w:fill="FFFFFF"/>
        <w:spacing w:after="0" w:line="360" w:lineRule="auto"/>
        <w:ind w:left="567" w:right="616"/>
        <w:jc w:val="both"/>
        <w:textAlignment w:val="baseline"/>
        <w:rPr>
          <w:rFonts w:ascii="Palatino Linotype" w:eastAsia="Calibri" w:hAnsi="Palatino Linotype" w:cs="Times New Roman"/>
          <w:i/>
          <w:sz w:val="20"/>
          <w:szCs w:val="20"/>
        </w:rPr>
      </w:pPr>
      <w:r w:rsidRPr="00E9781B">
        <w:rPr>
          <w:rFonts w:ascii="Palatino Linotype" w:eastAsia="Calibri" w:hAnsi="Palatino Linotype" w:cs="Times New Roman"/>
          <w:i/>
          <w:sz w:val="20"/>
          <w:szCs w:val="20"/>
        </w:rPr>
        <w:lastRenderedPageBreak/>
        <w:t>"Sobreseimiento. La acción de sobreseer. Esta palabra, a su vez, procede del latín, supersedere que significa cesar, desistir, de super sobre, y sedere, sentarse (sentarse sobre). El diccionario anota que sobreseer significa cesar en una instrucción sumaria, y por extensión dejar sin curso ulterior un procedimiento. Terminarse o suspender un proceso civil. Con más frecuencia se usa la palabra sobreseimiento para referirse a la terminación de los procesos penales, pero en nuestro derecho existe también el sobreseimiento en los juicios de amparo y en los civiles ... También tiene lugar el sobreseimiento en el divorcio voluntario cuando los interesados dejan de pasar más de tres meses sin continuar el procedimiento (Art. 669); y en el juicio de lanzamiento, cuando el inquilino acredita haber pagado la pensiones debidas o exhibe su importe (Art. 492). Máximo Castro da la siguiente definición del sobreseimiento: Se entiende en general por sobreseimiento la detención del curso de un proceso por falta de alguno de sus elementos constitutivos de carácter fundamental. Agrega que con más frecuencia se emplea la palabra con relación a los procesos penales, aunque también se usa en los civiles. La definición susodicha es objetable porque, mediante el sobreseimiento no sólo se suspende el proceso, sino que se pone término al mismo. ..."</w:t>
      </w:r>
    </w:p>
    <w:p w14:paraId="560D71E7" w14:textId="77777777" w:rsidR="000E2690" w:rsidRPr="000E2690" w:rsidRDefault="000E2690" w:rsidP="000E2690">
      <w:pPr>
        <w:shd w:val="clear" w:color="auto" w:fill="FFFFFF"/>
        <w:spacing w:after="0" w:line="360" w:lineRule="auto"/>
        <w:ind w:left="567" w:right="616"/>
        <w:jc w:val="both"/>
        <w:textAlignment w:val="baseline"/>
        <w:rPr>
          <w:rFonts w:ascii="Palatino Linotype" w:eastAsia="Calibri" w:hAnsi="Palatino Linotype" w:cs="Times New Roman"/>
          <w:i/>
          <w:sz w:val="20"/>
          <w:szCs w:val="20"/>
        </w:rPr>
      </w:pPr>
    </w:p>
    <w:p w14:paraId="0A6BEA88" w14:textId="32E92BF5" w:rsidR="00E9781B" w:rsidRPr="00E9781B" w:rsidRDefault="00507A05" w:rsidP="00E9781B">
      <w:pPr>
        <w:shd w:val="clear" w:color="auto" w:fill="FFFFFF"/>
        <w:spacing w:after="0" w:line="360" w:lineRule="auto"/>
        <w:ind w:right="49"/>
        <w:jc w:val="both"/>
        <w:textAlignment w:val="baseline"/>
        <w:rPr>
          <w:rFonts w:ascii="Palatino Linotype" w:eastAsia="Calibri" w:hAnsi="Palatino Linotype" w:cs="Times New Roman"/>
        </w:rPr>
      </w:pPr>
      <w:r>
        <w:rPr>
          <w:rFonts w:ascii="Palatino Linotype" w:eastAsia="Calibri" w:hAnsi="Palatino Linotype" w:cs="Times New Roman"/>
        </w:rPr>
        <w:t>E</w:t>
      </w:r>
      <w:r w:rsidR="00E9781B" w:rsidRPr="00E9781B">
        <w:rPr>
          <w:rFonts w:ascii="Palatino Linotype" w:eastAsia="Calibri" w:hAnsi="Palatino Linotype" w:cs="Times New Roman"/>
        </w:rPr>
        <w:t xml:space="preserve">l Diccionario Jurídico Mexicano del Instituto de Investigaciones Jurídicas de la Universidad Nacional Autónoma de México, en el tomo relativo a las letras de la p a la z, en </w:t>
      </w:r>
      <w:r>
        <w:rPr>
          <w:rFonts w:ascii="Palatino Linotype" w:eastAsia="Calibri" w:hAnsi="Palatino Linotype" w:cs="Times New Roman"/>
        </w:rPr>
        <w:t>define al sobreseimiento de la siguiente manera</w:t>
      </w:r>
      <w:r w:rsidR="00E9781B" w:rsidRPr="00E9781B">
        <w:rPr>
          <w:rFonts w:ascii="Palatino Linotype" w:eastAsia="Calibri" w:hAnsi="Palatino Linotype" w:cs="Times New Roman"/>
        </w:rPr>
        <w:t>:</w:t>
      </w:r>
    </w:p>
    <w:p w14:paraId="69111036" w14:textId="08513036" w:rsidR="00E9781B" w:rsidRPr="00E9781B" w:rsidRDefault="00E9781B" w:rsidP="00507A05">
      <w:pPr>
        <w:shd w:val="clear" w:color="auto" w:fill="FFFFFF"/>
        <w:spacing w:after="0" w:line="360" w:lineRule="auto"/>
        <w:ind w:left="567" w:right="616"/>
        <w:jc w:val="both"/>
        <w:textAlignment w:val="baseline"/>
        <w:rPr>
          <w:rFonts w:ascii="Palatino Linotype" w:eastAsia="Calibri" w:hAnsi="Palatino Linotype" w:cs="Times New Roman"/>
          <w:i/>
          <w:sz w:val="20"/>
          <w:szCs w:val="20"/>
        </w:rPr>
      </w:pPr>
    </w:p>
    <w:p w14:paraId="4EA7D948" w14:textId="77777777" w:rsidR="00E9781B" w:rsidRPr="00E9781B" w:rsidRDefault="00E9781B" w:rsidP="00507A05">
      <w:pPr>
        <w:shd w:val="clear" w:color="auto" w:fill="FFFFFF"/>
        <w:spacing w:after="0" w:line="360" w:lineRule="auto"/>
        <w:ind w:left="567" w:right="616"/>
        <w:jc w:val="both"/>
        <w:textAlignment w:val="baseline"/>
        <w:rPr>
          <w:rFonts w:ascii="Palatino Linotype" w:eastAsia="Calibri" w:hAnsi="Palatino Linotype" w:cs="Times New Roman"/>
          <w:i/>
          <w:sz w:val="20"/>
          <w:szCs w:val="20"/>
        </w:rPr>
      </w:pPr>
      <w:r w:rsidRPr="00E9781B">
        <w:rPr>
          <w:rFonts w:ascii="Palatino Linotype" w:eastAsia="Calibri" w:hAnsi="Palatino Linotype" w:cs="Times New Roman"/>
          <w:i/>
          <w:sz w:val="20"/>
          <w:szCs w:val="20"/>
        </w:rPr>
        <w:t>"Sobreseimiento. I. (Del latín supersedere; cesar, desistir). Es la resolución judicial por la cual se declara que existe un obstáculo jurídico o de hecho que impide la decisión sobre el fondo de la controversia. II. Aun cuando el sobreseimiento tiene aplicación en todas las ramas procesales, en el ordenamiento mexicano se ha regulado específicamente en el juicio de amparo, y por influencia de su legislación, en los procesos fiscal y administrativo, y además con rasgos peculiares, se ha establecido en el proceso penal ..."</w:t>
      </w:r>
    </w:p>
    <w:p w14:paraId="3E13E1DB" w14:textId="1F47CB57" w:rsidR="00E9781B" w:rsidRPr="00E9781B" w:rsidRDefault="00E9781B" w:rsidP="00E9781B">
      <w:pPr>
        <w:shd w:val="clear" w:color="auto" w:fill="FFFFFF"/>
        <w:spacing w:after="0" w:line="360" w:lineRule="auto"/>
        <w:ind w:right="49"/>
        <w:jc w:val="both"/>
        <w:textAlignment w:val="baseline"/>
        <w:rPr>
          <w:rFonts w:ascii="Palatino Linotype" w:eastAsia="Calibri" w:hAnsi="Palatino Linotype" w:cs="Times New Roman"/>
        </w:rPr>
      </w:pPr>
    </w:p>
    <w:p w14:paraId="1BCC597D" w14:textId="31A5CC0D" w:rsidR="00E9781B" w:rsidRPr="00E9781B" w:rsidRDefault="00507A05" w:rsidP="00E9781B">
      <w:pPr>
        <w:shd w:val="clear" w:color="auto" w:fill="FFFFFF"/>
        <w:spacing w:after="0" w:line="360" w:lineRule="auto"/>
        <w:ind w:right="49"/>
        <w:jc w:val="both"/>
        <w:textAlignment w:val="baseline"/>
        <w:rPr>
          <w:rFonts w:ascii="Palatino Linotype" w:eastAsia="Calibri" w:hAnsi="Palatino Linotype" w:cs="Times New Roman"/>
        </w:rPr>
      </w:pPr>
      <w:r>
        <w:rPr>
          <w:rFonts w:ascii="Palatino Linotype" w:eastAsia="Calibri" w:hAnsi="Palatino Linotype" w:cs="Times New Roman"/>
        </w:rPr>
        <w:t>En este contexto,</w:t>
      </w:r>
      <w:r w:rsidR="00E9781B" w:rsidRPr="00E9781B">
        <w:rPr>
          <w:rFonts w:ascii="Palatino Linotype" w:eastAsia="Calibri" w:hAnsi="Palatino Linotype" w:cs="Times New Roman"/>
        </w:rPr>
        <w:t xml:space="preserve"> el sobreseimiento ha sido conceptualizado por la doctrina como el acto a través del cual se da por concluido un proceso sin que se haga un pronunciamiento sobre </w:t>
      </w:r>
      <w:r w:rsidR="00E9781B" w:rsidRPr="00E9781B">
        <w:rPr>
          <w:rFonts w:ascii="Palatino Linotype" w:eastAsia="Calibri" w:hAnsi="Palatino Linotype" w:cs="Times New Roman"/>
        </w:rPr>
        <w:lastRenderedPageBreak/>
        <w:t>la cuestión de fondo por falta de alguno de sus elementos constitutivos de carácter fundamental, o bien, por el surgimiento de una circunstancia que hace imposible o innecesario el análisis de la acción ejercitada</w:t>
      </w:r>
      <w:r>
        <w:rPr>
          <w:rFonts w:ascii="Palatino Linotype" w:eastAsia="Calibri" w:hAnsi="Palatino Linotype" w:cs="Times New Roman"/>
        </w:rPr>
        <w:t>.</w:t>
      </w:r>
    </w:p>
    <w:p w14:paraId="3BC382B8" w14:textId="2548788B" w:rsidR="00E9781B" w:rsidRDefault="00E9781B" w:rsidP="00E9781B">
      <w:pPr>
        <w:shd w:val="clear" w:color="auto" w:fill="FFFFFF"/>
        <w:spacing w:after="0" w:line="360" w:lineRule="auto"/>
        <w:ind w:right="49"/>
        <w:jc w:val="both"/>
        <w:textAlignment w:val="baseline"/>
        <w:rPr>
          <w:rFonts w:ascii="Palatino Linotype" w:eastAsia="Calibri" w:hAnsi="Palatino Linotype" w:cs="Times New Roman"/>
        </w:rPr>
      </w:pPr>
      <w:r w:rsidRPr="00E9781B">
        <w:rPr>
          <w:rFonts w:ascii="Palatino Linotype" w:eastAsia="Calibri" w:hAnsi="Palatino Linotype" w:cs="Times New Roman"/>
        </w:rPr>
        <w:br/>
        <w:t xml:space="preserve">También debe precisarse que en las diversas ramas procesales el sobreseimiento se decreta en el momento mismo en que se actualiza la causal correspondiente, ya que </w:t>
      </w:r>
      <w:r w:rsidR="00B631C8">
        <w:rPr>
          <w:rFonts w:ascii="Palatino Linotype" w:eastAsia="Calibri" w:hAnsi="Palatino Linotype" w:cs="Times New Roman"/>
        </w:rPr>
        <w:t>e</w:t>
      </w:r>
      <w:r w:rsidRPr="00E9781B">
        <w:rPr>
          <w:rFonts w:ascii="Palatino Linotype" w:eastAsia="Calibri" w:hAnsi="Palatino Linotype" w:cs="Times New Roman"/>
        </w:rPr>
        <w:t>sta impide la continuación del procedimiento relativo, lo cual significa que el sobreseimiento da por concluido el procedimiento sin que se haga pronunciamiento alguno sobre la cuestión de fondo debatida.</w:t>
      </w:r>
    </w:p>
    <w:p w14:paraId="7BADC3FF" w14:textId="77777777" w:rsidR="00507A05" w:rsidRDefault="00507A05" w:rsidP="00E9781B">
      <w:pPr>
        <w:shd w:val="clear" w:color="auto" w:fill="FFFFFF"/>
        <w:spacing w:after="0" w:line="360" w:lineRule="auto"/>
        <w:ind w:right="49"/>
        <w:jc w:val="both"/>
        <w:textAlignment w:val="baseline"/>
        <w:rPr>
          <w:rFonts w:ascii="Palatino Linotype" w:eastAsia="Calibri" w:hAnsi="Palatino Linotype" w:cs="Times New Roman"/>
        </w:rPr>
      </w:pPr>
    </w:p>
    <w:p w14:paraId="63B30EC5" w14:textId="5ED93075" w:rsidR="00507A05" w:rsidRDefault="00507A05" w:rsidP="00384E5E">
      <w:pPr>
        <w:shd w:val="clear" w:color="auto" w:fill="FFFFFF"/>
        <w:spacing w:after="0" w:line="360" w:lineRule="auto"/>
        <w:ind w:right="49"/>
        <w:jc w:val="both"/>
        <w:textAlignment w:val="baseline"/>
        <w:rPr>
          <w:rFonts w:ascii="Palatino Linotype" w:eastAsia="Calibri" w:hAnsi="Palatino Linotype" w:cs="Times New Roman"/>
        </w:rPr>
      </w:pPr>
      <w:r>
        <w:rPr>
          <w:rFonts w:ascii="Palatino Linotype" w:eastAsia="Calibri" w:hAnsi="Palatino Linotype" w:cs="Times New Roman"/>
        </w:rPr>
        <w:t>En la materia que nos ocupa que es la de protección de datos personales, el sobreseimiento, se regula en el artículo 13</w:t>
      </w:r>
      <w:r w:rsidR="00384E5E">
        <w:rPr>
          <w:rFonts w:ascii="Palatino Linotype" w:eastAsia="Calibri" w:hAnsi="Palatino Linotype" w:cs="Times New Roman"/>
        </w:rPr>
        <w:t>9</w:t>
      </w:r>
      <w:r w:rsidR="00B631C8">
        <w:rPr>
          <w:rFonts w:ascii="Palatino Linotype" w:eastAsia="Calibri" w:hAnsi="Palatino Linotype" w:cs="Times New Roman"/>
        </w:rPr>
        <w:t>,</w:t>
      </w:r>
      <w:r w:rsidR="00384E5E">
        <w:rPr>
          <w:rFonts w:ascii="Palatino Linotype" w:eastAsia="Calibri" w:hAnsi="Palatino Linotype" w:cs="Times New Roman"/>
        </w:rPr>
        <w:t xml:space="preserve"> fracción III</w:t>
      </w:r>
      <w:r w:rsidR="00B631C8">
        <w:rPr>
          <w:rFonts w:ascii="Palatino Linotype" w:eastAsia="Calibri" w:hAnsi="Palatino Linotype" w:cs="Times New Roman"/>
        </w:rPr>
        <w:t>,</w:t>
      </w:r>
      <w:r w:rsidR="00384E5E">
        <w:rPr>
          <w:rFonts w:ascii="Palatino Linotype" w:eastAsia="Calibri" w:hAnsi="Palatino Linotype" w:cs="Times New Roman"/>
        </w:rPr>
        <w:t xml:space="preserve"> en relación con el artículo 138</w:t>
      </w:r>
      <w:r w:rsidR="00B631C8">
        <w:rPr>
          <w:rFonts w:ascii="Palatino Linotype" w:eastAsia="Calibri" w:hAnsi="Palatino Linotype" w:cs="Times New Roman"/>
        </w:rPr>
        <w:t>,</w:t>
      </w:r>
      <w:r w:rsidR="00384E5E">
        <w:rPr>
          <w:rFonts w:ascii="Palatino Linotype" w:eastAsia="Calibri" w:hAnsi="Palatino Linotype" w:cs="Times New Roman"/>
        </w:rPr>
        <w:t xml:space="preserve"> fracción II</w:t>
      </w:r>
      <w:r w:rsidR="00B631C8">
        <w:rPr>
          <w:rFonts w:ascii="Palatino Linotype" w:eastAsia="Calibri" w:hAnsi="Palatino Linotype" w:cs="Times New Roman"/>
        </w:rPr>
        <w:t>, ambos</w:t>
      </w:r>
      <w:r>
        <w:rPr>
          <w:rFonts w:ascii="Palatino Linotype" w:eastAsia="Calibri" w:hAnsi="Palatino Linotype" w:cs="Times New Roman"/>
        </w:rPr>
        <w:t xml:space="preserve"> de la Ley de Protección de Datos Personales en Posesión de Sujetos Obligados del Estado de México y Municipios</w:t>
      </w:r>
      <w:r w:rsidR="00B631C8">
        <w:rPr>
          <w:rFonts w:ascii="Palatino Linotype" w:eastAsia="Calibri" w:hAnsi="Palatino Linotype" w:cs="Times New Roman"/>
        </w:rPr>
        <w:t>, los cuales</w:t>
      </w:r>
      <w:r>
        <w:rPr>
          <w:rFonts w:ascii="Palatino Linotype" w:eastAsia="Calibri" w:hAnsi="Palatino Linotype" w:cs="Times New Roman"/>
        </w:rPr>
        <w:t xml:space="preserve"> </w:t>
      </w:r>
      <w:r w:rsidR="00384E5E">
        <w:rPr>
          <w:rFonts w:ascii="Palatino Linotype" w:eastAsia="Calibri" w:hAnsi="Palatino Linotype" w:cs="Times New Roman"/>
        </w:rPr>
        <w:t>contempla</w:t>
      </w:r>
      <w:r w:rsidR="00B631C8">
        <w:rPr>
          <w:rFonts w:ascii="Palatino Linotype" w:eastAsia="Calibri" w:hAnsi="Palatino Linotype" w:cs="Times New Roman"/>
        </w:rPr>
        <w:t>n</w:t>
      </w:r>
      <w:r w:rsidR="00384E5E">
        <w:rPr>
          <w:rFonts w:ascii="Palatino Linotype" w:eastAsia="Calibri" w:hAnsi="Palatino Linotype" w:cs="Times New Roman"/>
        </w:rPr>
        <w:t xml:space="preserve"> que</w:t>
      </w:r>
      <w:r w:rsidR="00B631C8">
        <w:rPr>
          <w:rFonts w:ascii="Palatino Linotype" w:eastAsia="Calibri" w:hAnsi="Palatino Linotype" w:cs="Times New Roman"/>
        </w:rPr>
        <w:t>, cuando</w:t>
      </w:r>
      <w:r w:rsidR="00384E5E">
        <w:rPr>
          <w:rFonts w:ascii="Palatino Linotype" w:eastAsia="Calibri" w:hAnsi="Palatino Linotype" w:cs="Times New Roman"/>
        </w:rPr>
        <w:t xml:space="preserve"> no se acredite la identidad y/o la representación del titular de los datos personales, es improcedente entrar al estudio del asunto, lo que consecuentemente implica la imposibilidad del estudio del fondo de los documentos que obran en la constancias digitales del expediente.</w:t>
      </w:r>
    </w:p>
    <w:p w14:paraId="27E03EAC" w14:textId="77777777" w:rsidR="00384E5E" w:rsidRDefault="00384E5E" w:rsidP="00384E5E">
      <w:pPr>
        <w:shd w:val="clear" w:color="auto" w:fill="FFFFFF"/>
        <w:spacing w:after="0" w:line="360" w:lineRule="auto"/>
        <w:ind w:right="49"/>
        <w:jc w:val="both"/>
        <w:textAlignment w:val="baseline"/>
        <w:rPr>
          <w:rFonts w:ascii="Palatino Linotype" w:eastAsia="Calibri" w:hAnsi="Palatino Linotype" w:cs="Times New Roman"/>
        </w:rPr>
      </w:pPr>
    </w:p>
    <w:p w14:paraId="60D111F1" w14:textId="72127C85" w:rsidR="00384E5E" w:rsidRDefault="00384E5E" w:rsidP="00384E5E">
      <w:pPr>
        <w:shd w:val="clear" w:color="auto" w:fill="FFFFFF"/>
        <w:spacing w:after="0" w:line="360" w:lineRule="auto"/>
        <w:ind w:right="49"/>
        <w:jc w:val="both"/>
        <w:textAlignment w:val="baseline"/>
        <w:rPr>
          <w:rFonts w:ascii="Palatino Linotype" w:eastAsia="Calibri" w:hAnsi="Palatino Linotype" w:cs="Times New Roman"/>
        </w:rPr>
      </w:pPr>
      <w:r>
        <w:rPr>
          <w:rFonts w:ascii="Palatino Linotype" w:eastAsia="Calibri" w:hAnsi="Palatino Linotype" w:cs="Times New Roman"/>
        </w:rPr>
        <w:t xml:space="preserve">Sirve de apoyo la jurisprudencia </w:t>
      </w:r>
      <w:r w:rsidRPr="00384E5E">
        <w:rPr>
          <w:rFonts w:ascii="Palatino Linotype" w:eastAsia="Calibri" w:hAnsi="Palatino Linotype" w:cs="Times New Roman"/>
        </w:rPr>
        <w:t xml:space="preserve">VI.2o. J/22 </w:t>
      </w:r>
      <w:r>
        <w:rPr>
          <w:rFonts w:ascii="Palatino Linotype" w:eastAsia="Calibri" w:hAnsi="Palatino Linotype" w:cs="Times New Roman"/>
        </w:rPr>
        <w:t xml:space="preserve">con registro digital </w:t>
      </w:r>
      <w:r w:rsidRPr="00384E5E">
        <w:rPr>
          <w:rFonts w:ascii="Palatino Linotype" w:eastAsia="Calibri" w:hAnsi="Palatino Linotype" w:cs="Times New Roman"/>
        </w:rPr>
        <w:t>204734 de la novena época, publicada</w:t>
      </w:r>
      <w:r>
        <w:rPr>
          <w:rFonts w:ascii="Palatino Linotype" w:eastAsia="Calibri" w:hAnsi="Palatino Linotype" w:cs="Times New Roman"/>
        </w:rPr>
        <w:t xml:space="preserve"> </w:t>
      </w:r>
      <w:r w:rsidRPr="00384E5E">
        <w:rPr>
          <w:rFonts w:ascii="Palatino Linotype" w:eastAsia="Calibri" w:hAnsi="Palatino Linotype" w:cs="Times New Roman"/>
        </w:rPr>
        <w:t>en</w:t>
      </w:r>
      <w:r>
        <w:rPr>
          <w:rFonts w:ascii="Palatino Linotype" w:eastAsia="Calibri" w:hAnsi="Palatino Linotype" w:cs="Times New Roman"/>
        </w:rPr>
        <w:t xml:space="preserve"> </w:t>
      </w:r>
      <w:r w:rsidRPr="00384E5E">
        <w:rPr>
          <w:rFonts w:ascii="Palatino Linotype" w:eastAsia="Calibri" w:hAnsi="Palatino Linotype" w:cs="Times New Roman"/>
        </w:rPr>
        <w:t>el</w:t>
      </w:r>
      <w:r>
        <w:rPr>
          <w:rFonts w:ascii="Palatino Linotype" w:eastAsia="Calibri" w:hAnsi="Palatino Linotype" w:cs="Times New Roman"/>
        </w:rPr>
        <w:t xml:space="preserve"> S</w:t>
      </w:r>
      <w:r w:rsidRPr="00384E5E">
        <w:rPr>
          <w:rFonts w:ascii="Palatino Linotype" w:eastAsia="Calibri" w:hAnsi="Palatino Linotype" w:cs="Times New Roman"/>
        </w:rPr>
        <w:t>emanario</w:t>
      </w:r>
      <w:r>
        <w:rPr>
          <w:rFonts w:ascii="Palatino Linotype" w:eastAsia="Calibri" w:hAnsi="Palatino Linotype" w:cs="Times New Roman"/>
        </w:rPr>
        <w:t xml:space="preserve"> </w:t>
      </w:r>
      <w:r w:rsidRPr="00384E5E">
        <w:rPr>
          <w:rFonts w:ascii="Palatino Linotype" w:eastAsia="Calibri" w:hAnsi="Palatino Linotype" w:cs="Times New Roman"/>
        </w:rPr>
        <w:t>Judicial</w:t>
      </w:r>
      <w:r>
        <w:rPr>
          <w:rFonts w:ascii="Palatino Linotype" w:eastAsia="Calibri" w:hAnsi="Palatino Linotype" w:cs="Times New Roman"/>
        </w:rPr>
        <w:t xml:space="preserve"> </w:t>
      </w:r>
      <w:r w:rsidRPr="00384E5E">
        <w:rPr>
          <w:rFonts w:ascii="Palatino Linotype" w:eastAsia="Calibri" w:hAnsi="Palatino Linotype" w:cs="Times New Roman"/>
        </w:rPr>
        <w:t>de</w:t>
      </w:r>
      <w:r>
        <w:rPr>
          <w:rFonts w:ascii="Palatino Linotype" w:eastAsia="Calibri" w:hAnsi="Palatino Linotype" w:cs="Times New Roman"/>
        </w:rPr>
        <w:t xml:space="preserve"> </w:t>
      </w:r>
      <w:r w:rsidRPr="00384E5E">
        <w:rPr>
          <w:rFonts w:ascii="Palatino Linotype" w:eastAsia="Calibri" w:hAnsi="Palatino Linotype" w:cs="Times New Roman"/>
        </w:rPr>
        <w:t>la</w:t>
      </w:r>
      <w:r>
        <w:rPr>
          <w:rFonts w:ascii="Palatino Linotype" w:eastAsia="Calibri" w:hAnsi="Palatino Linotype" w:cs="Times New Roman"/>
        </w:rPr>
        <w:t xml:space="preserve"> </w:t>
      </w:r>
      <w:r w:rsidRPr="00384E5E">
        <w:rPr>
          <w:rFonts w:ascii="Palatino Linotype" w:eastAsia="Calibri" w:hAnsi="Palatino Linotype" w:cs="Times New Roman"/>
        </w:rPr>
        <w:t>Federación</w:t>
      </w:r>
      <w:r>
        <w:rPr>
          <w:rFonts w:ascii="Palatino Linotype" w:eastAsia="Calibri" w:hAnsi="Palatino Linotype" w:cs="Times New Roman"/>
        </w:rPr>
        <w:t xml:space="preserve"> y </w:t>
      </w:r>
      <w:r w:rsidRPr="00384E5E">
        <w:rPr>
          <w:rFonts w:ascii="Palatino Linotype" w:eastAsia="Calibri" w:hAnsi="Palatino Linotype" w:cs="Times New Roman"/>
        </w:rPr>
        <w:t>su Gaceta</w:t>
      </w:r>
      <w:r>
        <w:rPr>
          <w:rFonts w:ascii="Palatino Linotype" w:eastAsia="Calibri" w:hAnsi="Palatino Linotype" w:cs="Times New Roman"/>
        </w:rPr>
        <w:t>, tomo II, a</w:t>
      </w:r>
      <w:r w:rsidRPr="00384E5E">
        <w:rPr>
          <w:rFonts w:ascii="Palatino Linotype" w:eastAsia="Calibri" w:hAnsi="Palatino Linotype" w:cs="Times New Roman"/>
        </w:rPr>
        <w:t>gosto de 1995, página 409</w:t>
      </w:r>
      <w:r>
        <w:rPr>
          <w:rFonts w:ascii="Palatino Linotype" w:eastAsia="Calibri" w:hAnsi="Palatino Linotype" w:cs="Times New Roman"/>
        </w:rPr>
        <w:t>, que lleva por rubro y texto:</w:t>
      </w:r>
    </w:p>
    <w:p w14:paraId="4A3FE0D1" w14:textId="77777777" w:rsidR="00384E5E" w:rsidRDefault="00384E5E" w:rsidP="00384E5E">
      <w:pPr>
        <w:shd w:val="clear" w:color="auto" w:fill="FFFFFF"/>
        <w:spacing w:after="0" w:line="360" w:lineRule="auto"/>
        <w:ind w:right="49"/>
        <w:jc w:val="both"/>
        <w:textAlignment w:val="baseline"/>
        <w:rPr>
          <w:rFonts w:ascii="Palatino Linotype" w:eastAsia="Calibri" w:hAnsi="Palatino Linotype" w:cs="Times New Roman"/>
        </w:rPr>
      </w:pPr>
    </w:p>
    <w:p w14:paraId="57D90948" w14:textId="77777777" w:rsidR="00384E5E" w:rsidRPr="00384E5E" w:rsidRDefault="00384E5E" w:rsidP="00384E5E">
      <w:pPr>
        <w:shd w:val="clear" w:color="auto" w:fill="FFFFFF"/>
        <w:spacing w:after="0" w:line="360" w:lineRule="auto"/>
        <w:ind w:left="567" w:right="616"/>
        <w:jc w:val="both"/>
        <w:textAlignment w:val="baseline"/>
        <w:rPr>
          <w:rFonts w:ascii="Palatino Linotype" w:eastAsia="Calibri" w:hAnsi="Palatino Linotype" w:cs="Times New Roman"/>
          <w:i/>
          <w:sz w:val="20"/>
          <w:szCs w:val="20"/>
        </w:rPr>
      </w:pPr>
      <w:r w:rsidRPr="00384E5E">
        <w:rPr>
          <w:rFonts w:ascii="Palatino Linotype" w:eastAsia="Calibri" w:hAnsi="Palatino Linotype" w:cs="Times New Roman"/>
          <w:i/>
          <w:sz w:val="20"/>
          <w:szCs w:val="20"/>
        </w:rPr>
        <w:t>SOBRESEIMIENTO. PRUEBAS RELACIONADAS CON EL FONDO DEL NEGOCIO. NO PROCEDE SU ESTUDIO.</w:t>
      </w:r>
    </w:p>
    <w:p w14:paraId="603F195C" w14:textId="77777777" w:rsidR="00384E5E" w:rsidRPr="00384E5E" w:rsidRDefault="00384E5E" w:rsidP="00384E5E">
      <w:pPr>
        <w:shd w:val="clear" w:color="auto" w:fill="FFFFFF"/>
        <w:spacing w:after="0" w:line="360" w:lineRule="auto"/>
        <w:ind w:left="567" w:right="616"/>
        <w:jc w:val="both"/>
        <w:textAlignment w:val="baseline"/>
        <w:rPr>
          <w:rFonts w:ascii="Palatino Linotype" w:eastAsia="Calibri" w:hAnsi="Palatino Linotype" w:cs="Times New Roman"/>
          <w:i/>
          <w:sz w:val="20"/>
          <w:szCs w:val="20"/>
        </w:rPr>
      </w:pPr>
      <w:r w:rsidRPr="00384E5E">
        <w:rPr>
          <w:rFonts w:ascii="Palatino Linotype" w:eastAsia="Calibri" w:hAnsi="Palatino Linotype" w:cs="Times New Roman"/>
          <w:i/>
          <w:sz w:val="20"/>
          <w:szCs w:val="20"/>
        </w:rPr>
        <w:t>El juez federal no tiene por qué tomar en consideración las pruebas ofrecidas por la quejosa en el juicio de garantías, relacionadas con los conceptos de violación, si decide sobreseer, pues no existe razón jurídica para examinar y valorar las relativas al fondo del asunto.</w:t>
      </w:r>
    </w:p>
    <w:p w14:paraId="0FA09E5A" w14:textId="77777777" w:rsidR="00384E5E" w:rsidRDefault="00384E5E" w:rsidP="00384E5E">
      <w:pPr>
        <w:shd w:val="clear" w:color="auto" w:fill="FFFFFF"/>
        <w:spacing w:after="0" w:line="360" w:lineRule="auto"/>
        <w:ind w:right="49"/>
        <w:jc w:val="both"/>
        <w:textAlignment w:val="baseline"/>
        <w:rPr>
          <w:rFonts w:ascii="Palatino Linotype" w:eastAsia="Calibri" w:hAnsi="Palatino Linotype" w:cs="Times New Roman"/>
        </w:rPr>
      </w:pPr>
    </w:p>
    <w:p w14:paraId="19BE036A" w14:textId="41F641F4" w:rsidR="00384E5E" w:rsidRDefault="00384E5E" w:rsidP="00507A05">
      <w:pPr>
        <w:shd w:val="clear" w:color="auto" w:fill="FFFFFF"/>
        <w:spacing w:after="0" w:line="360" w:lineRule="auto"/>
        <w:ind w:right="49"/>
        <w:jc w:val="both"/>
        <w:textAlignment w:val="baseline"/>
        <w:rPr>
          <w:rFonts w:ascii="Palatino Linotype" w:eastAsia="Calibri" w:hAnsi="Palatino Linotype" w:cs="Times New Roman"/>
        </w:rPr>
      </w:pPr>
      <w:r>
        <w:rPr>
          <w:rFonts w:ascii="Palatino Linotype" w:eastAsia="Calibri" w:hAnsi="Palatino Linotype" w:cs="Times New Roman"/>
        </w:rPr>
        <w:t xml:space="preserve">En el asunto que nos ocupa, estudiar los documentos y su contenido, aportado por las partes, implicaría entrar al estudio de fondo, pues para realizar una denuncia por la vulneración de datos personales, </w:t>
      </w:r>
      <w:r w:rsidR="00B631C8">
        <w:rPr>
          <w:rFonts w:ascii="Palatino Linotype" w:eastAsia="Calibri" w:hAnsi="Palatino Linotype" w:cs="Times New Roman"/>
        </w:rPr>
        <w:t>requiere</w:t>
      </w:r>
      <w:r>
        <w:rPr>
          <w:rFonts w:ascii="Palatino Linotype" w:eastAsia="Calibri" w:hAnsi="Palatino Linotype" w:cs="Times New Roman"/>
        </w:rPr>
        <w:t xml:space="preserve"> necesariamente, analizar el contenido de los documentos entregados en respuesta, lo que resulta incompatible con la figura legal del sobreseimiento.</w:t>
      </w:r>
    </w:p>
    <w:p w14:paraId="70A693DC" w14:textId="77777777" w:rsidR="00384E5E" w:rsidRDefault="00384E5E" w:rsidP="00507A05">
      <w:pPr>
        <w:shd w:val="clear" w:color="auto" w:fill="FFFFFF"/>
        <w:spacing w:after="0" w:line="360" w:lineRule="auto"/>
        <w:ind w:right="49"/>
        <w:jc w:val="both"/>
        <w:textAlignment w:val="baseline"/>
        <w:rPr>
          <w:rFonts w:ascii="Palatino Linotype" w:eastAsia="Calibri" w:hAnsi="Palatino Linotype" w:cs="Times New Roman"/>
        </w:rPr>
      </w:pPr>
    </w:p>
    <w:p w14:paraId="0F5865A4" w14:textId="67D19A9D" w:rsidR="00384E5E" w:rsidRDefault="00B631C8" w:rsidP="00507A05">
      <w:pPr>
        <w:shd w:val="clear" w:color="auto" w:fill="FFFFFF"/>
        <w:spacing w:after="0" w:line="360" w:lineRule="auto"/>
        <w:ind w:right="49"/>
        <w:jc w:val="both"/>
        <w:textAlignment w:val="baseline"/>
        <w:rPr>
          <w:rFonts w:ascii="Palatino Linotype" w:eastAsia="Calibri" w:hAnsi="Palatino Linotype" w:cs="Times New Roman"/>
        </w:rPr>
      </w:pPr>
      <w:r>
        <w:rPr>
          <w:rFonts w:ascii="Palatino Linotype" w:eastAsia="Calibri" w:hAnsi="Palatino Linotype" w:cs="Times New Roman"/>
        </w:rPr>
        <w:t>P</w:t>
      </w:r>
      <w:r w:rsidR="00384E5E">
        <w:rPr>
          <w:rFonts w:ascii="Palatino Linotype" w:eastAsia="Calibri" w:hAnsi="Palatino Linotype" w:cs="Times New Roman"/>
        </w:rPr>
        <w:t>or ello, considero que cuando se dicta un sobreseimiento, que se relaciona con la falta de elementos procesales para dar curso al estudio de fondo, es improcedente realizar el estudio de los contenidos aportados por las partes y por tanto, tampoco es viable dar vista por la vulneración de datos personales, pues ello implicaría hacer un estudio de fondo de los documentos aportados.</w:t>
      </w:r>
    </w:p>
    <w:p w14:paraId="28053B8D" w14:textId="77777777" w:rsidR="00E9781B" w:rsidRDefault="00E9781B" w:rsidP="00E9781B">
      <w:pPr>
        <w:shd w:val="clear" w:color="auto" w:fill="FFFFFF"/>
        <w:spacing w:after="0" w:line="360" w:lineRule="auto"/>
        <w:ind w:right="49"/>
        <w:jc w:val="both"/>
        <w:textAlignment w:val="baseline"/>
        <w:rPr>
          <w:rFonts w:ascii="Palatino Linotype" w:eastAsia="Calibri" w:hAnsi="Palatino Linotype" w:cs="Times New Roman"/>
        </w:rPr>
      </w:pPr>
    </w:p>
    <w:p w14:paraId="3EB96BC1" w14:textId="11638ECF" w:rsidR="002F4CEB" w:rsidRPr="00DF675F" w:rsidRDefault="00D10504" w:rsidP="00E9781B">
      <w:pPr>
        <w:spacing w:after="0" w:line="360" w:lineRule="auto"/>
        <w:jc w:val="both"/>
        <w:rPr>
          <w:rFonts w:ascii="Palatino Linotype" w:hAnsi="Palatino Linotype" w:cs="Tahoma"/>
        </w:rPr>
      </w:pPr>
      <w:r w:rsidRPr="00C569A8">
        <w:rPr>
          <w:rFonts w:ascii="Palatino Linotype" w:hAnsi="Palatino Linotype" w:cs="Tahoma"/>
        </w:rPr>
        <w:t xml:space="preserve">Lo anterior expone razones suficientes para la emisión y presentación del presente </w:t>
      </w:r>
      <w:r w:rsidRPr="00C569A8">
        <w:rPr>
          <w:rFonts w:ascii="Palatino Linotype" w:hAnsi="Palatino Linotype" w:cs="Tahoma"/>
          <w:b/>
        </w:rPr>
        <w:t>Voto Particular Concurrente</w:t>
      </w:r>
      <w:r w:rsidRPr="00C569A8">
        <w:rPr>
          <w:rFonts w:ascii="Palatino Linotype" w:hAnsi="Palatino Linotype" w:cs="Tahoma"/>
        </w:rPr>
        <w:t>, relacionado con la resolución del Recurso de Revisión referido.</w:t>
      </w:r>
      <w:r w:rsidR="002F4CEB" w:rsidRPr="001514DB">
        <w:rPr>
          <w:rFonts w:ascii="Palatino Linotype" w:eastAsia="Calibri" w:hAnsi="Palatino Linotype" w:cs="Times New Roman"/>
          <w:lang w:val="es-MX"/>
        </w:rPr>
        <w:t xml:space="preserve"> </w:t>
      </w:r>
      <w:r w:rsidR="002F4CEB" w:rsidRPr="001514DB">
        <w:rPr>
          <w:rFonts w:ascii="Palatino Linotype" w:hAnsi="Palatino Linotype" w:cs="Tahoma"/>
          <w:lang w:val="es-MX"/>
        </w:rPr>
        <w:t>----------------------------------------------------------------------------------------------</w:t>
      </w:r>
      <w:r>
        <w:rPr>
          <w:rFonts w:ascii="Palatino Linotype" w:hAnsi="Palatino Linotype" w:cs="Tahoma"/>
          <w:lang w:val="es-MX"/>
        </w:rPr>
        <w:t>-----------------------------</w:t>
      </w:r>
    </w:p>
    <w:p w14:paraId="6A67949E" w14:textId="4F4DAC69" w:rsidR="00441FA4" w:rsidRDefault="00441FA4" w:rsidP="00E9781B">
      <w:pPr>
        <w:spacing w:after="0" w:line="360" w:lineRule="auto"/>
        <w:jc w:val="both"/>
        <w:rPr>
          <w:rFonts w:ascii="Palatino Linotype" w:hAnsi="Palatino Linotype" w:cs="Tahoma"/>
        </w:rPr>
      </w:pPr>
    </w:p>
    <w:p w14:paraId="26A627B2" w14:textId="4AA77F9D" w:rsidR="002F4CEB" w:rsidRDefault="00441FA4" w:rsidP="00E9781B">
      <w:pPr>
        <w:spacing w:after="0"/>
        <w:rPr>
          <w:rFonts w:ascii="Palatino Linotype" w:hAnsi="Palatino Linotype" w:cs="Tahoma"/>
        </w:rPr>
      </w:pPr>
      <w:r>
        <w:rPr>
          <w:rFonts w:ascii="Palatino Linotype" w:hAnsi="Palatino Linotype" w:cs="Tahoma"/>
        </w:rPr>
        <w:br w:type="page"/>
      </w:r>
    </w:p>
    <w:sectPr w:rsidR="002F4CEB" w:rsidSect="004B549C">
      <w:headerReference w:type="even" r:id="rId7"/>
      <w:headerReference w:type="default" r:id="rId8"/>
      <w:footerReference w:type="default" r:id="rId9"/>
      <w:headerReference w:type="first" r:id="rId10"/>
      <w:pgSz w:w="12240" w:h="15840" w:code="1"/>
      <w:pgMar w:top="1417" w:right="1701" w:bottom="1417" w:left="1701" w:header="56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938A48" w14:textId="77777777" w:rsidR="001F5439" w:rsidRDefault="001F5439" w:rsidP="00A80C30">
      <w:pPr>
        <w:spacing w:after="0" w:line="240" w:lineRule="auto"/>
      </w:pPr>
      <w:r>
        <w:separator/>
      </w:r>
    </w:p>
  </w:endnote>
  <w:endnote w:type="continuationSeparator" w:id="0">
    <w:p w14:paraId="41C37B31" w14:textId="77777777" w:rsidR="001F5439" w:rsidRDefault="001F5439" w:rsidP="00A80C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4792261"/>
      <w:docPartObj>
        <w:docPartGallery w:val="Page Numbers (Bottom of Page)"/>
        <w:docPartUnique/>
      </w:docPartObj>
    </w:sdtPr>
    <w:sdtEndPr/>
    <w:sdtContent>
      <w:sdt>
        <w:sdtPr>
          <w:id w:val="1728636285"/>
          <w:docPartObj>
            <w:docPartGallery w:val="Page Numbers (Top of Page)"/>
            <w:docPartUnique/>
          </w:docPartObj>
        </w:sdtPr>
        <w:sdtEndPr/>
        <w:sdtContent>
          <w:p w14:paraId="40B2EA0D" w14:textId="77777777" w:rsidR="0011061A" w:rsidRDefault="0011061A">
            <w:pPr>
              <w:pStyle w:val="Piedepgina"/>
              <w:jc w:val="center"/>
            </w:pPr>
            <w:r>
              <w:t xml:space="preserve">Página </w:t>
            </w:r>
            <w:r>
              <w:rPr>
                <w:b/>
                <w:bCs/>
                <w:sz w:val="24"/>
                <w:szCs w:val="24"/>
              </w:rPr>
              <w:fldChar w:fldCharType="begin"/>
            </w:r>
            <w:r>
              <w:rPr>
                <w:b/>
                <w:bCs/>
              </w:rPr>
              <w:instrText>PAGE</w:instrText>
            </w:r>
            <w:r>
              <w:rPr>
                <w:b/>
                <w:bCs/>
                <w:sz w:val="24"/>
                <w:szCs w:val="24"/>
              </w:rPr>
              <w:fldChar w:fldCharType="separate"/>
            </w:r>
            <w:r w:rsidR="00384E5E">
              <w:rPr>
                <w:b/>
                <w:bCs/>
                <w:noProof/>
              </w:rPr>
              <w:t>6</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384E5E">
              <w:rPr>
                <w:b/>
                <w:bCs/>
                <w:noProof/>
              </w:rPr>
              <w:t>6</w:t>
            </w:r>
            <w:r>
              <w:rPr>
                <w:b/>
                <w:bCs/>
                <w:sz w:val="24"/>
                <w:szCs w:val="24"/>
              </w:rPr>
              <w:fldChar w:fldCharType="end"/>
            </w:r>
          </w:p>
        </w:sdtContent>
      </w:sdt>
    </w:sdtContent>
  </w:sdt>
  <w:p w14:paraId="2AC9CFE9" w14:textId="77777777" w:rsidR="0011061A" w:rsidRDefault="0011061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A8FF58" w14:textId="77777777" w:rsidR="001F5439" w:rsidRDefault="001F5439" w:rsidP="00A80C30">
      <w:pPr>
        <w:spacing w:after="0" w:line="240" w:lineRule="auto"/>
      </w:pPr>
      <w:r>
        <w:separator/>
      </w:r>
    </w:p>
  </w:footnote>
  <w:footnote w:type="continuationSeparator" w:id="0">
    <w:p w14:paraId="51D585BC" w14:textId="77777777" w:rsidR="001F5439" w:rsidRDefault="001F5439" w:rsidP="00A80C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D71406" w14:textId="77777777" w:rsidR="0011061A" w:rsidRDefault="00665265">
    <w:pPr>
      <w:pStyle w:val="Encabezado"/>
    </w:pPr>
    <w:r>
      <w:rPr>
        <w:noProof/>
      </w:rPr>
      <w:pict w14:anchorId="3AF2A4A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6442985" o:spid="_x0000_s1026" type="#_x0000_t136" style="position:absolute;margin-left:0;margin-top:0;width:541.8pt;height:81.25pt;rotation:315;z-index:-251656192;mso-position-horizontal:center;mso-position-horizontal-relative:margin;mso-position-vertical:center;mso-position-vertical-relative:margin" o:allowincell="f" fillcolor="silver" stroked="f">
          <v:fill opacity=".5"/>
          <v:textpath style="font-family:&quot;Palatino Linotype&quot;;font-size:1pt" string="VOTO PARTICULA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5954"/>
    </w:tblGrid>
    <w:tr w:rsidR="0011061A" w:rsidRPr="001106EA" w14:paraId="1D801363" w14:textId="77777777" w:rsidTr="000E2690">
      <w:trPr>
        <w:trHeight w:val="1843"/>
      </w:trPr>
      <w:tc>
        <w:tcPr>
          <w:tcW w:w="3402" w:type="dxa"/>
          <w:vAlign w:val="bottom"/>
        </w:tcPr>
        <w:p w14:paraId="034AEACD" w14:textId="77777777" w:rsidR="0011061A" w:rsidRDefault="0011061A" w:rsidP="00285C7B">
          <w:pPr>
            <w:pStyle w:val="Encabezado"/>
            <w:tabs>
              <w:tab w:val="clear" w:pos="4252"/>
              <w:tab w:val="center" w:pos="2614"/>
            </w:tabs>
            <w:ind w:left="-255"/>
          </w:pPr>
          <w:r>
            <w:rPr>
              <w:noProof/>
              <w:sz w:val="10"/>
              <w:szCs w:val="10"/>
              <w:lang w:val="es-MX" w:eastAsia="es-MX"/>
            </w:rPr>
            <w:drawing>
              <wp:anchor distT="0" distB="0" distL="114300" distR="114300" simplePos="0" relativeHeight="251664384" behindDoc="0" locked="0" layoutInCell="1" allowOverlap="1" wp14:anchorId="09A2B718" wp14:editId="4256B7D6">
                <wp:simplePos x="0" y="0"/>
                <wp:positionH relativeFrom="column">
                  <wp:posOffset>-329565</wp:posOffset>
                </wp:positionH>
                <wp:positionV relativeFrom="paragraph">
                  <wp:posOffset>-861060</wp:posOffset>
                </wp:positionV>
                <wp:extent cx="1873250" cy="1126490"/>
                <wp:effectExtent l="0" t="0" r="0" b="0"/>
                <wp:wrapNone/>
                <wp:docPr id="794088341" name="Imagen 794088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tipo Infoem.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73250" cy="1126490"/>
                        </a:xfrm>
                        <a:prstGeom prst="rect">
                          <a:avLst/>
                        </a:prstGeom>
                      </pic:spPr>
                    </pic:pic>
                  </a:graphicData>
                </a:graphic>
                <wp14:sizeRelH relativeFrom="margin">
                  <wp14:pctWidth>0</wp14:pctWidth>
                </wp14:sizeRelH>
                <wp14:sizeRelV relativeFrom="margin">
                  <wp14:pctHeight>0</wp14:pctHeight>
                </wp14:sizeRelV>
              </wp:anchor>
            </w:drawing>
          </w:r>
        </w:p>
        <w:p w14:paraId="6C1E59CA" w14:textId="77777777" w:rsidR="0011061A" w:rsidRDefault="0011061A" w:rsidP="00285C7B">
          <w:pPr>
            <w:pStyle w:val="Encabezado"/>
            <w:tabs>
              <w:tab w:val="clear" w:pos="4252"/>
              <w:tab w:val="center" w:pos="2614"/>
            </w:tabs>
            <w:ind w:left="-255"/>
          </w:pPr>
        </w:p>
      </w:tc>
      <w:tc>
        <w:tcPr>
          <w:tcW w:w="5954" w:type="dxa"/>
          <w:vAlign w:val="center"/>
        </w:tcPr>
        <w:p w14:paraId="636797BD" w14:textId="6761D07A" w:rsidR="0011061A" w:rsidRPr="00B9745A" w:rsidRDefault="0011061A" w:rsidP="005B53F3">
          <w:pPr>
            <w:pStyle w:val="Encabezado"/>
            <w:ind w:left="-108" w:right="39"/>
            <w:jc w:val="both"/>
            <w:rPr>
              <w:rFonts w:ascii="Palatino Linotype" w:hAnsi="Palatino Linotype" w:cs="Tahoma"/>
              <w:b/>
            </w:rPr>
          </w:pPr>
          <w:r w:rsidRPr="00B9745A">
            <w:rPr>
              <w:rFonts w:ascii="Palatino Linotype" w:hAnsi="Palatino Linotype" w:cs="Tahoma"/>
              <w:b/>
            </w:rPr>
            <w:t>Voto Particular</w:t>
          </w:r>
          <w:r>
            <w:rPr>
              <w:rFonts w:ascii="Palatino Linotype" w:hAnsi="Palatino Linotype" w:cs="Tahoma"/>
              <w:b/>
            </w:rPr>
            <w:t xml:space="preserve"> Concurrente</w:t>
          </w:r>
        </w:p>
        <w:p w14:paraId="18351A16" w14:textId="47DAAC08" w:rsidR="0011061A" w:rsidRDefault="0011061A" w:rsidP="005B53F3">
          <w:pPr>
            <w:pStyle w:val="Encabezado"/>
            <w:ind w:left="-108" w:right="39"/>
            <w:jc w:val="both"/>
            <w:rPr>
              <w:rFonts w:ascii="Palatino Linotype" w:hAnsi="Palatino Linotype"/>
              <w:lang w:val="es-MX"/>
            </w:rPr>
          </w:pPr>
          <w:r w:rsidRPr="00B9745A">
            <w:rPr>
              <w:rFonts w:ascii="Palatino Linotype" w:hAnsi="Palatino Linotype" w:cs="Tahoma"/>
              <w:b/>
            </w:rPr>
            <w:t xml:space="preserve">Recurso de Revisión: </w:t>
          </w:r>
          <w:r>
            <w:rPr>
              <w:rFonts w:ascii="Palatino Linotype" w:hAnsi="Palatino Linotype"/>
              <w:lang w:val="es-MX"/>
            </w:rPr>
            <w:t>003</w:t>
          </w:r>
          <w:r w:rsidR="00824F87">
            <w:rPr>
              <w:rFonts w:ascii="Palatino Linotype" w:hAnsi="Palatino Linotype"/>
              <w:lang w:val="es-MX"/>
            </w:rPr>
            <w:t>8</w:t>
          </w:r>
          <w:r w:rsidR="000B66C3">
            <w:rPr>
              <w:rFonts w:ascii="Palatino Linotype" w:hAnsi="Palatino Linotype"/>
              <w:lang w:val="es-MX"/>
            </w:rPr>
            <w:t>9</w:t>
          </w:r>
          <w:r>
            <w:rPr>
              <w:rFonts w:ascii="Palatino Linotype" w:hAnsi="Palatino Linotype"/>
              <w:lang w:val="es-MX"/>
            </w:rPr>
            <w:t>/INFOEM/IP/RR/2025</w:t>
          </w:r>
        </w:p>
        <w:p w14:paraId="02C32D5A" w14:textId="16A1AC96" w:rsidR="0011061A" w:rsidRDefault="0011061A" w:rsidP="005B53F3">
          <w:pPr>
            <w:pStyle w:val="Encabezado"/>
            <w:ind w:left="-108" w:right="39"/>
            <w:jc w:val="both"/>
            <w:rPr>
              <w:rFonts w:ascii="Palatino Linotype" w:hAnsi="Palatino Linotype"/>
              <w:bCs/>
              <w:lang w:val="es-MX"/>
            </w:rPr>
          </w:pPr>
          <w:r>
            <w:rPr>
              <w:rFonts w:ascii="Palatino Linotype" w:hAnsi="Palatino Linotype" w:cs="Tahoma"/>
              <w:b/>
            </w:rPr>
            <w:t>Sujeto Obligado:</w:t>
          </w:r>
          <w:r>
            <w:rPr>
              <w:rFonts w:ascii="Palatino Linotype" w:hAnsi="Palatino Linotype"/>
              <w:bCs/>
              <w:lang w:val="es-MX"/>
            </w:rPr>
            <w:t xml:space="preserve"> </w:t>
          </w:r>
          <w:r w:rsidRPr="0011061A">
            <w:rPr>
              <w:rFonts w:ascii="Palatino Linotype" w:hAnsi="Palatino Linotype"/>
              <w:bCs/>
              <w:lang w:val="es-MX"/>
            </w:rPr>
            <w:t>Colegio de Bachilleres del Estado de México</w:t>
          </w:r>
        </w:p>
        <w:p w14:paraId="6AB78542" w14:textId="0F87518F" w:rsidR="0011061A" w:rsidRPr="00285C7B" w:rsidRDefault="0011061A" w:rsidP="005B53F3">
          <w:pPr>
            <w:pStyle w:val="Encabezado"/>
            <w:ind w:left="-108" w:right="39"/>
            <w:jc w:val="both"/>
            <w:rPr>
              <w:rFonts w:ascii="Palatino Linotype" w:hAnsi="Palatino Linotype"/>
              <w:bCs/>
              <w:lang w:val="es-ES_tradnl"/>
            </w:rPr>
          </w:pPr>
          <w:r w:rsidRPr="00B9745A">
            <w:rPr>
              <w:rFonts w:ascii="Palatino Linotype" w:hAnsi="Palatino Linotype" w:cs="Tahoma"/>
              <w:b/>
            </w:rPr>
            <w:t xml:space="preserve">Comisionado Ponente: </w:t>
          </w:r>
          <w:r w:rsidRPr="005F31DF">
            <w:rPr>
              <w:rFonts w:ascii="Palatino Linotype" w:hAnsi="Palatino Linotype" w:cs="Arial"/>
              <w:szCs w:val="20"/>
            </w:rPr>
            <w:t>Guadalupe Ramírez Peña</w:t>
          </w:r>
        </w:p>
      </w:tc>
    </w:tr>
  </w:tbl>
  <w:p w14:paraId="557491B5" w14:textId="4A51EE6F" w:rsidR="0011061A" w:rsidRPr="001106EA" w:rsidRDefault="0011061A">
    <w:pPr>
      <w:pStyle w:val="Encabezado"/>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2B7DF9" w14:textId="77777777" w:rsidR="0011061A" w:rsidRDefault="00665265">
    <w:pPr>
      <w:pStyle w:val="Encabezado"/>
    </w:pPr>
    <w:r>
      <w:rPr>
        <w:noProof/>
      </w:rPr>
      <w:pict w14:anchorId="46F2118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6442984" o:spid="_x0000_s1025" type="#_x0000_t136" style="position:absolute;margin-left:0;margin-top:0;width:541.8pt;height:81.25pt;rotation:315;z-index:-251658240;mso-position-horizontal:center;mso-position-horizontal-relative:margin;mso-position-vertical:center;mso-position-vertical-relative:margin" o:allowincell="f" fillcolor="silver" stroked="f">
          <v:fill opacity=".5"/>
          <v:textpath style="font-family:&quot;Palatino Linotype&quot;;font-size:1pt" string="VOTO PARTICULAR"/>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F09EF"/>
    <w:multiLevelType w:val="hybridMultilevel"/>
    <w:tmpl w:val="962A6F3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 w15:restartNumberingAfterBreak="0">
    <w:nsid w:val="16143C31"/>
    <w:multiLevelType w:val="hybridMultilevel"/>
    <w:tmpl w:val="DCE4A7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5BB8781B"/>
    <w:multiLevelType w:val="hybridMultilevel"/>
    <w:tmpl w:val="EA30DF5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 w15:restartNumberingAfterBreak="0">
    <w:nsid w:val="7CC13F3E"/>
    <w:multiLevelType w:val="hybridMultilevel"/>
    <w:tmpl w:val="C3F2A49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16cid:durableId="1974141509">
    <w:abstractNumId w:val="2"/>
  </w:num>
  <w:num w:numId="2" w16cid:durableId="2035226680">
    <w:abstractNumId w:val="0"/>
  </w:num>
  <w:num w:numId="3" w16cid:durableId="1355764112">
    <w:abstractNumId w:val="3"/>
  </w:num>
  <w:num w:numId="4" w16cid:durableId="12453840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0C30"/>
    <w:rsid w:val="000062F8"/>
    <w:rsid w:val="00047ED8"/>
    <w:rsid w:val="000515A2"/>
    <w:rsid w:val="0005610F"/>
    <w:rsid w:val="00082310"/>
    <w:rsid w:val="000A3637"/>
    <w:rsid w:val="000B43A0"/>
    <w:rsid w:val="000B66C3"/>
    <w:rsid w:val="000C1BAE"/>
    <w:rsid w:val="000D1077"/>
    <w:rsid w:val="000E1D76"/>
    <w:rsid w:val="000E2690"/>
    <w:rsid w:val="000F4555"/>
    <w:rsid w:val="00100065"/>
    <w:rsid w:val="0011061A"/>
    <w:rsid w:val="00127BC5"/>
    <w:rsid w:val="00146ADA"/>
    <w:rsid w:val="001470C6"/>
    <w:rsid w:val="00154E4F"/>
    <w:rsid w:val="00156481"/>
    <w:rsid w:val="001713E8"/>
    <w:rsid w:val="001971A0"/>
    <w:rsid w:val="001B58C0"/>
    <w:rsid w:val="001D1952"/>
    <w:rsid w:val="001F5439"/>
    <w:rsid w:val="001F75E5"/>
    <w:rsid w:val="00204117"/>
    <w:rsid w:val="00206F93"/>
    <w:rsid w:val="00224A73"/>
    <w:rsid w:val="00225298"/>
    <w:rsid w:val="00233F83"/>
    <w:rsid w:val="002476E8"/>
    <w:rsid w:val="0027290A"/>
    <w:rsid w:val="00285C7B"/>
    <w:rsid w:val="0029496B"/>
    <w:rsid w:val="002A657B"/>
    <w:rsid w:val="002B53DB"/>
    <w:rsid w:val="002D6AB3"/>
    <w:rsid w:val="002F4CEB"/>
    <w:rsid w:val="00300630"/>
    <w:rsid w:val="00304A0F"/>
    <w:rsid w:val="00314859"/>
    <w:rsid w:val="00323750"/>
    <w:rsid w:val="00336C38"/>
    <w:rsid w:val="003601F3"/>
    <w:rsid w:val="0037002E"/>
    <w:rsid w:val="00371F4E"/>
    <w:rsid w:val="00384E5E"/>
    <w:rsid w:val="003C5915"/>
    <w:rsid w:val="003D0587"/>
    <w:rsid w:val="003D4273"/>
    <w:rsid w:val="003E56C5"/>
    <w:rsid w:val="00427F85"/>
    <w:rsid w:val="004412C6"/>
    <w:rsid w:val="00441FA4"/>
    <w:rsid w:val="004474C6"/>
    <w:rsid w:val="00450A4B"/>
    <w:rsid w:val="004674E0"/>
    <w:rsid w:val="004738C3"/>
    <w:rsid w:val="00486BD3"/>
    <w:rsid w:val="00494387"/>
    <w:rsid w:val="004A2276"/>
    <w:rsid w:val="004A7A76"/>
    <w:rsid w:val="004B549C"/>
    <w:rsid w:val="004C0D87"/>
    <w:rsid w:val="004C59D5"/>
    <w:rsid w:val="004C7D91"/>
    <w:rsid w:val="004D26F6"/>
    <w:rsid w:val="004E2AF5"/>
    <w:rsid w:val="004E5EAD"/>
    <w:rsid w:val="004F0923"/>
    <w:rsid w:val="00506560"/>
    <w:rsid w:val="00506AB5"/>
    <w:rsid w:val="00507A05"/>
    <w:rsid w:val="00522F7B"/>
    <w:rsid w:val="00533E57"/>
    <w:rsid w:val="00541BAC"/>
    <w:rsid w:val="00543C9A"/>
    <w:rsid w:val="00570A8A"/>
    <w:rsid w:val="00580294"/>
    <w:rsid w:val="0059459B"/>
    <w:rsid w:val="005974CA"/>
    <w:rsid w:val="005B53F3"/>
    <w:rsid w:val="005D61D8"/>
    <w:rsid w:val="005F31DF"/>
    <w:rsid w:val="005F5396"/>
    <w:rsid w:val="00601591"/>
    <w:rsid w:val="006037F2"/>
    <w:rsid w:val="006053B7"/>
    <w:rsid w:val="00611B4C"/>
    <w:rsid w:val="006408E2"/>
    <w:rsid w:val="006456BC"/>
    <w:rsid w:val="00665265"/>
    <w:rsid w:val="0067091E"/>
    <w:rsid w:val="0068245C"/>
    <w:rsid w:val="00684986"/>
    <w:rsid w:val="00686864"/>
    <w:rsid w:val="006879EC"/>
    <w:rsid w:val="00687F26"/>
    <w:rsid w:val="00690441"/>
    <w:rsid w:val="006A393D"/>
    <w:rsid w:val="006B7254"/>
    <w:rsid w:val="006C2B09"/>
    <w:rsid w:val="006E7D01"/>
    <w:rsid w:val="006F5FF9"/>
    <w:rsid w:val="007004F7"/>
    <w:rsid w:val="00716333"/>
    <w:rsid w:val="00756729"/>
    <w:rsid w:val="00766555"/>
    <w:rsid w:val="00795123"/>
    <w:rsid w:val="007A0E46"/>
    <w:rsid w:val="007C68B1"/>
    <w:rsid w:val="007F32AC"/>
    <w:rsid w:val="00811CE1"/>
    <w:rsid w:val="00823E1B"/>
    <w:rsid w:val="00824F87"/>
    <w:rsid w:val="0083177F"/>
    <w:rsid w:val="00833C20"/>
    <w:rsid w:val="008349AC"/>
    <w:rsid w:val="0084064B"/>
    <w:rsid w:val="00842979"/>
    <w:rsid w:val="00861469"/>
    <w:rsid w:val="008635BA"/>
    <w:rsid w:val="00864A25"/>
    <w:rsid w:val="00870AE2"/>
    <w:rsid w:val="008B5746"/>
    <w:rsid w:val="008E1028"/>
    <w:rsid w:val="008E2746"/>
    <w:rsid w:val="008E33B2"/>
    <w:rsid w:val="008F78B8"/>
    <w:rsid w:val="00910D22"/>
    <w:rsid w:val="00913F1E"/>
    <w:rsid w:val="00922026"/>
    <w:rsid w:val="0092661F"/>
    <w:rsid w:val="00926BCA"/>
    <w:rsid w:val="009279B7"/>
    <w:rsid w:val="00935007"/>
    <w:rsid w:val="00940F06"/>
    <w:rsid w:val="00960C5A"/>
    <w:rsid w:val="00961702"/>
    <w:rsid w:val="009C6B45"/>
    <w:rsid w:val="009C6E28"/>
    <w:rsid w:val="009D0379"/>
    <w:rsid w:val="009E461F"/>
    <w:rsid w:val="009F23B2"/>
    <w:rsid w:val="00A17F80"/>
    <w:rsid w:val="00A21473"/>
    <w:rsid w:val="00A23B79"/>
    <w:rsid w:val="00A344E5"/>
    <w:rsid w:val="00A54CCC"/>
    <w:rsid w:val="00A66F4D"/>
    <w:rsid w:val="00A72226"/>
    <w:rsid w:val="00A80C30"/>
    <w:rsid w:val="00A951BC"/>
    <w:rsid w:val="00A95E2C"/>
    <w:rsid w:val="00A9782A"/>
    <w:rsid w:val="00AD2F2A"/>
    <w:rsid w:val="00AF77D3"/>
    <w:rsid w:val="00B20615"/>
    <w:rsid w:val="00B43526"/>
    <w:rsid w:val="00B45698"/>
    <w:rsid w:val="00B463E2"/>
    <w:rsid w:val="00B47EBA"/>
    <w:rsid w:val="00B55282"/>
    <w:rsid w:val="00B631C8"/>
    <w:rsid w:val="00B80272"/>
    <w:rsid w:val="00BA54EE"/>
    <w:rsid w:val="00BB391F"/>
    <w:rsid w:val="00BC114D"/>
    <w:rsid w:val="00BF5F8E"/>
    <w:rsid w:val="00C00E77"/>
    <w:rsid w:val="00C223E5"/>
    <w:rsid w:val="00C25292"/>
    <w:rsid w:val="00C2677C"/>
    <w:rsid w:val="00C34CAE"/>
    <w:rsid w:val="00C4169A"/>
    <w:rsid w:val="00C60720"/>
    <w:rsid w:val="00C60C1A"/>
    <w:rsid w:val="00C75F6B"/>
    <w:rsid w:val="00CA14AB"/>
    <w:rsid w:val="00CB10F4"/>
    <w:rsid w:val="00CB337A"/>
    <w:rsid w:val="00CB36F3"/>
    <w:rsid w:val="00CC3620"/>
    <w:rsid w:val="00CD5462"/>
    <w:rsid w:val="00CD7937"/>
    <w:rsid w:val="00CE1582"/>
    <w:rsid w:val="00CE3769"/>
    <w:rsid w:val="00D02F47"/>
    <w:rsid w:val="00D03AAF"/>
    <w:rsid w:val="00D10504"/>
    <w:rsid w:val="00D25841"/>
    <w:rsid w:val="00D467EE"/>
    <w:rsid w:val="00D51704"/>
    <w:rsid w:val="00D51BFD"/>
    <w:rsid w:val="00D6254E"/>
    <w:rsid w:val="00D75045"/>
    <w:rsid w:val="00D82136"/>
    <w:rsid w:val="00DB121C"/>
    <w:rsid w:val="00DB4E6B"/>
    <w:rsid w:val="00DC2C51"/>
    <w:rsid w:val="00DD5D61"/>
    <w:rsid w:val="00DD6B1B"/>
    <w:rsid w:val="00DE5B86"/>
    <w:rsid w:val="00E07CDD"/>
    <w:rsid w:val="00E35186"/>
    <w:rsid w:val="00E417A4"/>
    <w:rsid w:val="00E43FEA"/>
    <w:rsid w:val="00E67710"/>
    <w:rsid w:val="00E678EF"/>
    <w:rsid w:val="00E7322A"/>
    <w:rsid w:val="00E7589C"/>
    <w:rsid w:val="00E805E7"/>
    <w:rsid w:val="00E85534"/>
    <w:rsid w:val="00E878DE"/>
    <w:rsid w:val="00E9781B"/>
    <w:rsid w:val="00EA5096"/>
    <w:rsid w:val="00EB135A"/>
    <w:rsid w:val="00EE192F"/>
    <w:rsid w:val="00EE4E7D"/>
    <w:rsid w:val="00EE7B51"/>
    <w:rsid w:val="00EF470A"/>
    <w:rsid w:val="00F04F7C"/>
    <w:rsid w:val="00F10D9A"/>
    <w:rsid w:val="00F116BE"/>
    <w:rsid w:val="00F1426D"/>
    <w:rsid w:val="00F142F4"/>
    <w:rsid w:val="00F1596D"/>
    <w:rsid w:val="00F17B52"/>
    <w:rsid w:val="00F319BA"/>
    <w:rsid w:val="00F34C61"/>
    <w:rsid w:val="00F35BFB"/>
    <w:rsid w:val="00F84B95"/>
    <w:rsid w:val="00FB0274"/>
    <w:rsid w:val="00FC3DE6"/>
    <w:rsid w:val="00FD2937"/>
    <w:rsid w:val="00FF59E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C595E1"/>
  <w15:docId w15:val="{C335D522-6A7F-478C-973C-BD863B81D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0C30"/>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80C3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80C30"/>
    <w:rPr>
      <w:lang w:val="es-ES"/>
    </w:rPr>
  </w:style>
  <w:style w:type="paragraph" w:styleId="Piedepgina">
    <w:name w:val="footer"/>
    <w:basedOn w:val="Normal"/>
    <w:link w:val="PiedepginaCar"/>
    <w:uiPriority w:val="99"/>
    <w:unhideWhenUsed/>
    <w:rsid w:val="00A80C3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80C30"/>
    <w:rPr>
      <w:lang w:val="es-ES"/>
    </w:rPr>
  </w:style>
  <w:style w:type="table" w:styleId="Tablaconcuadrcula">
    <w:name w:val="Table Grid"/>
    <w:basedOn w:val="Tablanormal"/>
    <w:uiPriority w:val="59"/>
    <w:rsid w:val="00A80C30"/>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uiPriority w:val="22"/>
    <w:qFormat/>
    <w:rsid w:val="00A80C30"/>
    <w:rPr>
      <w:b/>
      <w:bCs/>
    </w:rPr>
  </w:style>
  <w:style w:type="paragraph" w:styleId="Textodeglobo">
    <w:name w:val="Balloon Text"/>
    <w:basedOn w:val="Normal"/>
    <w:link w:val="TextodegloboCar"/>
    <w:uiPriority w:val="99"/>
    <w:semiHidden/>
    <w:unhideWhenUsed/>
    <w:rsid w:val="0075672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56729"/>
    <w:rPr>
      <w:rFonts w:ascii="Tahoma" w:hAnsi="Tahoma" w:cs="Tahoma"/>
      <w:sz w:val="16"/>
      <w:szCs w:val="16"/>
      <w:lang w:val="es-ES"/>
    </w:rPr>
  </w:style>
  <w:style w:type="character" w:styleId="Hipervnculo">
    <w:name w:val="Hyperlink"/>
    <w:basedOn w:val="Fuentedeprrafopredeter"/>
    <w:uiPriority w:val="99"/>
    <w:unhideWhenUsed/>
    <w:rsid w:val="00756729"/>
    <w:rPr>
      <w:color w:val="0563C1" w:themeColor="hyperlink"/>
      <w:u w:val="single"/>
    </w:rPr>
  </w:style>
  <w:style w:type="paragraph" w:styleId="NormalWeb">
    <w:name w:val="Normal (Web)"/>
    <w:basedOn w:val="Normal"/>
    <w:uiPriority w:val="99"/>
    <w:unhideWhenUsed/>
    <w:rsid w:val="00F84B95"/>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character" w:customStyle="1" w:styleId="normaltextrun">
    <w:name w:val="normaltextrun"/>
    <w:basedOn w:val="Fuentedeprrafopredeter"/>
    <w:rsid w:val="00FC3DE6"/>
  </w:style>
  <w:style w:type="character" w:customStyle="1" w:styleId="eop">
    <w:name w:val="eop"/>
    <w:basedOn w:val="Fuentedeprrafopredeter"/>
    <w:rsid w:val="004C7D91"/>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
    <w:basedOn w:val="Normal"/>
    <w:link w:val="PrrafodelistaCar"/>
    <w:uiPriority w:val="34"/>
    <w:qFormat/>
    <w:rsid w:val="00D51704"/>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D51704"/>
    <w:rPr>
      <w:lang w:val="es-ES"/>
    </w:rPr>
  </w:style>
  <w:style w:type="paragraph" w:customStyle="1" w:styleId="Fundamentos">
    <w:name w:val="Fundamentos"/>
    <w:basedOn w:val="Normal"/>
    <w:qFormat/>
    <w:rsid w:val="00CE3769"/>
    <w:pPr>
      <w:pBdr>
        <w:top w:val="nil"/>
        <w:left w:val="nil"/>
        <w:bottom w:val="nil"/>
        <w:right w:val="nil"/>
        <w:between w:val="nil"/>
      </w:pBdr>
      <w:spacing w:after="0" w:line="240" w:lineRule="auto"/>
      <w:ind w:left="567" w:right="567"/>
      <w:contextualSpacing/>
      <w:jc w:val="both"/>
    </w:pPr>
    <w:rPr>
      <w:rFonts w:ascii="Palatino Linotype" w:eastAsia="Palatino Linotype" w:hAnsi="Palatino Linotype" w:cs="Palatino Linotype"/>
      <w:i/>
      <w:color w:val="000000"/>
      <w:szCs w:val="24"/>
      <w:lang w:val="es-ES_tradnl" w:eastAsia="es-MX"/>
    </w:rPr>
  </w:style>
  <w:style w:type="character" w:customStyle="1" w:styleId="ng-star-inserted">
    <w:name w:val="ng-star-inserted"/>
    <w:basedOn w:val="Fuentedeprrafopredeter"/>
    <w:rsid w:val="00384E5E"/>
  </w:style>
  <w:style w:type="paragraph" w:styleId="Revisin">
    <w:name w:val="Revision"/>
    <w:hidden/>
    <w:uiPriority w:val="99"/>
    <w:semiHidden/>
    <w:rsid w:val="00B631C8"/>
    <w:pPr>
      <w:spacing w:after="0" w:line="240" w:lineRule="auto"/>
    </w:pPr>
    <w:rPr>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4086789">
      <w:bodyDiv w:val="1"/>
      <w:marLeft w:val="0"/>
      <w:marRight w:val="0"/>
      <w:marTop w:val="0"/>
      <w:marBottom w:val="0"/>
      <w:divBdr>
        <w:top w:val="none" w:sz="0" w:space="0" w:color="auto"/>
        <w:left w:val="none" w:sz="0" w:space="0" w:color="auto"/>
        <w:bottom w:val="none" w:sz="0" w:space="0" w:color="auto"/>
        <w:right w:val="none" w:sz="0" w:space="0" w:color="auto"/>
      </w:divBdr>
    </w:div>
    <w:div w:id="500924185">
      <w:bodyDiv w:val="1"/>
      <w:marLeft w:val="0"/>
      <w:marRight w:val="0"/>
      <w:marTop w:val="0"/>
      <w:marBottom w:val="0"/>
      <w:divBdr>
        <w:top w:val="none" w:sz="0" w:space="0" w:color="auto"/>
        <w:left w:val="none" w:sz="0" w:space="0" w:color="auto"/>
        <w:bottom w:val="none" w:sz="0" w:space="0" w:color="auto"/>
        <w:right w:val="none" w:sz="0" w:space="0" w:color="auto"/>
      </w:divBdr>
    </w:div>
    <w:div w:id="637149427">
      <w:bodyDiv w:val="1"/>
      <w:marLeft w:val="0"/>
      <w:marRight w:val="0"/>
      <w:marTop w:val="0"/>
      <w:marBottom w:val="0"/>
      <w:divBdr>
        <w:top w:val="none" w:sz="0" w:space="0" w:color="auto"/>
        <w:left w:val="none" w:sz="0" w:space="0" w:color="auto"/>
        <w:bottom w:val="none" w:sz="0" w:space="0" w:color="auto"/>
        <w:right w:val="none" w:sz="0" w:space="0" w:color="auto"/>
      </w:divBdr>
    </w:div>
    <w:div w:id="998536666">
      <w:bodyDiv w:val="1"/>
      <w:marLeft w:val="0"/>
      <w:marRight w:val="0"/>
      <w:marTop w:val="0"/>
      <w:marBottom w:val="0"/>
      <w:divBdr>
        <w:top w:val="none" w:sz="0" w:space="0" w:color="auto"/>
        <w:left w:val="none" w:sz="0" w:space="0" w:color="auto"/>
        <w:bottom w:val="none" w:sz="0" w:space="0" w:color="auto"/>
        <w:right w:val="none" w:sz="0" w:space="0" w:color="auto"/>
      </w:divBdr>
    </w:div>
    <w:div w:id="1345861364">
      <w:bodyDiv w:val="1"/>
      <w:marLeft w:val="0"/>
      <w:marRight w:val="0"/>
      <w:marTop w:val="0"/>
      <w:marBottom w:val="0"/>
      <w:divBdr>
        <w:top w:val="none" w:sz="0" w:space="0" w:color="auto"/>
        <w:left w:val="none" w:sz="0" w:space="0" w:color="auto"/>
        <w:bottom w:val="none" w:sz="0" w:space="0" w:color="auto"/>
        <w:right w:val="none" w:sz="0" w:space="0" w:color="auto"/>
      </w:divBdr>
    </w:div>
    <w:div w:id="1395158711">
      <w:bodyDiv w:val="1"/>
      <w:marLeft w:val="0"/>
      <w:marRight w:val="0"/>
      <w:marTop w:val="0"/>
      <w:marBottom w:val="0"/>
      <w:divBdr>
        <w:top w:val="none" w:sz="0" w:space="0" w:color="auto"/>
        <w:left w:val="none" w:sz="0" w:space="0" w:color="auto"/>
        <w:bottom w:val="none" w:sz="0" w:space="0" w:color="auto"/>
        <w:right w:val="none" w:sz="0" w:space="0" w:color="auto"/>
      </w:divBdr>
    </w:div>
    <w:div w:id="1497301024">
      <w:bodyDiv w:val="1"/>
      <w:marLeft w:val="0"/>
      <w:marRight w:val="0"/>
      <w:marTop w:val="0"/>
      <w:marBottom w:val="0"/>
      <w:divBdr>
        <w:top w:val="none" w:sz="0" w:space="0" w:color="auto"/>
        <w:left w:val="none" w:sz="0" w:space="0" w:color="auto"/>
        <w:bottom w:val="none" w:sz="0" w:space="0" w:color="auto"/>
        <w:right w:val="none" w:sz="0" w:space="0" w:color="auto"/>
      </w:divBdr>
    </w:div>
    <w:div w:id="1649507665">
      <w:bodyDiv w:val="1"/>
      <w:marLeft w:val="0"/>
      <w:marRight w:val="0"/>
      <w:marTop w:val="0"/>
      <w:marBottom w:val="0"/>
      <w:divBdr>
        <w:top w:val="none" w:sz="0" w:space="0" w:color="auto"/>
        <w:left w:val="none" w:sz="0" w:space="0" w:color="auto"/>
        <w:bottom w:val="none" w:sz="0" w:space="0" w:color="auto"/>
        <w:right w:val="none" w:sz="0" w:space="0" w:color="auto"/>
      </w:divBdr>
    </w:div>
    <w:div w:id="1855340467">
      <w:bodyDiv w:val="1"/>
      <w:marLeft w:val="0"/>
      <w:marRight w:val="0"/>
      <w:marTop w:val="0"/>
      <w:marBottom w:val="0"/>
      <w:divBdr>
        <w:top w:val="none" w:sz="0" w:space="0" w:color="auto"/>
        <w:left w:val="none" w:sz="0" w:space="0" w:color="auto"/>
        <w:bottom w:val="none" w:sz="0" w:space="0" w:color="auto"/>
        <w:right w:val="none" w:sz="0" w:space="0" w:color="auto"/>
      </w:divBdr>
    </w:div>
    <w:div w:id="2082869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1313</Words>
  <Characters>7227</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8523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RF</dc:creator>
  <cp:lastModifiedBy>Sandra Ivette Razo De La Paz</cp:lastModifiedBy>
  <cp:revision>6</cp:revision>
  <cp:lastPrinted>2023-08-28T16:42:00Z</cp:lastPrinted>
  <dcterms:created xsi:type="dcterms:W3CDTF">2025-03-08T00:42:00Z</dcterms:created>
  <dcterms:modified xsi:type="dcterms:W3CDTF">2025-03-10T01:57:00Z</dcterms:modified>
</cp:coreProperties>
</file>