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AD" w:rsidRDefault="006632F8">
      <w:pPr>
        <w:spacing w:after="0" w:line="360" w:lineRule="auto"/>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E35C86">
        <w:rPr>
          <w:rFonts w:ascii="Palatino Linotype" w:eastAsia="Palatino Linotype" w:hAnsi="Palatino Linotype" w:cs="Palatino Linotype"/>
          <w:b/>
        </w:rPr>
        <w:t>VIGÉSIMA</w:t>
      </w:r>
      <w:r>
        <w:rPr>
          <w:rFonts w:ascii="Palatino Linotype" w:eastAsia="Palatino Linotype" w:hAnsi="Palatino Linotype" w:cs="Palatino Linotype"/>
          <w:b/>
        </w:rPr>
        <w:t xml:space="preserve"> SESIÓN ORDINARIA DEL </w:t>
      </w:r>
      <w:r w:rsidR="00E35C86">
        <w:rPr>
          <w:rFonts w:ascii="Palatino Linotype" w:eastAsia="Palatino Linotype" w:hAnsi="Palatino Linotype" w:cs="Palatino Linotype"/>
          <w:b/>
        </w:rPr>
        <w:t>CUATRO DE JUNIO</w:t>
      </w:r>
      <w:r>
        <w:rPr>
          <w:rFonts w:ascii="Palatino Linotype" w:eastAsia="Palatino Linotype" w:hAnsi="Palatino Linotype" w:cs="Palatino Linotype"/>
          <w:b/>
        </w:rPr>
        <w:t xml:space="preserve"> DE DOS MIL VEINTICINCO EN EL RECURSO DE REVISIÓN </w:t>
      </w:r>
      <w:r>
        <w:rPr>
          <w:rFonts w:ascii="Palatino Linotype" w:eastAsia="Palatino Linotype" w:hAnsi="Palatino Linotype" w:cs="Palatino Linotype"/>
          <w:b/>
          <w:color w:val="000000"/>
        </w:rPr>
        <w:t>0</w:t>
      </w:r>
      <w:r w:rsidR="00E35C86">
        <w:rPr>
          <w:rFonts w:ascii="Palatino Linotype" w:eastAsia="Palatino Linotype" w:hAnsi="Palatino Linotype" w:cs="Palatino Linotype"/>
          <w:b/>
          <w:color w:val="000000"/>
        </w:rPr>
        <w:t>3015</w:t>
      </w:r>
      <w:r>
        <w:rPr>
          <w:rFonts w:ascii="Palatino Linotype" w:eastAsia="Palatino Linotype" w:hAnsi="Palatino Linotype" w:cs="Palatino Linotype"/>
          <w:b/>
          <w:color w:val="000000"/>
        </w:rPr>
        <w:t>/INFOEM/IP/RR/2025.</w:t>
      </w:r>
    </w:p>
    <w:p w:rsidR="00E70FAD" w:rsidRDefault="00E70FAD">
      <w:pPr>
        <w:spacing w:after="0" w:line="360" w:lineRule="auto"/>
        <w:jc w:val="both"/>
        <w:rPr>
          <w:rFonts w:ascii="Palatino Linotype" w:eastAsia="Palatino Linotype" w:hAnsi="Palatino Linotype" w:cs="Palatino Linotype"/>
          <w:b/>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E35C86">
        <w:rPr>
          <w:rFonts w:ascii="Palatino Linotype" w:eastAsia="Palatino Linotype" w:hAnsi="Palatino Linotype" w:cs="Palatino Linotype"/>
          <w:b/>
          <w:color w:val="000000"/>
        </w:rPr>
        <w:t>3015</w:t>
      </w:r>
      <w:r>
        <w:rPr>
          <w:rFonts w:ascii="Palatino Linotype" w:eastAsia="Palatino Linotype" w:hAnsi="Palatino Linotype" w:cs="Palatino Linotype"/>
          <w:b/>
          <w:color w:val="000000"/>
        </w:rPr>
        <w:t>/INFOEM/IP/RR/2025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70FAD" w:rsidRDefault="00E70FAD">
      <w:pPr>
        <w:spacing w:after="0" w:line="360" w:lineRule="auto"/>
        <w:ind w:right="-93"/>
        <w:jc w:val="both"/>
        <w:rPr>
          <w:rFonts w:ascii="Palatino Linotype" w:eastAsia="Palatino Linotype" w:hAnsi="Palatino Linotype" w:cs="Palatino Linotype"/>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E70FAD" w:rsidRDefault="006632F8">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E70FAD" w:rsidRDefault="00E70FAD">
      <w:pPr>
        <w:spacing w:after="0" w:line="276" w:lineRule="auto"/>
        <w:ind w:right="706"/>
        <w:jc w:val="both"/>
        <w:rPr>
          <w:rFonts w:ascii="Palatino Linotype" w:eastAsia="Palatino Linotype" w:hAnsi="Palatino Linotype" w:cs="Palatino Linotype"/>
          <w:i/>
        </w:rPr>
      </w:pPr>
    </w:p>
    <w:p w:rsidR="00A32C84" w:rsidRPr="00A32C84" w:rsidRDefault="00A32C84" w:rsidP="00A32C84">
      <w:pPr>
        <w:spacing w:line="276" w:lineRule="auto"/>
        <w:ind w:left="709" w:right="706" w:hanging="10"/>
        <w:jc w:val="both"/>
        <w:rPr>
          <w:rFonts w:ascii="Palatino Linotype" w:eastAsia="Palatino Linotype" w:hAnsi="Palatino Linotype" w:cs="Palatino Linotype"/>
          <w:bCs/>
          <w:i/>
        </w:rPr>
      </w:pPr>
      <w:bookmarkStart w:id="2" w:name="_heading=h.45hwe8mv0ra7" w:colFirst="0" w:colLast="0"/>
      <w:bookmarkEnd w:id="2"/>
      <w:r>
        <w:rPr>
          <w:rFonts w:ascii="Palatino Linotype" w:eastAsia="Palatino Linotype" w:hAnsi="Palatino Linotype" w:cs="Palatino Linotype"/>
          <w:bCs/>
          <w:i/>
        </w:rPr>
        <w:t>“</w:t>
      </w:r>
      <w:r w:rsidRPr="00A32C84">
        <w:rPr>
          <w:rFonts w:ascii="Palatino Linotype" w:eastAsia="Palatino Linotype" w:hAnsi="Palatino Linotype" w:cs="Palatino Linotype"/>
          <w:bCs/>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A32C84" w:rsidRPr="00A32C84" w:rsidRDefault="00A32C84" w:rsidP="00A32C84">
      <w:pPr>
        <w:spacing w:line="276" w:lineRule="auto"/>
        <w:ind w:left="709" w:right="706" w:hanging="10"/>
        <w:jc w:val="both"/>
        <w:rPr>
          <w:rFonts w:ascii="Palatino Linotype" w:eastAsia="Palatino Linotype" w:hAnsi="Palatino Linotype" w:cs="Palatino Linotype"/>
          <w:bCs/>
          <w:i/>
        </w:rPr>
      </w:pPr>
      <w:r w:rsidRPr="00A32C84">
        <w:rPr>
          <w:rFonts w:ascii="Palatino Linotype" w:eastAsia="Palatino Linotype" w:hAnsi="Palatino Linotype" w:cs="Palatino Linotype"/>
          <w:bCs/>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A32C84" w:rsidRPr="00A32C84" w:rsidRDefault="00A32C84" w:rsidP="00A32C84">
      <w:pPr>
        <w:spacing w:line="276" w:lineRule="auto"/>
        <w:ind w:left="709" w:right="706" w:hanging="10"/>
        <w:jc w:val="both"/>
        <w:rPr>
          <w:rFonts w:ascii="Palatino Linotype" w:eastAsia="Palatino Linotype" w:hAnsi="Palatino Linotype" w:cs="Palatino Linotype"/>
          <w:b/>
          <w:bCs/>
          <w:i/>
        </w:rPr>
      </w:pPr>
      <w:r w:rsidRPr="00A32C84">
        <w:rPr>
          <w:rFonts w:ascii="Palatino Linotype" w:eastAsia="Palatino Linotype" w:hAnsi="Palatino Linotype" w:cs="Palatino Linotype"/>
          <w:bCs/>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A32C84">
        <w:rPr>
          <w:rFonts w:ascii="Palatino Linotype" w:eastAsia="Palatino Linotype" w:hAnsi="Palatino Linotype" w:cs="Palatino Linotype"/>
          <w:b/>
          <w:bCs/>
          <w:i/>
        </w:rPr>
        <w:t>(con excepción del personal operativo en materia de seguridad, respecto del cual el Pleno de este Instituto ya se ha pronunciado en el sentido de que la información que los haga identificados o identificables debe clasificarse como reservada).</w:t>
      </w:r>
    </w:p>
    <w:p w:rsidR="00A32C84" w:rsidRPr="00A32C84" w:rsidRDefault="00A32C84" w:rsidP="00A32C84">
      <w:pPr>
        <w:spacing w:line="276" w:lineRule="auto"/>
        <w:ind w:left="709" w:right="706" w:hanging="10"/>
        <w:jc w:val="both"/>
        <w:rPr>
          <w:rFonts w:ascii="Palatino Linotype" w:eastAsia="Palatino Linotype" w:hAnsi="Palatino Linotype" w:cs="Palatino Linotype"/>
          <w:bCs/>
          <w:i/>
        </w:rPr>
      </w:pPr>
      <w:r w:rsidRPr="00A32C84">
        <w:rPr>
          <w:rFonts w:ascii="Palatino Linotype" w:eastAsia="Palatino Linotype" w:hAnsi="Palatino Linotype" w:cs="Palatino Linotype"/>
          <w:bCs/>
          <w:i/>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A32C84" w:rsidRPr="00A32C84" w:rsidRDefault="00A32C84" w:rsidP="00A32C84">
      <w:pPr>
        <w:spacing w:line="276" w:lineRule="auto"/>
        <w:ind w:left="709" w:right="706" w:hanging="10"/>
        <w:jc w:val="both"/>
        <w:rPr>
          <w:rFonts w:ascii="Palatino Linotype" w:eastAsia="Palatino Linotype" w:hAnsi="Palatino Linotype" w:cs="Palatino Linotype"/>
          <w:bCs/>
          <w:i/>
        </w:rPr>
      </w:pPr>
      <w:r w:rsidRPr="00A32C84">
        <w:rPr>
          <w:rFonts w:ascii="Palatino Linotype" w:eastAsia="Palatino Linotype" w:hAnsi="Palatino Linotype" w:cs="Palatino Linotype"/>
          <w:bCs/>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A32C84" w:rsidRPr="00A32C84" w:rsidRDefault="00A32C84" w:rsidP="00A32C84">
      <w:pPr>
        <w:spacing w:line="276" w:lineRule="auto"/>
        <w:ind w:left="709" w:right="706" w:hanging="10"/>
        <w:jc w:val="both"/>
        <w:rPr>
          <w:rFonts w:ascii="Palatino Linotype" w:eastAsia="Palatino Linotype" w:hAnsi="Palatino Linotype" w:cs="Palatino Linotype"/>
          <w:bCs/>
          <w:i/>
        </w:rPr>
      </w:pPr>
      <w:r w:rsidRPr="00A32C84">
        <w:rPr>
          <w:rFonts w:ascii="Palatino Linotype" w:eastAsia="Palatino Linotype" w:hAnsi="Palatino Linotype" w:cs="Palatino Linotype"/>
          <w:bCs/>
          <w:i/>
        </w:rPr>
        <w:t xml:space="preserve">Por lo anterior, cuando las fotografías de los servidores públicos obran en documentos que dan cuenta del cumplimiento de funciones, </w:t>
      </w:r>
      <w:r w:rsidRPr="00A32C84">
        <w:rPr>
          <w:rFonts w:ascii="Palatino Linotype" w:eastAsia="Palatino Linotype" w:hAnsi="Palatino Linotype" w:cs="Palatino Linotype"/>
          <w:b/>
          <w:bCs/>
          <w:i/>
        </w:rPr>
        <w:t>requisitos legales</w:t>
      </w:r>
      <w:r w:rsidRPr="00A32C84">
        <w:rPr>
          <w:rFonts w:ascii="Palatino Linotype" w:eastAsia="Palatino Linotype" w:hAnsi="Palatino Linotype" w:cs="Palatino Linotype"/>
          <w:bCs/>
          <w:i/>
        </w:rPr>
        <w:t xml:space="preserve"> o los acredita como servidores públicos, </w:t>
      </w:r>
      <w:r w:rsidRPr="00A32C84">
        <w:rPr>
          <w:rFonts w:ascii="Palatino Linotype" w:eastAsia="Palatino Linotype" w:hAnsi="Palatino Linotype" w:cs="Palatino Linotype"/>
          <w:b/>
          <w:bCs/>
          <w:i/>
        </w:rPr>
        <w:t>deben ser consideradas un dato personal, que no puede ser clasificado como confidencial,</w:t>
      </w:r>
      <w:r w:rsidRPr="00A32C84">
        <w:rPr>
          <w:rFonts w:ascii="Palatino Linotype" w:eastAsia="Palatino Linotype" w:hAnsi="Palatino Linotype" w:cs="Palatino Linotype"/>
          <w:bCs/>
          <w:i/>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E70FAD" w:rsidRPr="00A32C84" w:rsidRDefault="00A32C84" w:rsidP="00A32C84">
      <w:pPr>
        <w:spacing w:line="276" w:lineRule="auto"/>
        <w:ind w:left="709" w:right="706" w:hanging="10"/>
        <w:jc w:val="both"/>
        <w:rPr>
          <w:rFonts w:ascii="Palatino Linotype" w:eastAsia="Palatino Linotype" w:hAnsi="Palatino Linotype" w:cs="Palatino Linotype"/>
          <w:bCs/>
          <w:i/>
        </w:rPr>
      </w:pPr>
      <w:r w:rsidRPr="00A32C84">
        <w:rPr>
          <w:rFonts w:ascii="Palatino Linotype" w:eastAsia="Palatino Linotype" w:hAnsi="Palatino Linotype" w:cs="Palatino Linotype"/>
          <w:b/>
          <w:bCs/>
          <w:i/>
        </w:rPr>
        <w:t>Conforme a lo anterior, las fotografías de servidores públicos sin importar el nivel o rango guardan la naturaleza de públicas</w:t>
      </w:r>
      <w:r w:rsidRPr="00A32C84">
        <w:rPr>
          <w:rFonts w:ascii="Palatino Linotype" w:eastAsia="Palatino Linotype" w:hAnsi="Palatino Linotype" w:cs="Palatino Linotype"/>
          <w:bCs/>
          <w:i/>
        </w:rPr>
        <w:t xml:space="preserve"> (con excepción del personal operativo en materia de seguridad) </w:t>
      </w:r>
      <w:r w:rsidRPr="00A32C84">
        <w:rPr>
          <w:rFonts w:ascii="Palatino Linotype" w:eastAsia="Palatino Linotype" w:hAnsi="Palatino Linotype" w:cs="Palatino Linotype"/>
          <w:b/>
          <w:bCs/>
          <w:i/>
        </w:rPr>
        <w:t>y no procede su clasificación</w:t>
      </w:r>
      <w:r w:rsidRPr="00A32C84">
        <w:rPr>
          <w:rFonts w:ascii="Palatino Linotype" w:eastAsia="Palatino Linotype" w:hAnsi="Palatino Linotype" w:cs="Palatino Linotype"/>
          <w:bCs/>
          <w:i/>
        </w:rPr>
        <w:t xml:space="preserve">, en términos del artículo 143, fracción I, de la Ley de Transparencia y Acceso a la Información Pública del Estado de México y Municipios, </w:t>
      </w:r>
      <w:r w:rsidRPr="00A32C84">
        <w:rPr>
          <w:rFonts w:ascii="Palatino Linotype" w:eastAsia="Palatino Linotype" w:hAnsi="Palatino Linotype" w:cs="Palatino Linotype"/>
          <w:b/>
          <w:bCs/>
          <w:i/>
        </w:rPr>
        <w:t>por lo que en las versiones públicas que se ordenen, no podrá clasificarse esa información.</w:t>
      </w:r>
      <w:r w:rsidR="006632F8">
        <w:rPr>
          <w:rFonts w:ascii="Palatino Linotype" w:eastAsia="Palatino Linotype" w:hAnsi="Palatino Linotype" w:cs="Palatino Linotype"/>
          <w:i/>
          <w:color w:val="000000"/>
        </w:rPr>
        <w:t>”</w:t>
      </w:r>
    </w:p>
    <w:p w:rsidR="00E70FAD" w:rsidRDefault="00E70FAD">
      <w:pPr>
        <w:spacing w:after="0" w:line="276" w:lineRule="auto"/>
        <w:ind w:left="567" w:right="706"/>
        <w:jc w:val="both"/>
        <w:rPr>
          <w:rFonts w:ascii="Palatino Linotype" w:eastAsia="Palatino Linotype" w:hAnsi="Palatino Linotype" w:cs="Palatino Linotype"/>
          <w:i/>
        </w:rPr>
      </w:pPr>
    </w:p>
    <w:p w:rsidR="00E70FAD" w:rsidRDefault="006632F8">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w:t>
      </w:r>
      <w:r>
        <w:rPr>
          <w:rFonts w:ascii="Palatino Linotype" w:eastAsia="Palatino Linotype" w:hAnsi="Palatino Linotype" w:cs="Palatino Linotype"/>
        </w:rPr>
        <w:lastRenderedPageBreak/>
        <w:t>pública la imagen de éstos puede contribuir a la transparencia y la rendición de cuentas, al permitir a la ciudadanía identifique a los funcionarios que toman decisiones importantes en su nombre.</w:t>
      </w:r>
    </w:p>
    <w:p w:rsidR="00E70FAD" w:rsidRDefault="00E70FAD">
      <w:pPr>
        <w:spacing w:after="0" w:line="360" w:lineRule="auto"/>
        <w:ind w:right="140"/>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E70FAD" w:rsidRDefault="00E70FAD">
      <w:pPr>
        <w:tabs>
          <w:tab w:val="left" w:pos="4962"/>
        </w:tabs>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E70FAD" w:rsidRDefault="00E70FAD">
      <w:pPr>
        <w:spacing w:after="0" w:line="360" w:lineRule="auto"/>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E70FAD">
      <w:pPr>
        <w:spacing w:after="0" w:line="360" w:lineRule="auto"/>
        <w:jc w:val="both"/>
        <w:rPr>
          <w:rFonts w:ascii="Palatino Linotype" w:eastAsia="Palatino Linotype" w:hAnsi="Palatino Linotype" w:cs="Palatino Linotype"/>
        </w:rPr>
      </w:pPr>
    </w:p>
    <w:p w:rsidR="00E70FAD" w:rsidRDefault="00E70FAD">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E70FAD" w:rsidRDefault="00E70FAD">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spacing w:after="0" w:line="360" w:lineRule="auto"/>
        <w:ind w:right="423"/>
        <w:jc w:val="both"/>
        <w:rPr>
          <w:rFonts w:ascii="Palatino Linotype" w:eastAsia="Palatino Linotype" w:hAnsi="Palatino Linotype" w:cs="Palatino Linotype"/>
        </w:rPr>
      </w:pPr>
    </w:p>
    <w:p w:rsidR="00E70FAD" w:rsidRDefault="00E70FAD">
      <w:pPr>
        <w:tabs>
          <w:tab w:val="left" w:pos="709"/>
        </w:tabs>
        <w:spacing w:after="0" w:line="360" w:lineRule="auto"/>
        <w:jc w:val="both"/>
        <w:rPr>
          <w:rFonts w:ascii="Palatino Linotype" w:eastAsia="Palatino Linotype" w:hAnsi="Palatino Linotype" w:cs="Palatino Linotype"/>
          <w:b/>
        </w:rPr>
      </w:pPr>
      <w:bookmarkStart w:id="7" w:name="_heading=h.1l00a1h6wr2b" w:colFirst="0" w:colLast="0"/>
      <w:bookmarkEnd w:id="7"/>
    </w:p>
    <w:sectPr w:rsidR="00E70FAD">
      <w:headerReference w:type="default" r:id="rId7"/>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FF" w:rsidRDefault="007329FF">
      <w:pPr>
        <w:spacing w:after="0" w:line="240" w:lineRule="auto"/>
      </w:pPr>
      <w:r>
        <w:separator/>
      </w:r>
    </w:p>
  </w:endnote>
  <w:endnote w:type="continuationSeparator" w:id="0">
    <w:p w:rsidR="007329FF" w:rsidRDefault="0073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FF" w:rsidRDefault="007329FF">
      <w:pPr>
        <w:spacing w:after="0" w:line="240" w:lineRule="auto"/>
      </w:pPr>
      <w:r>
        <w:separator/>
      </w:r>
    </w:p>
  </w:footnote>
  <w:footnote w:type="continuationSeparator" w:id="0">
    <w:p w:rsidR="007329FF" w:rsidRDefault="0073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AD" w:rsidRDefault="006632F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-1260471</wp:posOffset>
          </wp:positionH>
          <wp:positionV relativeFrom="paragraph">
            <wp:posOffset>-235580</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E35C86">
      <w:rPr>
        <w:rFonts w:ascii="Palatino Linotype" w:eastAsia="Palatino Linotype" w:hAnsi="Palatino Linotype" w:cs="Palatino Linotype"/>
        <w:b/>
        <w:color w:val="000000"/>
        <w:sz w:val="20"/>
        <w:szCs w:val="20"/>
      </w:rPr>
      <w:t>3015</w:t>
    </w:r>
    <w:r>
      <w:rPr>
        <w:rFonts w:ascii="Palatino Linotype" w:eastAsia="Palatino Linotype" w:hAnsi="Palatino Linotype" w:cs="Palatino Linotype"/>
        <w:b/>
        <w:color w:val="000000"/>
        <w:sz w:val="20"/>
        <w:szCs w:val="20"/>
      </w:rPr>
      <w:t>/INFOEM/IP/RR/2025</w:t>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r w:rsidR="00E35C86">
      <w:rPr>
        <w:rFonts w:ascii="Palatino Linotype" w:eastAsia="Palatino Linotype" w:hAnsi="Palatino Linotype" w:cs="Palatino Linotype"/>
        <w:b/>
        <w:color w:val="000000"/>
        <w:sz w:val="20"/>
        <w:szCs w:val="20"/>
      </w:rPr>
      <w:t>Atenco</w:t>
    </w:r>
  </w:p>
  <w:p w:rsidR="00E70FAD" w:rsidRDefault="006632F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w:t>
    </w:r>
    <w:r w:rsidR="00A32C84">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 </w:t>
    </w:r>
    <w:r w:rsidR="00A32C84">
      <w:rPr>
        <w:rFonts w:ascii="Palatino Linotype" w:eastAsia="Palatino Linotype" w:hAnsi="Palatino Linotype" w:cs="Palatino Linotype"/>
        <w:b/>
        <w:color w:val="000000"/>
        <w:sz w:val="20"/>
        <w:szCs w:val="20"/>
      </w:rPr>
      <w:t>José Martínez Vilchis</w:t>
    </w: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AD"/>
    <w:rsid w:val="004B3C55"/>
    <w:rsid w:val="005049CB"/>
    <w:rsid w:val="005830E4"/>
    <w:rsid w:val="006632F8"/>
    <w:rsid w:val="007329FF"/>
    <w:rsid w:val="00A32C84"/>
    <w:rsid w:val="00E35C86"/>
    <w:rsid w:val="00E70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EB323-DFEF-4100-98DA-261A3C6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6V9NaL/OknRWcxaA3lVHk619yQ==">CgMxLjAyCGguZ2pkZ3hzMg5oLjQ1aHdlOG12MHJhNzIOaC5zZXpuazB2M2t3ZHAyDmgueGV6cjBva2Q1N3RuMgloLjJldDkycDAyCWguMzBqMHpsbDIOaC4xbDAwYTFoNndyMmI4AHIhMU1LYkdBVmU2bzd6QmJOSVVEeVdoVHFhelBWeWwyT0ot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8695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2025-06-09T16:28:00Z</dcterms:created>
  <dcterms:modified xsi:type="dcterms:W3CDTF">2025-06-09T16:28:00Z</dcterms:modified>
</cp:coreProperties>
</file>