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75DDB7E4"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7319C4">
        <w:rPr>
          <w:rFonts w:ascii="Palatino Linotype" w:hAnsi="Palatino Linotype"/>
          <w:b/>
          <w:sz w:val="23"/>
          <w:szCs w:val="23"/>
        </w:rPr>
        <w:t>DÉCIMA</w:t>
      </w:r>
      <w:r w:rsidR="00D64B45">
        <w:rPr>
          <w:rFonts w:ascii="Palatino Linotype" w:hAnsi="Palatino Linotype"/>
          <w:b/>
          <w:sz w:val="23"/>
          <w:szCs w:val="23"/>
        </w:rPr>
        <w:t xml:space="preserve"> SEGUNDA</w:t>
      </w:r>
      <w:r w:rsidR="00F148AD">
        <w:rPr>
          <w:rFonts w:ascii="Palatino Linotype" w:hAnsi="Palatino Linotype"/>
          <w:b/>
          <w:sz w:val="23"/>
          <w:szCs w:val="23"/>
        </w:rPr>
        <w:t xml:space="preserve"> </w:t>
      </w:r>
      <w:r w:rsidR="0019061A" w:rsidRPr="008546EB">
        <w:rPr>
          <w:rFonts w:ascii="Palatino Linotype" w:hAnsi="Palatino Linotype"/>
          <w:b/>
          <w:sz w:val="23"/>
          <w:szCs w:val="23"/>
        </w:rPr>
        <w:t xml:space="preserve">SESIÓN ORDINARIA DEL PLENO DE FECHA </w:t>
      </w:r>
      <w:r w:rsidR="00D64B45">
        <w:rPr>
          <w:rFonts w:ascii="Palatino Linotype" w:hAnsi="Palatino Linotype"/>
          <w:b/>
          <w:sz w:val="23"/>
          <w:szCs w:val="23"/>
        </w:rPr>
        <w:t>DOS DE ABRIL</w:t>
      </w:r>
      <w:r w:rsidR="0019061A" w:rsidRPr="008546EB">
        <w:rPr>
          <w:rFonts w:ascii="Palatino Linotype" w:hAnsi="Palatino Linotype"/>
          <w:b/>
          <w:sz w:val="23"/>
          <w:szCs w:val="23"/>
        </w:rPr>
        <w:t xml:space="preserve"> DE DOS</w:t>
      </w:r>
      <w:r w:rsidR="00203238">
        <w:rPr>
          <w:rFonts w:ascii="Palatino Linotype" w:hAnsi="Palatino Linotype"/>
          <w:b/>
          <w:sz w:val="23"/>
          <w:szCs w:val="23"/>
        </w:rPr>
        <w:t xml:space="preserve"> MIL VEINTICINCO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D64B45">
        <w:rPr>
          <w:rFonts w:ascii="Palatino Linotype" w:hAnsi="Palatino Linotype"/>
          <w:b/>
          <w:sz w:val="23"/>
          <w:szCs w:val="23"/>
        </w:rPr>
        <w:t>1429</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00A00229">
        <w:rPr>
          <w:rFonts w:ascii="Palatino Linotype" w:hAnsi="Palatino Linotype"/>
          <w:b/>
          <w:sz w:val="23"/>
          <w:szCs w:val="23"/>
        </w:rPr>
        <w:t>.</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77457B1A"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D64B45">
        <w:rPr>
          <w:rFonts w:ascii="Palatino Linotype" w:hAnsi="Palatino Linotype"/>
          <w:b/>
          <w:sz w:val="23"/>
          <w:szCs w:val="23"/>
        </w:rPr>
        <w:t>1429</w:t>
      </w:r>
      <w:r w:rsidR="00E047E0" w:rsidRPr="00E047E0">
        <w:rPr>
          <w:rFonts w:ascii="Palatino Linotype" w:hAnsi="Palatino Linotype"/>
          <w:b/>
          <w:sz w:val="23"/>
          <w:szCs w:val="23"/>
        </w:rPr>
        <w:t>/INFOEM/IP/RR/202</w:t>
      </w:r>
      <w:r w:rsidR="00203238">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por </w:t>
      </w:r>
      <w:r w:rsidR="00203238">
        <w:rPr>
          <w:rFonts w:ascii="Palatino Linotype" w:hAnsi="Palatino Linotype"/>
          <w:sz w:val="23"/>
          <w:szCs w:val="23"/>
        </w:rPr>
        <w:t>el</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C3533D">
        <w:rPr>
          <w:rFonts w:ascii="Palatino Linotype" w:hAnsi="Palatino Linotype"/>
          <w:b/>
          <w:sz w:val="23"/>
          <w:szCs w:val="23"/>
        </w:rPr>
        <w:t>a</w:t>
      </w:r>
      <w:r w:rsidRPr="008546EB">
        <w:rPr>
          <w:rFonts w:ascii="Palatino Linotype" w:hAnsi="Palatino Linotype"/>
          <w:b/>
          <w:sz w:val="23"/>
          <w:szCs w:val="23"/>
        </w:rPr>
        <w:t xml:space="preserve"> </w:t>
      </w:r>
      <w:r w:rsidR="00D64B45">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5CA995A3" w14:textId="7A8AA1BC" w:rsidR="00D64B45" w:rsidRPr="00D64B45" w:rsidRDefault="00846F0C" w:rsidP="00D64B45">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822E84">
        <w:rPr>
          <w:rFonts w:ascii="Palatino Linotype" w:hAnsi="Palatino Linotype"/>
          <w:sz w:val="23"/>
          <w:szCs w:val="23"/>
        </w:rPr>
        <w:t>al</w:t>
      </w:r>
      <w:r w:rsidR="00B3215E">
        <w:rPr>
          <w:rFonts w:ascii="Palatino Linotype" w:hAnsi="Palatino Linotype"/>
          <w:sz w:val="23"/>
          <w:szCs w:val="23"/>
        </w:rPr>
        <w:t xml:space="preserve"> </w:t>
      </w:r>
      <w:r w:rsidR="00D64B45" w:rsidRPr="00D64B45">
        <w:rPr>
          <w:rFonts w:ascii="Palatino Linotype" w:hAnsi="Palatino Linotype"/>
          <w:b/>
          <w:sz w:val="23"/>
          <w:szCs w:val="23"/>
        </w:rPr>
        <w:t>Ayuntamiento de Tenancingo</w:t>
      </w:r>
      <w:r w:rsidR="0039658D" w:rsidRPr="0039658D">
        <w:rPr>
          <w:rFonts w:ascii="Palatino Linotype" w:hAnsi="Palatino Linotype"/>
          <w:sz w:val="23"/>
          <w:szCs w:val="23"/>
        </w:rPr>
        <w:t>,</w:t>
      </w:r>
      <w:r w:rsidR="00D64B45">
        <w:rPr>
          <w:rFonts w:ascii="Palatino Linotype" w:hAnsi="Palatino Linotype"/>
          <w:sz w:val="23"/>
          <w:szCs w:val="23"/>
        </w:rPr>
        <w:t xml:space="preserve"> d</w:t>
      </w:r>
      <w:r w:rsidR="00D64B45" w:rsidRPr="00D64B45">
        <w:rPr>
          <w:rFonts w:ascii="Palatino Linotype" w:hAnsi="Palatino Linotype"/>
          <w:sz w:val="23"/>
          <w:szCs w:val="23"/>
        </w:rPr>
        <w:t xml:space="preserve">e los Titulares del Ayuntamiento y del </w:t>
      </w:r>
      <w:r w:rsidR="00D64B45">
        <w:rPr>
          <w:rFonts w:ascii="Palatino Linotype" w:hAnsi="Palatino Linotype"/>
          <w:sz w:val="23"/>
          <w:szCs w:val="23"/>
        </w:rPr>
        <w:t>c</w:t>
      </w:r>
      <w:r w:rsidR="00D64B45" w:rsidRPr="00D64B45">
        <w:rPr>
          <w:rFonts w:ascii="Palatino Linotype" w:hAnsi="Palatino Linotype"/>
          <w:sz w:val="23"/>
          <w:szCs w:val="23"/>
        </w:rPr>
        <w:t>uerpo edilicio</w:t>
      </w:r>
      <w:r w:rsidR="00D64B45">
        <w:rPr>
          <w:rFonts w:ascii="Palatino Linotype" w:hAnsi="Palatino Linotype"/>
          <w:sz w:val="23"/>
          <w:szCs w:val="23"/>
        </w:rPr>
        <w:t>, lo siguiente:</w:t>
      </w:r>
      <w:r w:rsidR="00D64B45" w:rsidRPr="00D64B45">
        <w:rPr>
          <w:rFonts w:ascii="Palatino Linotype" w:hAnsi="Palatino Linotype"/>
          <w:sz w:val="23"/>
          <w:szCs w:val="23"/>
        </w:rPr>
        <w:t xml:space="preserve"> </w:t>
      </w:r>
    </w:p>
    <w:p w14:paraId="70DE67AD" w14:textId="77777777" w:rsidR="00D64B45" w:rsidRPr="00D64B45" w:rsidRDefault="00D64B45" w:rsidP="00D64B45">
      <w:pPr>
        <w:spacing w:after="0" w:line="360" w:lineRule="auto"/>
        <w:jc w:val="both"/>
        <w:rPr>
          <w:rFonts w:ascii="Palatino Linotype" w:hAnsi="Palatino Linotype"/>
          <w:sz w:val="23"/>
          <w:szCs w:val="23"/>
        </w:rPr>
      </w:pPr>
      <w:r w:rsidRPr="00D64B45">
        <w:rPr>
          <w:rFonts w:ascii="Palatino Linotype" w:hAnsi="Palatino Linotype"/>
          <w:sz w:val="23"/>
          <w:szCs w:val="23"/>
        </w:rPr>
        <w:t>1.</w:t>
      </w:r>
      <w:r w:rsidRPr="00D64B45">
        <w:rPr>
          <w:rFonts w:ascii="Palatino Linotype" w:hAnsi="Palatino Linotype"/>
          <w:sz w:val="23"/>
          <w:szCs w:val="23"/>
        </w:rPr>
        <w:tab/>
        <w:t xml:space="preserve">Información Curricular </w:t>
      </w:r>
    </w:p>
    <w:p w14:paraId="15135AC0" w14:textId="1C9C88C8" w:rsidR="00822E84" w:rsidRDefault="00D64B45" w:rsidP="00C3533D">
      <w:pPr>
        <w:spacing w:after="0" w:line="360" w:lineRule="auto"/>
        <w:jc w:val="both"/>
        <w:rPr>
          <w:rFonts w:ascii="Palatino Linotype" w:hAnsi="Palatino Linotype"/>
          <w:sz w:val="23"/>
          <w:szCs w:val="23"/>
        </w:rPr>
      </w:pPr>
      <w:r w:rsidRPr="00D64B45">
        <w:rPr>
          <w:rFonts w:ascii="Palatino Linotype" w:hAnsi="Palatino Linotype"/>
          <w:sz w:val="23"/>
          <w:szCs w:val="23"/>
        </w:rPr>
        <w:t>2.</w:t>
      </w:r>
      <w:r w:rsidRPr="00D64B45">
        <w:rPr>
          <w:rFonts w:ascii="Palatino Linotype" w:hAnsi="Palatino Linotype"/>
          <w:sz w:val="23"/>
          <w:szCs w:val="23"/>
        </w:rPr>
        <w:tab/>
        <w:t>Los documentos que avalen su profesión y experiencia.</w:t>
      </w:r>
    </w:p>
    <w:p w14:paraId="28453A45" w14:textId="43A4152A" w:rsidR="00846F0C" w:rsidRPr="00B835E7" w:rsidRDefault="00846F0C" w:rsidP="00B835E7">
      <w:pPr>
        <w:spacing w:after="0" w:line="360" w:lineRule="auto"/>
        <w:jc w:val="both"/>
        <w:rPr>
          <w:rFonts w:ascii="Palatino Linotype" w:hAnsi="Palatino Linotype"/>
          <w:sz w:val="23"/>
          <w:szCs w:val="23"/>
        </w:rPr>
      </w:pPr>
    </w:p>
    <w:p w14:paraId="7EC1AABE" w14:textId="77C5852B" w:rsidR="00D64B45" w:rsidRDefault="00846F0C" w:rsidP="00D64B45">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lastRenderedPageBreak/>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3262E7" w:rsidRPr="00C3533D">
        <w:rPr>
          <w:rFonts w:ascii="Palatino Linotype" w:hAnsi="Palatino Linotype"/>
          <w:sz w:val="23"/>
          <w:szCs w:val="23"/>
          <w:lang w:val="es-ES"/>
        </w:rPr>
        <w:t>,</w:t>
      </w:r>
      <w:r w:rsidR="003262E7" w:rsidRPr="008546EB">
        <w:rPr>
          <w:rFonts w:ascii="Palatino Linotype" w:hAnsi="Palatino Linotype"/>
          <w:b/>
          <w:bCs/>
          <w:sz w:val="23"/>
          <w:szCs w:val="23"/>
          <w:lang w:val="es-ES"/>
        </w:rPr>
        <w:t xml:space="preserve"> </w:t>
      </w:r>
      <w:r w:rsidR="00C3533D" w:rsidRPr="00C3533D">
        <w:rPr>
          <w:rFonts w:ascii="Palatino Linotype" w:hAnsi="Palatino Linotype"/>
          <w:sz w:val="23"/>
          <w:szCs w:val="23"/>
          <w:lang w:val="es-ES"/>
        </w:rPr>
        <w:t>a través</w:t>
      </w:r>
      <w:r w:rsidR="00C3533D">
        <w:rPr>
          <w:rFonts w:ascii="Palatino Linotype" w:hAnsi="Palatino Linotype"/>
          <w:b/>
          <w:bCs/>
          <w:sz w:val="23"/>
          <w:szCs w:val="23"/>
          <w:lang w:val="es-ES"/>
        </w:rPr>
        <w:t xml:space="preserve"> </w:t>
      </w:r>
      <w:r w:rsidR="00D64B45" w:rsidRPr="00D64B45">
        <w:rPr>
          <w:rFonts w:ascii="Palatino Linotype" w:hAnsi="Palatino Linotype"/>
          <w:bCs/>
          <w:sz w:val="23"/>
          <w:szCs w:val="23"/>
          <w:lang w:val="es-ES"/>
        </w:rPr>
        <w:t>de la Dirección de Administración hizo entrega de dieciséis fichas curriculares</w:t>
      </w:r>
      <w:r w:rsidR="00D64B45">
        <w:rPr>
          <w:rFonts w:ascii="Palatino Linotype" w:hAnsi="Palatino Linotype"/>
          <w:bCs/>
          <w:sz w:val="23"/>
          <w:szCs w:val="23"/>
          <w:lang w:val="es-ES"/>
        </w:rPr>
        <w:t>.</w:t>
      </w:r>
    </w:p>
    <w:p w14:paraId="6B435617" w14:textId="77777777" w:rsidR="00D64B45" w:rsidRPr="00D64B45" w:rsidRDefault="00D64B45" w:rsidP="00D64B45">
      <w:pPr>
        <w:spacing w:after="0" w:line="360" w:lineRule="auto"/>
        <w:ind w:right="-3"/>
        <w:jc w:val="both"/>
        <w:rPr>
          <w:rFonts w:ascii="Palatino Linotype" w:hAnsi="Palatino Linotype"/>
          <w:bCs/>
          <w:sz w:val="23"/>
          <w:szCs w:val="23"/>
          <w:lang w:val="es-ES"/>
        </w:rPr>
      </w:pPr>
    </w:p>
    <w:p w14:paraId="66C02498" w14:textId="77777777" w:rsidR="00D64B45" w:rsidRPr="00D64B45" w:rsidRDefault="00D64B45" w:rsidP="00D64B45">
      <w:pPr>
        <w:spacing w:after="0" w:line="360" w:lineRule="auto"/>
        <w:ind w:right="-3"/>
        <w:jc w:val="both"/>
        <w:rPr>
          <w:rFonts w:ascii="Palatino Linotype" w:hAnsi="Palatino Linotype"/>
          <w:bCs/>
          <w:sz w:val="23"/>
          <w:szCs w:val="23"/>
          <w:lang w:val="es-ES"/>
        </w:rPr>
      </w:pPr>
      <w:r w:rsidRPr="00D64B45">
        <w:rPr>
          <w:rFonts w:ascii="Palatino Linotype" w:hAnsi="Palatino Linotype"/>
          <w:bCs/>
          <w:sz w:val="23"/>
          <w:szCs w:val="23"/>
          <w:lang w:val="es-ES"/>
        </w:rPr>
        <w:t xml:space="preserve">Asimismo, informó que, los documentos que avalan su profesión son de carácter privado con fundamento en el artículo 143 de la Ley de Transparencia y Acceso a la Información Pública del Estado de México y Municipios. </w:t>
      </w:r>
    </w:p>
    <w:p w14:paraId="7448D8DF" w14:textId="77777777" w:rsidR="00D64B45" w:rsidRPr="00D64B45" w:rsidRDefault="00D64B45" w:rsidP="00D64B45">
      <w:pPr>
        <w:spacing w:after="0" w:line="360" w:lineRule="auto"/>
        <w:ind w:right="-3"/>
        <w:jc w:val="both"/>
        <w:rPr>
          <w:rFonts w:ascii="Palatino Linotype" w:hAnsi="Palatino Linotype"/>
          <w:bCs/>
          <w:sz w:val="23"/>
          <w:szCs w:val="23"/>
          <w:lang w:val="es-ES"/>
        </w:rPr>
      </w:pPr>
    </w:p>
    <w:p w14:paraId="1EBF1B04" w14:textId="29B4D44E" w:rsidR="00C3533D" w:rsidRDefault="00D64B45" w:rsidP="00D64B45">
      <w:pPr>
        <w:spacing w:after="0" w:line="360" w:lineRule="auto"/>
        <w:ind w:right="-3"/>
        <w:jc w:val="both"/>
        <w:rPr>
          <w:rFonts w:ascii="Palatino Linotype" w:hAnsi="Palatino Linotype"/>
          <w:bCs/>
          <w:sz w:val="23"/>
          <w:szCs w:val="23"/>
          <w:lang w:val="es-ES"/>
        </w:rPr>
      </w:pPr>
      <w:r w:rsidRPr="00D64B45">
        <w:rPr>
          <w:rFonts w:ascii="Palatino Linotype" w:hAnsi="Palatino Linotype"/>
          <w:bCs/>
          <w:sz w:val="23"/>
          <w:szCs w:val="23"/>
          <w:lang w:val="es-ES"/>
        </w:rPr>
        <w:t>Por lo que hace a los integrantes del cuerpo edilicio refirió que cumplen con lo que establece el artículo 15 de la Ley Orgánica Municipal del Estado de México.</w:t>
      </w:r>
    </w:p>
    <w:p w14:paraId="780B3F36" w14:textId="77777777" w:rsidR="00D64B45" w:rsidRPr="00822E84" w:rsidRDefault="00D64B45" w:rsidP="00D64B45">
      <w:pPr>
        <w:spacing w:after="0" w:line="360" w:lineRule="auto"/>
        <w:ind w:right="-3"/>
        <w:jc w:val="both"/>
        <w:rPr>
          <w:rFonts w:ascii="Palatino Linotype" w:hAnsi="Palatino Linotype"/>
          <w:bCs/>
          <w:sz w:val="23"/>
          <w:szCs w:val="23"/>
        </w:rPr>
      </w:pPr>
    </w:p>
    <w:p w14:paraId="4CEA5552" w14:textId="644D3B1D"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EC387A">
        <w:rPr>
          <w:rFonts w:ascii="Palatino Linotype" w:hAnsi="Palatino Linotype"/>
          <w:sz w:val="23"/>
          <w:szCs w:val="23"/>
        </w:rPr>
        <w:t>el</w:t>
      </w:r>
      <w:r w:rsidR="0039658D">
        <w:rPr>
          <w:rFonts w:ascii="Palatino Linotype" w:hAnsi="Palatino Linotype"/>
          <w:sz w:val="23"/>
          <w:szCs w:val="23"/>
        </w:rPr>
        <w:t xml:space="preserve"> Comisionad</w:t>
      </w:r>
      <w:r w:rsidR="00C3533D">
        <w:rPr>
          <w:rFonts w:ascii="Palatino Linotype" w:hAnsi="Palatino Linotype"/>
          <w:sz w:val="23"/>
          <w:szCs w:val="23"/>
        </w:rPr>
        <w:t>a</w:t>
      </w:r>
      <w:r>
        <w:rPr>
          <w:rFonts w:ascii="Palatino Linotype" w:hAnsi="Palatino Linotype"/>
          <w:sz w:val="23"/>
          <w:szCs w:val="23"/>
        </w:rPr>
        <w:t xml:space="preserve"> Ponente resolvió </w:t>
      </w:r>
      <w:r w:rsidR="00D64B45">
        <w:rPr>
          <w:rFonts w:ascii="Palatino Linotype" w:hAnsi="Palatino Linotype"/>
          <w:b/>
          <w:sz w:val="23"/>
          <w:szCs w:val="23"/>
        </w:rPr>
        <w:t>Modifi</w:t>
      </w:r>
      <w:r w:rsidRPr="00846F0C">
        <w:rPr>
          <w:rFonts w:ascii="Palatino Linotype" w:hAnsi="Palatino Linotype"/>
          <w:b/>
          <w:sz w:val="23"/>
          <w:szCs w:val="23"/>
        </w:rPr>
        <w:t>car</w:t>
      </w:r>
      <w:r>
        <w:rPr>
          <w:rFonts w:ascii="Palatino Linotype" w:hAnsi="Palatino Linotype"/>
          <w:sz w:val="23"/>
          <w:szCs w:val="23"/>
        </w:rPr>
        <w:t xml:space="preserve"> 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1870FA87" w14:textId="04B01D7F" w:rsidR="00D64B45" w:rsidRPr="00D64B45" w:rsidRDefault="0019061A" w:rsidP="00D64B45">
      <w:pPr>
        <w:pStyle w:val="Citas"/>
        <w:spacing w:line="240" w:lineRule="auto"/>
        <w:ind w:left="567" w:right="423"/>
        <w:rPr>
          <w:bCs/>
          <w:iCs/>
          <w:color w:val="000000"/>
        </w:rPr>
      </w:pPr>
      <w:r w:rsidRPr="00591F8D">
        <w:t>“</w:t>
      </w:r>
      <w:r w:rsidR="00D64B45" w:rsidRPr="00D64B45">
        <w:rPr>
          <w:b/>
          <w:bCs/>
          <w:iCs/>
          <w:color w:val="000000"/>
        </w:rPr>
        <w:t>Segundo</w:t>
      </w:r>
      <w:r w:rsidR="00D64B45" w:rsidRPr="00D64B45">
        <w:rPr>
          <w:bCs/>
          <w:iCs/>
          <w:color w:val="000000"/>
        </w:rPr>
        <w:t xml:space="preserve">. Se </w:t>
      </w:r>
      <w:r w:rsidR="00D64B45" w:rsidRPr="00D64B45">
        <w:rPr>
          <w:b/>
          <w:bCs/>
          <w:iCs/>
          <w:color w:val="000000"/>
        </w:rPr>
        <w:t>ordena</w:t>
      </w:r>
      <w:r w:rsidR="00D64B45" w:rsidRPr="00D64B45">
        <w:rPr>
          <w:bCs/>
          <w:iCs/>
          <w:color w:val="000000"/>
        </w:rPr>
        <w:t xml:space="preserve"> al </w:t>
      </w:r>
      <w:r w:rsidR="00D64B45" w:rsidRPr="00D64B45">
        <w:rPr>
          <w:b/>
          <w:bCs/>
          <w:iCs/>
          <w:color w:val="000000"/>
        </w:rPr>
        <w:t>Sujeto Obligado</w:t>
      </w:r>
      <w:r w:rsidR="00D64B45" w:rsidRPr="00D64B45">
        <w:rPr>
          <w:bCs/>
          <w:iCs/>
          <w:color w:val="000000"/>
        </w:rPr>
        <w:t xml:space="preserve"> a que, en términos del Considerando Cuarto y Quinto, haga entrega previa búsqueda exhaustiva y razonable, vía Sistema de Acceso a la Información Mexiquense, de ser el caso en versión pública, de la siguiente información:</w:t>
      </w:r>
    </w:p>
    <w:p w14:paraId="3E798A84" w14:textId="77777777" w:rsidR="00D64B45" w:rsidRDefault="00D64B45" w:rsidP="00D64B45">
      <w:pPr>
        <w:pStyle w:val="Citas"/>
        <w:numPr>
          <w:ilvl w:val="0"/>
          <w:numId w:val="41"/>
        </w:numPr>
        <w:spacing w:line="240" w:lineRule="auto"/>
        <w:ind w:left="1134" w:right="423"/>
        <w:rPr>
          <w:b/>
          <w:bCs/>
          <w:iCs/>
          <w:color w:val="000000"/>
        </w:rPr>
      </w:pPr>
      <w:bookmarkStart w:id="0" w:name="_Hlk194779975"/>
      <w:r w:rsidRPr="00D64B45">
        <w:rPr>
          <w:b/>
          <w:bCs/>
          <w:iCs/>
          <w:color w:val="000000"/>
        </w:rPr>
        <w:t xml:space="preserve">Título Profesional y/o comprobante de último grado de estudio de los </w:t>
      </w:r>
      <w:proofErr w:type="gramStart"/>
      <w:r w:rsidRPr="00D64B45">
        <w:rPr>
          <w:b/>
          <w:bCs/>
          <w:iCs/>
          <w:color w:val="000000"/>
        </w:rPr>
        <w:t>Directores</w:t>
      </w:r>
      <w:proofErr w:type="gramEnd"/>
      <w:r w:rsidRPr="00D64B45">
        <w:rPr>
          <w:b/>
          <w:bCs/>
          <w:iCs/>
          <w:color w:val="000000"/>
        </w:rPr>
        <w:t xml:space="preserve"> del Ayuntamiento referidos en respuesta, al veinticuatro de enero de dos mil veinticinco</w:t>
      </w:r>
      <w:bookmarkEnd w:id="0"/>
      <w:r w:rsidRPr="00D64B45">
        <w:rPr>
          <w:b/>
          <w:bCs/>
          <w:iCs/>
          <w:color w:val="000000"/>
        </w:rPr>
        <w:t xml:space="preserve">. </w:t>
      </w:r>
    </w:p>
    <w:p w14:paraId="1B672651" w14:textId="6924A923" w:rsidR="00D64B45" w:rsidRPr="00D64B45" w:rsidRDefault="00D64B45" w:rsidP="00D64B45">
      <w:pPr>
        <w:pStyle w:val="Citas"/>
        <w:spacing w:line="240" w:lineRule="auto"/>
        <w:ind w:left="720" w:right="423"/>
        <w:rPr>
          <w:b/>
          <w:bCs/>
          <w:iCs/>
          <w:color w:val="000000"/>
        </w:rPr>
      </w:pPr>
      <w:r w:rsidRPr="00D64B45">
        <w:rPr>
          <w:bCs/>
          <w:iCs/>
          <w:color w:val="000000"/>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D64B45">
        <w:rPr>
          <w:b/>
          <w:bCs/>
          <w:iCs/>
          <w:color w:val="000000"/>
        </w:rPr>
        <w:t>Recurrent</w:t>
      </w:r>
      <w:r w:rsidRPr="00D64B45">
        <w:rPr>
          <w:bCs/>
          <w:iCs/>
          <w:color w:val="000000"/>
        </w:rPr>
        <w:t>e, mismo que igualmente hará de su conocimiento.</w:t>
      </w:r>
    </w:p>
    <w:p w14:paraId="379FB92F" w14:textId="77777777" w:rsidR="00D64B45" w:rsidRDefault="00D64B45" w:rsidP="00D64B45">
      <w:pPr>
        <w:pStyle w:val="Citas"/>
        <w:spacing w:line="240" w:lineRule="auto"/>
        <w:ind w:right="423"/>
        <w:rPr>
          <w:bCs/>
          <w:iCs/>
          <w:color w:val="000000"/>
        </w:rPr>
      </w:pPr>
      <w:r w:rsidRPr="00D64B45">
        <w:rPr>
          <w:bCs/>
          <w:iCs/>
          <w:color w:val="000000"/>
        </w:rPr>
        <w:lastRenderedPageBreak/>
        <w:t xml:space="preserve">En el caso </w:t>
      </w:r>
      <w:proofErr w:type="gramStart"/>
      <w:r w:rsidRPr="00D64B45">
        <w:rPr>
          <w:bCs/>
          <w:iCs/>
          <w:color w:val="000000"/>
        </w:rPr>
        <w:t>que</w:t>
      </w:r>
      <w:proofErr w:type="gramEnd"/>
      <w:r w:rsidRPr="00D64B45">
        <w:rPr>
          <w:bCs/>
          <w:iCs/>
          <w:color w:val="000000"/>
        </w:rPr>
        <w:t xml:space="preserve"> derivado de la búsqueda exhaustiva y razonable, no se localicen los títulos profesionales de los servidores públicos que se encuentren obligados, el </w:t>
      </w:r>
      <w:r w:rsidRPr="00D64B45">
        <w:rPr>
          <w:b/>
          <w:bCs/>
          <w:iCs/>
          <w:color w:val="000000"/>
        </w:rPr>
        <w:t>Sujeto Obligado</w:t>
      </w:r>
      <w:r w:rsidRPr="00D64B45">
        <w:rPr>
          <w:bCs/>
          <w:iCs/>
          <w:color w:val="000000"/>
        </w:rPr>
        <w:t xml:space="preserve"> deberá emitir el Acuerdo de Inexistencia en términos de los artículos 49, fracciones II y XIII, 169 y 170 de la Ley de Transparencia y Acceso a la Información Pública del Estado de México y Municipios, debiendo notificarlo al </w:t>
      </w:r>
      <w:r w:rsidRPr="00D64B45">
        <w:rPr>
          <w:b/>
          <w:bCs/>
          <w:iCs/>
          <w:color w:val="000000"/>
        </w:rPr>
        <w:t>Recurrente</w:t>
      </w:r>
      <w:r w:rsidRPr="00D64B45">
        <w:rPr>
          <w:bCs/>
          <w:iCs/>
          <w:color w:val="000000"/>
        </w:rPr>
        <w:t xml:space="preserve"> al momento de dar cumplimiento a la presente resolución.</w:t>
      </w:r>
    </w:p>
    <w:p w14:paraId="54DD5B3B" w14:textId="51D6C711" w:rsidR="0019061A" w:rsidRPr="00D64B45" w:rsidRDefault="00D64B45" w:rsidP="00D64B45">
      <w:pPr>
        <w:pStyle w:val="Citas"/>
        <w:spacing w:line="240" w:lineRule="auto"/>
        <w:ind w:right="423"/>
        <w:rPr>
          <w:bCs/>
          <w:iCs/>
          <w:color w:val="000000"/>
        </w:rPr>
      </w:pPr>
      <w:r w:rsidRPr="00D64B45">
        <w:rPr>
          <w:bCs/>
          <w:iCs/>
          <w:color w:val="000000"/>
        </w:rPr>
        <w:t xml:space="preserve">Para el caso de que la información que se ordena respecto de quienes que no sea obligatorio el contar con un determinado grado de estudios, no obre en los archivos del </w:t>
      </w:r>
      <w:r w:rsidRPr="00D64B45">
        <w:rPr>
          <w:b/>
          <w:bCs/>
          <w:iCs/>
          <w:color w:val="000000"/>
        </w:rPr>
        <w:t>Sujeto Obligado</w:t>
      </w:r>
      <w:r w:rsidRPr="00D64B45">
        <w:rPr>
          <w:bCs/>
          <w:iCs/>
          <w:color w:val="000000"/>
        </w:rPr>
        <w:t>, bastara con que lo haga del conocimiento del Particular en términos del artículo 19, párrafo segundo, de la Ley de Transparencia y Acceso a la Información Pública del Estado de México y Municipios, para tenerse por colmado dicho requerimiento.</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Default="00F148AD" w:rsidP="00F148AD">
      <w:pPr>
        <w:pStyle w:val="Sinespaciado"/>
      </w:pPr>
    </w:p>
    <w:p w14:paraId="68D9B6BA" w14:textId="69DF64D1" w:rsidR="00285A92"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C65E0C">
        <w:rPr>
          <w:rFonts w:ascii="Palatino Linotype" w:hAnsi="Palatino Linotype"/>
          <w:bCs/>
          <w:iCs/>
          <w:sz w:val="23"/>
          <w:szCs w:val="23"/>
        </w:rPr>
        <w:t>s</w:t>
      </w:r>
      <w:r w:rsidR="00C65E0C" w:rsidRPr="00C65E0C">
        <w:rPr>
          <w:rFonts w:ascii="Palatino Linotype" w:hAnsi="Palatino Linotype"/>
          <w:bCs/>
          <w:iCs/>
          <w:sz w:val="23"/>
          <w:szCs w:val="23"/>
        </w:rPr>
        <w:t xml:space="preserve">oporte documental </w:t>
      </w:r>
      <w:r w:rsidR="00091647">
        <w:rPr>
          <w:rFonts w:ascii="Palatino Linotype" w:hAnsi="Palatino Linotype"/>
          <w:bCs/>
          <w:iCs/>
          <w:sz w:val="23"/>
          <w:szCs w:val="23"/>
        </w:rPr>
        <w:t xml:space="preserve">que dé cuenta </w:t>
      </w:r>
      <w:r w:rsidR="00091647" w:rsidRPr="00091647">
        <w:rPr>
          <w:rFonts w:ascii="Palatino Linotype" w:hAnsi="Palatino Linotype"/>
          <w:bCs/>
          <w:iCs/>
          <w:sz w:val="23"/>
          <w:szCs w:val="23"/>
        </w:rPr>
        <w:t xml:space="preserve">del </w:t>
      </w:r>
      <w:r w:rsidR="00822E84" w:rsidRPr="00822E84">
        <w:rPr>
          <w:rFonts w:ascii="Palatino Linotype" w:hAnsi="Palatino Linotype"/>
          <w:bCs/>
          <w:iCs/>
          <w:sz w:val="23"/>
          <w:szCs w:val="23"/>
        </w:rPr>
        <w:t xml:space="preserve">grado académico </w:t>
      </w:r>
      <w:r w:rsidR="00EC387A" w:rsidRPr="00EC387A">
        <w:rPr>
          <w:rFonts w:ascii="Palatino Linotype" w:hAnsi="Palatino Linotype"/>
          <w:bCs/>
          <w:iCs/>
          <w:sz w:val="23"/>
          <w:szCs w:val="23"/>
        </w:rPr>
        <w:t xml:space="preserve">de los servidores públicos </w:t>
      </w:r>
      <w:r w:rsidR="00B5503F">
        <w:rPr>
          <w:rFonts w:ascii="Palatino Linotype" w:hAnsi="Palatino Linotype"/>
          <w:bCs/>
          <w:iCs/>
          <w:sz w:val="23"/>
          <w:szCs w:val="23"/>
        </w:rPr>
        <w:t>referidos en las solicitudes de información</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24524E7" w14:textId="77777777" w:rsidR="00822E84" w:rsidRPr="008546EB" w:rsidRDefault="00822E84" w:rsidP="0019061A">
      <w:pPr>
        <w:spacing w:after="0" w:line="360" w:lineRule="auto"/>
        <w:jc w:val="both"/>
        <w:rPr>
          <w:rFonts w:ascii="Palatino Linotype" w:hAnsi="Palatino Linotype"/>
          <w:sz w:val="23"/>
          <w:szCs w:val="23"/>
        </w:rPr>
      </w:pPr>
    </w:p>
    <w:p w14:paraId="56F0EBA5" w14:textId="71A58A8E" w:rsidR="00D50284"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 xml:space="preserve">deben poner a disposición </w:t>
      </w:r>
      <w:r w:rsidR="00ED0FE3" w:rsidRPr="008546EB">
        <w:rPr>
          <w:rFonts w:ascii="Palatino Linotype" w:eastAsia="MS Mincho" w:hAnsi="Palatino Linotype"/>
          <w:sz w:val="23"/>
          <w:szCs w:val="23"/>
        </w:rPr>
        <w:lastRenderedPageBreak/>
        <w:t>del público de manera permanente y por tanto deberán mantenerla actualizada, en los respectivos medios electrónicos, de acuerdo con sus facultades, atribuciones, funciones u objeto social.</w:t>
      </w:r>
    </w:p>
    <w:p w14:paraId="76C16537" w14:textId="77777777" w:rsidR="00822E84" w:rsidRPr="00D50284" w:rsidRDefault="00822E84" w:rsidP="0019061A">
      <w:pPr>
        <w:spacing w:after="0" w:line="360" w:lineRule="auto"/>
        <w:jc w:val="both"/>
        <w:rPr>
          <w:rFonts w:ascii="Palatino Linotype" w:eastAsia="MS Mincho" w:hAnsi="Palatino Linotype"/>
          <w:sz w:val="23"/>
          <w:szCs w:val="23"/>
        </w:rPr>
      </w:pPr>
    </w:p>
    <w:p w14:paraId="4FEDCF54" w14:textId="0343E6D9" w:rsidR="008546EB" w:rsidRDefault="00ED0FE3" w:rsidP="00285A92">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7D2168CA" w14:textId="77777777" w:rsidR="00285A92" w:rsidRPr="00285A92" w:rsidRDefault="00285A92" w:rsidP="00285A92">
      <w:pPr>
        <w:spacing w:after="0" w:line="360" w:lineRule="auto"/>
        <w:jc w:val="both"/>
        <w:rPr>
          <w:rFonts w:ascii="Palatino Linotype" w:hAnsi="Palatino Linotype"/>
          <w:sz w:val="23"/>
          <w:szCs w:val="23"/>
        </w:rPr>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w:t>
      </w:r>
      <w:r w:rsidRPr="00B17D41">
        <w:rPr>
          <w:rFonts w:ascii="Palatino Linotype" w:eastAsia="MS Mincho" w:hAnsi="Palatino Linotype"/>
        </w:rPr>
        <w:lastRenderedPageBreak/>
        <w:t>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68E230CE" w14:textId="77777777" w:rsidR="00285A92" w:rsidRDefault="00285A92"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2818AC8F"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w:t>
      </w:r>
      <w:r w:rsidR="005A0839">
        <w:rPr>
          <w:rFonts w:ascii="Palatino Linotype" w:hAnsi="Palatino Linotype"/>
          <w:sz w:val="23"/>
          <w:szCs w:val="23"/>
        </w:rPr>
        <w:t xml:space="preserve">los </w:t>
      </w:r>
      <w:r w:rsidR="00822E84">
        <w:rPr>
          <w:rFonts w:ascii="Palatino Linotype" w:hAnsi="Palatino Linotype"/>
          <w:sz w:val="23"/>
          <w:szCs w:val="23"/>
        </w:rPr>
        <w:t>municipios</w:t>
      </w:r>
      <w:r w:rsidRPr="008546EB">
        <w:rPr>
          <w:rFonts w:ascii="Palatino Linotype" w:hAnsi="Palatino Linotype"/>
          <w:sz w:val="23"/>
          <w:szCs w:val="23"/>
        </w:rPr>
        <w:t xml:space="preserve">,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3E215723" w14:textId="0F455EF1"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73580DCD" w14:textId="77777777" w:rsidR="00822E84" w:rsidRPr="008546EB" w:rsidRDefault="00822E84" w:rsidP="0019061A">
      <w:pPr>
        <w:spacing w:after="0" w:line="360" w:lineRule="auto"/>
        <w:jc w:val="both"/>
        <w:rPr>
          <w:rFonts w:ascii="Palatino Linotype" w:hAnsi="Palatino Linotype"/>
          <w:sz w:val="23"/>
          <w:szCs w:val="23"/>
        </w:rPr>
      </w:pPr>
    </w:p>
    <w:p w14:paraId="2018A6D1" w14:textId="29F82C5D"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de</w:t>
      </w:r>
      <w:r w:rsidR="00285A92">
        <w:rPr>
          <w:rFonts w:ascii="Palatino Linotype" w:hAnsi="Palatino Linotype"/>
          <w:sz w:val="23"/>
          <w:szCs w:val="23"/>
        </w:rPr>
        <w:t xml:space="preserve"> </w:t>
      </w:r>
      <w:r w:rsidR="00D50284">
        <w:rPr>
          <w:rFonts w:ascii="Palatino Linotype" w:hAnsi="Palatino Linotype"/>
          <w:sz w:val="23"/>
          <w:szCs w:val="23"/>
        </w:rPr>
        <w:t xml:space="preserve">los </w:t>
      </w:r>
      <w:r w:rsidR="00285A92">
        <w:rPr>
          <w:rFonts w:ascii="Palatino Linotype" w:hAnsi="Palatino Linotype"/>
          <w:sz w:val="23"/>
          <w:szCs w:val="23"/>
        </w:rPr>
        <w:t>servidor</w:t>
      </w:r>
      <w:r w:rsidR="00D50284">
        <w:rPr>
          <w:rFonts w:ascii="Palatino Linotype" w:hAnsi="Palatino Linotype"/>
          <w:sz w:val="23"/>
          <w:szCs w:val="23"/>
        </w:rPr>
        <w:t>es</w:t>
      </w:r>
      <w:r w:rsidR="00285A92">
        <w:rPr>
          <w:rFonts w:ascii="Palatino Linotype" w:hAnsi="Palatino Linotype"/>
          <w:sz w:val="23"/>
          <w:szCs w:val="23"/>
        </w:rPr>
        <w:t xml:space="preserve"> público</w:t>
      </w:r>
      <w:r w:rsidR="00D50284">
        <w:rPr>
          <w:rFonts w:ascii="Palatino Linotype" w:hAnsi="Palatino Linotype"/>
          <w:sz w:val="23"/>
          <w:szCs w:val="23"/>
        </w:rPr>
        <w:t>s</w:t>
      </w:r>
      <w:r w:rsidR="00285A92">
        <w:rPr>
          <w:rFonts w:ascii="Palatino Linotype" w:hAnsi="Palatino Linotype"/>
          <w:sz w:val="23"/>
          <w:szCs w:val="23"/>
        </w:rPr>
        <w:t xml:space="preserve"> referido</w:t>
      </w:r>
      <w:r w:rsidR="00D50284">
        <w:rPr>
          <w:rFonts w:ascii="Palatino Linotype" w:hAnsi="Palatino Linotype"/>
          <w:sz w:val="23"/>
          <w:szCs w:val="23"/>
        </w:rPr>
        <w:t>s</w:t>
      </w:r>
      <w:r w:rsidR="00285A92">
        <w:rPr>
          <w:rFonts w:ascii="Palatino Linotype" w:hAnsi="Palatino Linotype"/>
          <w:sz w:val="23"/>
          <w:szCs w:val="23"/>
        </w:rPr>
        <w:t xml:space="preserve"> en la solicitud de información</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22980E1B" w14:textId="21672E21" w:rsidR="00963470" w:rsidRDefault="00211741"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EC387A">
        <w:rPr>
          <w:rFonts w:ascii="Palatino Linotype" w:hAnsi="Palatino Linotype"/>
          <w:sz w:val="23"/>
          <w:szCs w:val="23"/>
        </w:rPr>
        <w:t xml:space="preserve">el </w:t>
      </w:r>
      <w:r w:rsidR="00963470" w:rsidRPr="008546EB">
        <w:rPr>
          <w:rFonts w:ascii="Palatino Linotype" w:hAnsi="Palatino Linotype"/>
          <w:b/>
          <w:bCs/>
          <w:sz w:val="23"/>
          <w:szCs w:val="23"/>
        </w:rPr>
        <w:t xml:space="preserve">Sujeto Obligado, </w:t>
      </w:r>
      <w:r w:rsidR="00963470" w:rsidRPr="008546EB">
        <w:rPr>
          <w:rFonts w:ascii="Palatino Linotype" w:hAnsi="Palatino Linotype"/>
          <w:sz w:val="23"/>
          <w:szCs w:val="23"/>
        </w:rPr>
        <w:t xml:space="preserve">en etapa de cumplimiento pueda manifestar únicamente que no cuenta con la información referida en </w:t>
      </w:r>
      <w:r w:rsidR="00C3533D">
        <w:rPr>
          <w:rFonts w:ascii="Palatino Linotype" w:hAnsi="Palatino Linotype"/>
          <w:sz w:val="23"/>
          <w:szCs w:val="23"/>
        </w:rPr>
        <w:t xml:space="preserve">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D64B45" w:rsidRPr="00D64B45">
        <w:rPr>
          <w:rFonts w:ascii="Palatino Linotype" w:hAnsi="Palatino Linotype"/>
          <w:bCs/>
          <w:i/>
          <w:sz w:val="23"/>
          <w:szCs w:val="23"/>
        </w:rPr>
        <w:t>Título Profesional y/o comprobante de último grado de estudio de los Directores del Ayuntamiento referidos en respuesta, al veinticuatro de enero de dos mil veinticinco</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w:t>
      </w:r>
      <w:r w:rsidR="00963470" w:rsidRPr="008546EB">
        <w:rPr>
          <w:rFonts w:ascii="Palatino Linotype" w:hAnsi="Palatino Linotype"/>
          <w:sz w:val="23"/>
          <w:szCs w:val="23"/>
        </w:rPr>
        <w:lastRenderedPageBreak/>
        <w:t xml:space="preserve">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61261E24" w14:textId="77777777" w:rsidR="00B5503F" w:rsidRDefault="00B5503F"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EA74F" w14:textId="77777777" w:rsidR="001A35B1" w:rsidRDefault="001A35B1" w:rsidP="004C1443">
      <w:pPr>
        <w:spacing w:after="0" w:line="240" w:lineRule="auto"/>
      </w:pPr>
      <w:r>
        <w:separator/>
      </w:r>
    </w:p>
  </w:endnote>
  <w:endnote w:type="continuationSeparator" w:id="0">
    <w:p w14:paraId="6096A6C5" w14:textId="77777777" w:rsidR="001A35B1" w:rsidRDefault="001A35B1"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EC387A">
              <w:rPr>
                <w:b/>
                <w:bCs/>
                <w:noProof/>
              </w:rPr>
              <w:t>7</w:t>
            </w:r>
            <w:r>
              <w:rPr>
                <w:b/>
                <w:bCs/>
              </w:rPr>
              <w:fldChar w:fldCharType="end"/>
            </w:r>
            <w:r>
              <w:t xml:space="preserve"> de </w:t>
            </w:r>
            <w:r>
              <w:rPr>
                <w:b/>
                <w:bCs/>
              </w:rPr>
              <w:fldChar w:fldCharType="begin"/>
            </w:r>
            <w:r>
              <w:rPr>
                <w:b/>
                <w:bCs/>
              </w:rPr>
              <w:instrText>NUMPAGES</w:instrText>
            </w:r>
            <w:r>
              <w:rPr>
                <w:b/>
                <w:bCs/>
              </w:rPr>
              <w:fldChar w:fldCharType="separate"/>
            </w:r>
            <w:r w:rsidR="00EC387A">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2087" w14:textId="77777777" w:rsidR="001A35B1" w:rsidRDefault="001A35B1" w:rsidP="004C1443">
      <w:pPr>
        <w:spacing w:after="0" w:line="240" w:lineRule="auto"/>
      </w:pPr>
      <w:r>
        <w:separator/>
      </w:r>
    </w:p>
  </w:footnote>
  <w:footnote w:type="continuationSeparator" w:id="0">
    <w:p w14:paraId="494C434F" w14:textId="77777777" w:rsidR="001A35B1" w:rsidRDefault="001A35B1"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25679CA8"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797A78">
      <w:rPr>
        <w:rFonts w:ascii="Palatino Linotype" w:hAnsi="Palatino Linotype" w:cs="Arial"/>
        <w:b/>
        <w:bCs/>
        <w:sz w:val="22"/>
        <w:szCs w:val="22"/>
        <w:lang w:eastAsia="es-MX"/>
      </w:rPr>
      <w:t>1429</w:t>
    </w:r>
    <w:r w:rsidR="001348A8" w:rsidRPr="001348A8">
      <w:rPr>
        <w:rFonts w:ascii="Palatino Linotype" w:hAnsi="Palatino Linotype" w:cs="Arial"/>
        <w:b/>
        <w:bCs/>
        <w:sz w:val="22"/>
        <w:szCs w:val="22"/>
        <w:lang w:eastAsia="es-MX"/>
      </w:rPr>
      <w:t>/INFOEM/IP/RR/202</w:t>
    </w:r>
    <w:r w:rsidR="00203238">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C7CA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ED14B4"/>
    <w:multiLevelType w:val="multilevel"/>
    <w:tmpl w:val="01A67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5E7E6F"/>
    <w:multiLevelType w:val="multilevel"/>
    <w:tmpl w:val="641E2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B493D"/>
    <w:multiLevelType w:val="multilevel"/>
    <w:tmpl w:val="B6A6A8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173AE9"/>
    <w:multiLevelType w:val="multilevel"/>
    <w:tmpl w:val="5EECE1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6"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FB18CA"/>
    <w:multiLevelType w:val="multilevel"/>
    <w:tmpl w:val="6CD47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32150372">
    <w:abstractNumId w:val="21"/>
  </w:num>
  <w:num w:numId="2" w16cid:durableId="1721592241">
    <w:abstractNumId w:val="2"/>
  </w:num>
  <w:num w:numId="3" w16cid:durableId="495534090">
    <w:abstractNumId w:val="32"/>
  </w:num>
  <w:num w:numId="4" w16cid:durableId="912858063">
    <w:abstractNumId w:val="26"/>
  </w:num>
  <w:num w:numId="5" w16cid:durableId="1892570124">
    <w:abstractNumId w:val="30"/>
  </w:num>
  <w:num w:numId="6" w16cid:durableId="1507094329">
    <w:abstractNumId w:val="34"/>
  </w:num>
  <w:num w:numId="7" w16cid:durableId="1221674687">
    <w:abstractNumId w:val="15"/>
  </w:num>
  <w:num w:numId="8" w16cid:durableId="1199660085">
    <w:abstractNumId w:val="6"/>
  </w:num>
  <w:num w:numId="9" w16cid:durableId="1717318820">
    <w:abstractNumId w:val="17"/>
  </w:num>
  <w:num w:numId="10" w16cid:durableId="1377966412">
    <w:abstractNumId w:val="7"/>
  </w:num>
  <w:num w:numId="11" w16cid:durableId="1951737032">
    <w:abstractNumId w:val="40"/>
  </w:num>
  <w:num w:numId="12" w16cid:durableId="1269317662">
    <w:abstractNumId w:val="19"/>
  </w:num>
  <w:num w:numId="13" w16cid:durableId="1441753636">
    <w:abstractNumId w:val="11"/>
  </w:num>
  <w:num w:numId="14" w16cid:durableId="479855462">
    <w:abstractNumId w:val="39"/>
  </w:num>
  <w:num w:numId="15" w16cid:durableId="1198196499">
    <w:abstractNumId w:val="24"/>
  </w:num>
  <w:num w:numId="16" w16cid:durableId="1264262448">
    <w:abstractNumId w:val="16"/>
  </w:num>
  <w:num w:numId="17" w16cid:durableId="222839854">
    <w:abstractNumId w:val="20"/>
  </w:num>
  <w:num w:numId="18" w16cid:durableId="1590964015">
    <w:abstractNumId w:val="14"/>
  </w:num>
  <w:num w:numId="19" w16cid:durableId="620111367">
    <w:abstractNumId w:val="35"/>
  </w:num>
  <w:num w:numId="20" w16cid:durableId="857431684">
    <w:abstractNumId w:val="22"/>
  </w:num>
  <w:num w:numId="21" w16cid:durableId="1514953531">
    <w:abstractNumId w:val="10"/>
  </w:num>
  <w:num w:numId="22" w16cid:durableId="234242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350310">
    <w:abstractNumId w:val="0"/>
  </w:num>
  <w:num w:numId="24" w16cid:durableId="1087313320">
    <w:abstractNumId w:val="38"/>
  </w:num>
  <w:num w:numId="25" w16cid:durableId="2043628611">
    <w:abstractNumId w:val="31"/>
  </w:num>
  <w:num w:numId="26" w16cid:durableId="993605495">
    <w:abstractNumId w:val="27"/>
  </w:num>
  <w:num w:numId="27" w16cid:durableId="965427242">
    <w:abstractNumId w:val="28"/>
  </w:num>
  <w:num w:numId="28" w16cid:durableId="1890148805">
    <w:abstractNumId w:val="33"/>
  </w:num>
  <w:num w:numId="29" w16cid:durableId="1312442400">
    <w:abstractNumId w:val="23"/>
  </w:num>
  <w:num w:numId="30" w16cid:durableId="2030063046">
    <w:abstractNumId w:val="5"/>
  </w:num>
  <w:num w:numId="31" w16cid:durableId="158351093">
    <w:abstractNumId w:val="13"/>
  </w:num>
  <w:num w:numId="32" w16cid:durableId="426192333">
    <w:abstractNumId w:val="18"/>
  </w:num>
  <w:num w:numId="33" w16cid:durableId="575752010">
    <w:abstractNumId w:val="3"/>
  </w:num>
  <w:num w:numId="34" w16cid:durableId="1438137087">
    <w:abstractNumId w:val="36"/>
  </w:num>
  <w:num w:numId="35" w16cid:durableId="284240275">
    <w:abstractNumId w:val="8"/>
  </w:num>
  <w:num w:numId="36" w16cid:durableId="1436288117">
    <w:abstractNumId w:val="12"/>
  </w:num>
  <w:num w:numId="37" w16cid:durableId="2038920317">
    <w:abstractNumId w:val="9"/>
  </w:num>
  <w:num w:numId="38" w16cid:durableId="950744503">
    <w:abstractNumId w:val="37"/>
  </w:num>
  <w:num w:numId="39" w16cid:durableId="1206067815">
    <w:abstractNumId w:val="1"/>
  </w:num>
  <w:num w:numId="40" w16cid:durableId="2063286988">
    <w:abstractNumId w:val="29"/>
  </w:num>
  <w:num w:numId="41" w16cid:durableId="359669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6E92"/>
    <w:rsid w:val="00043B20"/>
    <w:rsid w:val="000613C2"/>
    <w:rsid w:val="0008434F"/>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35B1"/>
    <w:rsid w:val="001A72AA"/>
    <w:rsid w:val="001B3D19"/>
    <w:rsid w:val="001D5A48"/>
    <w:rsid w:val="001D6DF4"/>
    <w:rsid w:val="00203238"/>
    <w:rsid w:val="00211741"/>
    <w:rsid w:val="00225337"/>
    <w:rsid w:val="002351CE"/>
    <w:rsid w:val="002374B9"/>
    <w:rsid w:val="00240D8D"/>
    <w:rsid w:val="002502AC"/>
    <w:rsid w:val="00252976"/>
    <w:rsid w:val="00256512"/>
    <w:rsid w:val="002609F5"/>
    <w:rsid w:val="00264201"/>
    <w:rsid w:val="002660DA"/>
    <w:rsid w:val="00285A92"/>
    <w:rsid w:val="002A39CA"/>
    <w:rsid w:val="002C14F9"/>
    <w:rsid w:val="002F4C86"/>
    <w:rsid w:val="00302C71"/>
    <w:rsid w:val="00307916"/>
    <w:rsid w:val="0031079C"/>
    <w:rsid w:val="0032394B"/>
    <w:rsid w:val="003262E7"/>
    <w:rsid w:val="0032728C"/>
    <w:rsid w:val="00330955"/>
    <w:rsid w:val="00335851"/>
    <w:rsid w:val="00336332"/>
    <w:rsid w:val="00341093"/>
    <w:rsid w:val="003847F7"/>
    <w:rsid w:val="00384C8B"/>
    <w:rsid w:val="0039658D"/>
    <w:rsid w:val="00396F4A"/>
    <w:rsid w:val="003D76A7"/>
    <w:rsid w:val="003E06CE"/>
    <w:rsid w:val="003F0A64"/>
    <w:rsid w:val="003F52D7"/>
    <w:rsid w:val="00403FFD"/>
    <w:rsid w:val="004269DC"/>
    <w:rsid w:val="004307BD"/>
    <w:rsid w:val="00437D21"/>
    <w:rsid w:val="004402F7"/>
    <w:rsid w:val="004446DD"/>
    <w:rsid w:val="00446B00"/>
    <w:rsid w:val="00456F17"/>
    <w:rsid w:val="00463A29"/>
    <w:rsid w:val="00491A04"/>
    <w:rsid w:val="00494F48"/>
    <w:rsid w:val="004A11E3"/>
    <w:rsid w:val="004B585F"/>
    <w:rsid w:val="004C1443"/>
    <w:rsid w:val="004C5122"/>
    <w:rsid w:val="004D3A6E"/>
    <w:rsid w:val="004D5C09"/>
    <w:rsid w:val="004F0706"/>
    <w:rsid w:val="004F50E3"/>
    <w:rsid w:val="004F5AE8"/>
    <w:rsid w:val="005251CB"/>
    <w:rsid w:val="005269FC"/>
    <w:rsid w:val="00526C8E"/>
    <w:rsid w:val="00530131"/>
    <w:rsid w:val="00546280"/>
    <w:rsid w:val="005534B4"/>
    <w:rsid w:val="005733EB"/>
    <w:rsid w:val="0058084B"/>
    <w:rsid w:val="00591F8D"/>
    <w:rsid w:val="00592E63"/>
    <w:rsid w:val="005A0839"/>
    <w:rsid w:val="005D0EB7"/>
    <w:rsid w:val="005E2445"/>
    <w:rsid w:val="005E313C"/>
    <w:rsid w:val="005E760F"/>
    <w:rsid w:val="005F230F"/>
    <w:rsid w:val="006023F6"/>
    <w:rsid w:val="006069F7"/>
    <w:rsid w:val="00613A04"/>
    <w:rsid w:val="006275C6"/>
    <w:rsid w:val="006342FD"/>
    <w:rsid w:val="006437C8"/>
    <w:rsid w:val="00667D1F"/>
    <w:rsid w:val="00684268"/>
    <w:rsid w:val="006A51FD"/>
    <w:rsid w:val="006D3740"/>
    <w:rsid w:val="006D627E"/>
    <w:rsid w:val="006E0C0A"/>
    <w:rsid w:val="006E25F1"/>
    <w:rsid w:val="006E4C00"/>
    <w:rsid w:val="006E62A9"/>
    <w:rsid w:val="006F544E"/>
    <w:rsid w:val="006F7F79"/>
    <w:rsid w:val="00707558"/>
    <w:rsid w:val="0071133A"/>
    <w:rsid w:val="0071304D"/>
    <w:rsid w:val="007319C4"/>
    <w:rsid w:val="007518F5"/>
    <w:rsid w:val="007552BF"/>
    <w:rsid w:val="0077712D"/>
    <w:rsid w:val="00787CFE"/>
    <w:rsid w:val="00797A78"/>
    <w:rsid w:val="007B5209"/>
    <w:rsid w:val="007B733E"/>
    <w:rsid w:val="007C0DCC"/>
    <w:rsid w:val="007C4507"/>
    <w:rsid w:val="007D6ABD"/>
    <w:rsid w:val="008037AF"/>
    <w:rsid w:val="008178C6"/>
    <w:rsid w:val="00822E84"/>
    <w:rsid w:val="00844A2D"/>
    <w:rsid w:val="00846F0C"/>
    <w:rsid w:val="00847B09"/>
    <w:rsid w:val="00852785"/>
    <w:rsid w:val="00853DE2"/>
    <w:rsid w:val="008546EB"/>
    <w:rsid w:val="00860B45"/>
    <w:rsid w:val="00866E23"/>
    <w:rsid w:val="00875FA7"/>
    <w:rsid w:val="008768A7"/>
    <w:rsid w:val="008808E5"/>
    <w:rsid w:val="0088608D"/>
    <w:rsid w:val="008D6140"/>
    <w:rsid w:val="008E47B8"/>
    <w:rsid w:val="008F397D"/>
    <w:rsid w:val="008F6B22"/>
    <w:rsid w:val="00900682"/>
    <w:rsid w:val="0090697C"/>
    <w:rsid w:val="00911F00"/>
    <w:rsid w:val="00912132"/>
    <w:rsid w:val="00915E74"/>
    <w:rsid w:val="00924459"/>
    <w:rsid w:val="00950CD7"/>
    <w:rsid w:val="00963470"/>
    <w:rsid w:val="00967270"/>
    <w:rsid w:val="0099768F"/>
    <w:rsid w:val="009A12CB"/>
    <w:rsid w:val="009A72D3"/>
    <w:rsid w:val="009B0A29"/>
    <w:rsid w:val="009B46D0"/>
    <w:rsid w:val="009C0BE4"/>
    <w:rsid w:val="009C651B"/>
    <w:rsid w:val="009C6B96"/>
    <w:rsid w:val="009E6EF2"/>
    <w:rsid w:val="009F7F60"/>
    <w:rsid w:val="00A00229"/>
    <w:rsid w:val="00A10C19"/>
    <w:rsid w:val="00A16488"/>
    <w:rsid w:val="00A41FAD"/>
    <w:rsid w:val="00A430F5"/>
    <w:rsid w:val="00A635EC"/>
    <w:rsid w:val="00A85CFE"/>
    <w:rsid w:val="00A9353F"/>
    <w:rsid w:val="00A976BC"/>
    <w:rsid w:val="00AC1F7C"/>
    <w:rsid w:val="00AF71C1"/>
    <w:rsid w:val="00B17D41"/>
    <w:rsid w:val="00B3215E"/>
    <w:rsid w:val="00B40E2E"/>
    <w:rsid w:val="00B41E23"/>
    <w:rsid w:val="00B5503F"/>
    <w:rsid w:val="00B60BB7"/>
    <w:rsid w:val="00B6198B"/>
    <w:rsid w:val="00B71EFC"/>
    <w:rsid w:val="00B77C19"/>
    <w:rsid w:val="00B835E7"/>
    <w:rsid w:val="00B91483"/>
    <w:rsid w:val="00BA6D6F"/>
    <w:rsid w:val="00BB384F"/>
    <w:rsid w:val="00BB3DD7"/>
    <w:rsid w:val="00C32F97"/>
    <w:rsid w:val="00C3533D"/>
    <w:rsid w:val="00C42420"/>
    <w:rsid w:val="00C61583"/>
    <w:rsid w:val="00C65E0C"/>
    <w:rsid w:val="00C73D52"/>
    <w:rsid w:val="00C75FC8"/>
    <w:rsid w:val="00C96E88"/>
    <w:rsid w:val="00CE6B6A"/>
    <w:rsid w:val="00CF11A8"/>
    <w:rsid w:val="00D014A2"/>
    <w:rsid w:val="00D040F5"/>
    <w:rsid w:val="00D10329"/>
    <w:rsid w:val="00D23555"/>
    <w:rsid w:val="00D26D4E"/>
    <w:rsid w:val="00D4116A"/>
    <w:rsid w:val="00D50284"/>
    <w:rsid w:val="00D57282"/>
    <w:rsid w:val="00D64B45"/>
    <w:rsid w:val="00D675E4"/>
    <w:rsid w:val="00D875B1"/>
    <w:rsid w:val="00D953EF"/>
    <w:rsid w:val="00DA40F3"/>
    <w:rsid w:val="00DB0A5B"/>
    <w:rsid w:val="00DB6F26"/>
    <w:rsid w:val="00DC57C3"/>
    <w:rsid w:val="00DC5F78"/>
    <w:rsid w:val="00DD13E2"/>
    <w:rsid w:val="00DF0127"/>
    <w:rsid w:val="00E047E0"/>
    <w:rsid w:val="00E34CA6"/>
    <w:rsid w:val="00E4266D"/>
    <w:rsid w:val="00E47915"/>
    <w:rsid w:val="00E52718"/>
    <w:rsid w:val="00E554DC"/>
    <w:rsid w:val="00E60AF5"/>
    <w:rsid w:val="00E6367E"/>
    <w:rsid w:val="00E915D1"/>
    <w:rsid w:val="00E92686"/>
    <w:rsid w:val="00EA61C1"/>
    <w:rsid w:val="00EC387A"/>
    <w:rsid w:val="00EC70B3"/>
    <w:rsid w:val="00ED0FE3"/>
    <w:rsid w:val="00EE051D"/>
    <w:rsid w:val="00EE08E3"/>
    <w:rsid w:val="00F07361"/>
    <w:rsid w:val="00F133A3"/>
    <w:rsid w:val="00F148AD"/>
    <w:rsid w:val="00F20432"/>
    <w:rsid w:val="00F2106C"/>
    <w:rsid w:val="00F57C84"/>
    <w:rsid w:val="00F86EDD"/>
    <w:rsid w:val="00F94619"/>
    <w:rsid w:val="00FC282B"/>
    <w:rsid w:val="00FF10CB"/>
    <w:rsid w:val="00FF7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6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E8D7-4372-4007-9C2F-60D633EC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1510</Words>
  <Characters>8307</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4</cp:revision>
  <cp:lastPrinted>2025-04-07T16:50:00Z</cp:lastPrinted>
  <dcterms:created xsi:type="dcterms:W3CDTF">2025-04-06T03:07:00Z</dcterms:created>
  <dcterms:modified xsi:type="dcterms:W3CDTF">2025-04-07T16:50:00Z</dcterms:modified>
</cp:coreProperties>
</file>