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923A" w14:textId="77777777" w:rsidR="00CB2CD3" w:rsidRDefault="00CB2CD3" w:rsidP="0041405C">
      <w:pPr>
        <w:tabs>
          <w:tab w:val="left" w:pos="1843"/>
        </w:tabs>
        <w:spacing w:after="0" w:line="360" w:lineRule="auto"/>
        <w:jc w:val="both"/>
        <w:rPr>
          <w:rFonts w:ascii="Palatino Linotype" w:hAnsi="Palatino Linotype" w:cs="Tahoma"/>
          <w:b/>
        </w:rPr>
      </w:pPr>
    </w:p>
    <w:p w14:paraId="5BE1BB1F" w14:textId="77777777"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543EBE">
        <w:rPr>
          <w:rFonts w:ascii="Palatino Linotype" w:eastAsia="Palatino Linotype" w:hAnsi="Palatino Linotype" w:cs="Palatino Linotype"/>
          <w:b/>
        </w:rPr>
        <w:t>0070</w:t>
      </w:r>
      <w:r w:rsidR="00A459CB">
        <w:rPr>
          <w:rFonts w:ascii="Palatino Linotype" w:eastAsia="Palatino Linotype" w:hAnsi="Palatino Linotype" w:cs="Palatino Linotype"/>
          <w:b/>
        </w:rPr>
        <w:t>9</w:t>
      </w:r>
      <w:r w:rsidR="0053727E">
        <w:rPr>
          <w:rFonts w:ascii="Palatino Linotype" w:eastAsia="Palatino Linotype" w:hAnsi="Palatino Linotype" w:cs="Palatino Linotype"/>
          <w:b/>
        </w:rPr>
        <w:t>/INFOEM/IP/RR/202</w:t>
      </w:r>
      <w:r w:rsidR="00250242">
        <w:rPr>
          <w:rFonts w:ascii="Palatino Linotype" w:eastAsia="Palatino Linotype" w:hAnsi="Palatino Linotype" w:cs="Palatino Linotype"/>
          <w:b/>
        </w:rPr>
        <w:t>5</w:t>
      </w:r>
      <w:r w:rsidR="00CD78D3" w:rsidRPr="00CD78D3">
        <w:rPr>
          <w:rFonts w:ascii="Palatino Linotype" w:hAnsi="Palatino Linotype"/>
          <w:b/>
          <w:lang w:val="es-MX"/>
        </w:rPr>
        <w:t>,</w:t>
      </w:r>
      <w:r w:rsidR="00CD78D3" w:rsidRPr="00CD78D3">
        <w:rPr>
          <w:rFonts w:ascii="Palatino Linotype" w:hAnsi="Palatino Linotype" w:cs="Tahoma"/>
          <w:b/>
        </w:rPr>
        <w:t xml:space="preserve"> </w:t>
      </w:r>
      <w:r w:rsidR="00CD78D3">
        <w:rPr>
          <w:rFonts w:ascii="Palatino Linotype" w:hAnsi="Palatino Linotype" w:cs="Tahoma"/>
          <w:b/>
        </w:rPr>
        <w:t>PROMOVIDO EN CONTRA DE</w:t>
      </w:r>
      <w:r w:rsidR="00543EBE">
        <w:rPr>
          <w:rFonts w:ascii="Palatino Linotype" w:hAnsi="Palatino Linotype" w:cs="Tahoma"/>
          <w:b/>
        </w:rPr>
        <w:t xml:space="preserve"> </w:t>
      </w:r>
      <w:r w:rsidR="0065380A">
        <w:rPr>
          <w:rFonts w:ascii="Palatino Linotype" w:hAnsi="Palatino Linotype" w:cs="Tahoma"/>
          <w:b/>
        </w:rPr>
        <w:t>L</w:t>
      </w:r>
      <w:r w:rsidR="00543EBE">
        <w:rPr>
          <w:rFonts w:ascii="Palatino Linotype" w:hAnsi="Palatino Linotype" w:cs="Tahoma"/>
          <w:b/>
        </w:rPr>
        <w:t>A</w:t>
      </w:r>
      <w:r w:rsidR="00BE1DAF" w:rsidRPr="00CD78D3">
        <w:t xml:space="preserve"> </w:t>
      </w:r>
      <w:r w:rsidR="00543EBE" w:rsidRPr="00543EBE">
        <w:rPr>
          <w:rFonts w:ascii="Palatino Linotype" w:hAnsi="Palatino Linotype" w:cs="Tahoma"/>
          <w:b/>
        </w:rPr>
        <w:t>UNIDAD DE ASUNTOS INTERNOS</w:t>
      </w:r>
      <w:r w:rsidR="008809A8">
        <w:rPr>
          <w:rFonts w:ascii="Palatino Linotype" w:hAnsi="Palatino Linotype" w:cs="Tahoma"/>
          <w:b/>
        </w:rPr>
        <w:t>.</w:t>
      </w:r>
    </w:p>
    <w:p w14:paraId="7DD47E6F" w14:textId="77777777" w:rsidR="00CD78D3" w:rsidRPr="00274A5F" w:rsidRDefault="00CD78D3" w:rsidP="0041405C">
      <w:pPr>
        <w:tabs>
          <w:tab w:val="left" w:pos="1843"/>
        </w:tabs>
        <w:spacing w:after="0" w:line="360" w:lineRule="auto"/>
        <w:jc w:val="both"/>
        <w:rPr>
          <w:rFonts w:ascii="Palatino Linotype" w:hAnsi="Palatino Linotype" w:cs="Arial"/>
          <w:b/>
          <w:sz w:val="24"/>
          <w:szCs w:val="24"/>
        </w:rPr>
      </w:pPr>
    </w:p>
    <w:p w14:paraId="5C0350EC" w14:textId="3EBE8B3F"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543EBE">
        <w:rPr>
          <w:rFonts w:ascii="Palatino Linotype" w:eastAsia="Palatino Linotype" w:hAnsi="Palatino Linotype" w:cs="Palatino Linotype"/>
          <w:b/>
        </w:rPr>
        <w:t>0070</w:t>
      </w:r>
      <w:r w:rsidR="006907E2">
        <w:rPr>
          <w:rFonts w:ascii="Palatino Linotype" w:eastAsia="Palatino Linotype" w:hAnsi="Palatino Linotype" w:cs="Palatino Linotype"/>
          <w:b/>
        </w:rPr>
        <w:t>9</w:t>
      </w:r>
      <w:r w:rsidR="00543EBE">
        <w:rPr>
          <w:rFonts w:ascii="Palatino Linotype" w:eastAsia="Palatino Linotype" w:hAnsi="Palatino Linotype" w:cs="Palatino Linotype"/>
          <w:b/>
        </w:rPr>
        <w:t>/INFOEM/IP/RR/2025</w:t>
      </w:r>
      <w:r w:rsidRPr="00274A5F">
        <w:rPr>
          <w:rFonts w:ascii="Palatino Linotype" w:hAnsi="Palatino Linotype"/>
          <w:b/>
          <w:lang w:val="es-MX"/>
        </w:rPr>
        <w:t>.</w:t>
      </w:r>
    </w:p>
    <w:p w14:paraId="06445D75"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07C1FE51" w14:textId="77777777" w:rsidR="003D7AAF" w:rsidRDefault="00342FF8" w:rsidP="00853119">
      <w:pPr>
        <w:spacing w:after="0" w:line="360" w:lineRule="auto"/>
        <w:jc w:val="both"/>
        <w:rPr>
          <w:rFonts w:ascii="Palatino Linotype" w:hAnsi="Palatino Linotype" w:cs="Tahoma"/>
        </w:rPr>
      </w:pPr>
      <w:r w:rsidRPr="000C73AC">
        <w:rPr>
          <w:rFonts w:ascii="Palatino Linotype" w:hAnsi="Palatino Linotype" w:cs="Tahoma"/>
        </w:rPr>
        <w:t xml:space="preserve">Como se desprende de la Resolución en comento, </w:t>
      </w:r>
      <w:r w:rsidRPr="0042098C">
        <w:rPr>
          <w:rFonts w:ascii="Palatino Linotype" w:hAnsi="Palatino Linotype" w:cs="Tahoma"/>
        </w:rPr>
        <w:t>el Particular solicitó</w:t>
      </w:r>
      <w:r w:rsidR="00BE1DAF">
        <w:rPr>
          <w:rFonts w:ascii="Palatino Linotype" w:hAnsi="Palatino Linotype" w:cs="Tahoma"/>
        </w:rPr>
        <w:t xml:space="preserve"> </w:t>
      </w:r>
      <w:r w:rsidR="00853119">
        <w:rPr>
          <w:rFonts w:ascii="Palatino Linotype" w:hAnsi="Palatino Linotype" w:cs="Tahoma"/>
        </w:rPr>
        <w:t xml:space="preserve">información </w:t>
      </w:r>
      <w:r w:rsidR="00250242">
        <w:rPr>
          <w:rFonts w:ascii="Palatino Linotype" w:hAnsi="Palatino Linotype" w:cs="Tahoma"/>
        </w:rPr>
        <w:t>relacionada con</w:t>
      </w:r>
      <w:r w:rsidR="00543EBE">
        <w:rPr>
          <w:rFonts w:ascii="Palatino Linotype" w:hAnsi="Palatino Linotype" w:cs="Tahoma"/>
        </w:rPr>
        <w:t xml:space="preserve"> </w:t>
      </w:r>
      <w:r w:rsidR="00A459CB">
        <w:rPr>
          <w:rFonts w:ascii="Palatino Linotype" w:hAnsi="Palatino Linotype" w:cs="Tahoma"/>
        </w:rPr>
        <w:t xml:space="preserve">denuncias y quejas recibidas </w:t>
      </w:r>
      <w:r w:rsidR="00543EBE">
        <w:rPr>
          <w:rFonts w:ascii="Palatino Linotype" w:hAnsi="Palatino Linotype" w:cs="Tahoma"/>
        </w:rPr>
        <w:t>oficios de diferentes unidades administrativas</w:t>
      </w:r>
      <w:r w:rsidR="00853119">
        <w:rPr>
          <w:rFonts w:ascii="Palatino Linotype" w:hAnsi="Palatino Linotype" w:cs="Tahoma"/>
        </w:rPr>
        <w:t>,</w:t>
      </w:r>
      <w:r w:rsidR="00BE1DAF">
        <w:rPr>
          <w:rFonts w:ascii="Palatino Linotype" w:hAnsi="Palatino Linotype" w:cs="Tahoma"/>
        </w:rPr>
        <w:t xml:space="preserve"> </w:t>
      </w:r>
      <w:r w:rsidR="00A459CB">
        <w:rPr>
          <w:rFonts w:ascii="Palatino Linotype" w:hAnsi="Palatino Linotype" w:cs="Tahoma"/>
        </w:rPr>
        <w:t>r</w:t>
      </w:r>
      <w:r w:rsidR="001D2634">
        <w:rPr>
          <w:rFonts w:ascii="Palatino Linotype" w:hAnsi="Palatino Linotype" w:cs="Tahoma"/>
        </w:rPr>
        <w:t xml:space="preserve">azón por la cual </w:t>
      </w:r>
      <w:r w:rsidR="000D33A9">
        <w:rPr>
          <w:rFonts w:ascii="Palatino Linotype" w:hAnsi="Palatino Linotype" w:cs="Tahoma"/>
        </w:rPr>
        <w:t xml:space="preserve">en estudio </w:t>
      </w:r>
      <w:r w:rsidR="00871876">
        <w:rPr>
          <w:rFonts w:ascii="Palatino Linotype" w:hAnsi="Palatino Linotype" w:cs="Tahoma"/>
        </w:rPr>
        <w:t xml:space="preserve">se determinó </w:t>
      </w:r>
      <w:r w:rsidR="00BE1DAF">
        <w:rPr>
          <w:rFonts w:ascii="Palatino Linotype" w:hAnsi="Palatino Linotype" w:cs="Tahoma"/>
        </w:rPr>
        <w:t xml:space="preserve">que </w:t>
      </w:r>
      <w:r w:rsidR="00543EBE">
        <w:rPr>
          <w:rFonts w:ascii="Palatino Linotype" w:hAnsi="Palatino Linotype" w:cs="Tahoma"/>
        </w:rPr>
        <w:t xml:space="preserve">dentro de los documentos que se ordenan entregar </w:t>
      </w:r>
      <w:r w:rsidR="00853119">
        <w:rPr>
          <w:rFonts w:ascii="Palatino Linotype" w:hAnsi="Palatino Linotype" w:cs="Tahoma"/>
        </w:rPr>
        <w:t xml:space="preserve">podía </w:t>
      </w:r>
      <w:r w:rsidR="00543EBE">
        <w:rPr>
          <w:rFonts w:ascii="Palatino Linotype" w:hAnsi="Palatino Linotype" w:cs="Tahoma"/>
        </w:rPr>
        <w:t xml:space="preserve">haber información </w:t>
      </w:r>
      <w:r w:rsidR="000D33A9">
        <w:rPr>
          <w:rFonts w:ascii="Palatino Linotype" w:hAnsi="Palatino Linotype" w:cs="Tahoma"/>
        </w:rPr>
        <w:t>susceptible de ser clasificad</w:t>
      </w:r>
      <w:r w:rsidR="00543EBE">
        <w:rPr>
          <w:rFonts w:ascii="Palatino Linotype" w:hAnsi="Palatino Linotype" w:cs="Tahoma"/>
        </w:rPr>
        <w:t>a como reservada</w:t>
      </w:r>
      <w:r w:rsidR="00250242">
        <w:rPr>
          <w:rFonts w:ascii="Palatino Linotype" w:hAnsi="Palatino Linotype" w:cs="Tahoma"/>
        </w:rPr>
        <w:t xml:space="preserve">, </w:t>
      </w:r>
      <w:r w:rsidR="000D33A9">
        <w:rPr>
          <w:rFonts w:ascii="Palatino Linotype" w:hAnsi="Palatino Linotype" w:cs="Tahoma"/>
        </w:rPr>
        <w:t>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14:paraId="38460E5E" w14:textId="77777777" w:rsidR="003D7AAF" w:rsidRDefault="003D7AAF" w:rsidP="0042098C">
      <w:pPr>
        <w:spacing w:after="0" w:line="360" w:lineRule="auto"/>
        <w:jc w:val="both"/>
        <w:rPr>
          <w:rFonts w:ascii="Palatino Linotype" w:hAnsi="Palatino Linotype" w:cs="Tahoma"/>
        </w:rPr>
      </w:pPr>
    </w:p>
    <w:p w14:paraId="72A1F4AD"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w:t>
      </w:r>
      <w:r w:rsidRPr="00274A5F">
        <w:rPr>
          <w:rFonts w:ascii="Palatino Linotype" w:hAnsi="Palatino Linotype" w:cs="Tahoma"/>
        </w:rPr>
        <w:lastRenderedPageBreak/>
        <w:t>daño que permite a este Organismo Garante que realizar la entrega de la información causa un daño al interés público, que en ese caso particular supera el derecho de acceso a la información de un particular.</w:t>
      </w:r>
    </w:p>
    <w:p w14:paraId="4A348A75" w14:textId="77777777" w:rsidR="0041405C" w:rsidRPr="00274A5F" w:rsidRDefault="0041405C" w:rsidP="0041405C">
      <w:pPr>
        <w:spacing w:after="0" w:line="360" w:lineRule="auto"/>
        <w:jc w:val="both"/>
        <w:rPr>
          <w:rFonts w:ascii="Palatino Linotype" w:hAnsi="Palatino Linotype" w:cs="Tahoma"/>
        </w:rPr>
      </w:pPr>
    </w:p>
    <w:p w14:paraId="5CB07CD9"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79B28292" w14:textId="77777777" w:rsidR="0041405C" w:rsidRPr="00274A5F" w:rsidRDefault="0041405C" w:rsidP="0041405C">
      <w:pPr>
        <w:spacing w:after="0" w:line="360" w:lineRule="auto"/>
        <w:jc w:val="both"/>
        <w:rPr>
          <w:rFonts w:ascii="Palatino Linotype" w:hAnsi="Palatino Linotype" w:cs="Tahoma"/>
        </w:rPr>
      </w:pPr>
    </w:p>
    <w:p w14:paraId="504810E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77BD3D1D" w14:textId="77777777" w:rsidR="0041405C" w:rsidRPr="00274A5F" w:rsidRDefault="0041405C" w:rsidP="0041405C">
      <w:pPr>
        <w:spacing w:after="0" w:line="360" w:lineRule="auto"/>
        <w:jc w:val="both"/>
        <w:rPr>
          <w:rFonts w:ascii="Palatino Linotype" w:hAnsi="Palatino Linotype"/>
        </w:rPr>
      </w:pPr>
    </w:p>
    <w:p w14:paraId="31DE8184" w14:textId="77777777"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401B61B8" w14:textId="77777777" w:rsidR="009F3D6F" w:rsidRPr="00274A5F" w:rsidRDefault="009F3D6F" w:rsidP="0041405C">
      <w:pPr>
        <w:spacing w:after="0" w:line="360" w:lineRule="auto"/>
        <w:jc w:val="both"/>
        <w:rPr>
          <w:rFonts w:ascii="Palatino Linotype" w:hAnsi="Palatino Linotype" w:cs="Segoe UI"/>
        </w:rPr>
      </w:pPr>
    </w:p>
    <w:p w14:paraId="7580B59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w:t>
      </w:r>
      <w:r w:rsidRPr="00274A5F">
        <w:rPr>
          <w:rFonts w:ascii="Palatino Linotype" w:eastAsia="Calibri" w:hAnsi="Palatino Linotype" w:cs="Arial"/>
          <w:i/>
          <w:sz w:val="20"/>
          <w:szCs w:val="20"/>
        </w:rPr>
        <w:lastRenderedPageBreak/>
        <w:t>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65C37BAE"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176CBEF8"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w:t>
      </w:r>
      <w:r w:rsidRPr="00274A5F">
        <w:rPr>
          <w:rFonts w:ascii="Palatino Linotype" w:hAnsi="Palatino Linotype"/>
          <w:i/>
          <w:iCs/>
          <w:sz w:val="20"/>
          <w:szCs w:val="20"/>
          <w:lang w:eastAsia="es-MX"/>
        </w:rPr>
        <w:lastRenderedPageBreak/>
        <w:t>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E6F421" w14:textId="77777777" w:rsidR="0041405C" w:rsidRPr="00274A5F" w:rsidRDefault="0041405C" w:rsidP="0041405C">
      <w:pPr>
        <w:spacing w:after="0" w:line="360" w:lineRule="auto"/>
        <w:jc w:val="both"/>
        <w:rPr>
          <w:rFonts w:ascii="Palatino Linotype" w:hAnsi="Palatino Linotype" w:cs="Arial"/>
        </w:rPr>
      </w:pPr>
    </w:p>
    <w:p w14:paraId="54306D21"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60D76E57" w14:textId="77777777" w:rsidR="0041405C" w:rsidRPr="00274A5F" w:rsidRDefault="0041405C" w:rsidP="0041405C">
      <w:pPr>
        <w:spacing w:after="0" w:line="360" w:lineRule="auto"/>
        <w:jc w:val="both"/>
        <w:rPr>
          <w:rFonts w:ascii="Palatino Linotype" w:hAnsi="Palatino Linotype" w:cs="Tahoma"/>
        </w:rPr>
      </w:pPr>
    </w:p>
    <w:p w14:paraId="43B0FA43"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777DC370" w14:textId="77777777" w:rsidR="00CA6576" w:rsidRPr="00274A5F" w:rsidRDefault="00CA6576" w:rsidP="00CA6576">
      <w:pPr>
        <w:spacing w:after="0" w:line="360" w:lineRule="auto"/>
        <w:jc w:val="both"/>
        <w:rPr>
          <w:rFonts w:ascii="Palatino Linotype" w:hAnsi="Palatino Linotype" w:cs="Tahoma"/>
        </w:rPr>
      </w:pPr>
    </w:p>
    <w:p w14:paraId="2EBF9D7E"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0809C3B8" w14:textId="77777777" w:rsidR="00CA6576" w:rsidRPr="00274A5F" w:rsidRDefault="00CA6576" w:rsidP="00CA6576">
      <w:pPr>
        <w:spacing w:after="0" w:line="360" w:lineRule="auto"/>
        <w:jc w:val="both"/>
        <w:rPr>
          <w:rFonts w:ascii="Palatino Linotype" w:hAnsi="Palatino Linotype" w:cs="Tahoma"/>
        </w:rPr>
      </w:pPr>
    </w:p>
    <w:p w14:paraId="79A60E4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727DDE74" w14:textId="77777777" w:rsidR="00CA6576" w:rsidRPr="00274A5F" w:rsidRDefault="00CA6576" w:rsidP="00CA6576">
      <w:pPr>
        <w:spacing w:after="0" w:line="360" w:lineRule="auto"/>
        <w:jc w:val="both"/>
        <w:rPr>
          <w:rFonts w:ascii="Palatino Linotype" w:hAnsi="Palatino Linotype" w:cs="Tahoma"/>
        </w:rPr>
      </w:pPr>
    </w:p>
    <w:p w14:paraId="61CBF84E"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6901C564" w14:textId="77777777" w:rsidR="00CA6576" w:rsidRPr="00274A5F" w:rsidRDefault="00CA6576" w:rsidP="00CA6576">
      <w:pPr>
        <w:spacing w:after="0" w:line="360" w:lineRule="auto"/>
        <w:jc w:val="both"/>
        <w:rPr>
          <w:rFonts w:ascii="Palatino Linotype" w:hAnsi="Palatino Linotype" w:cs="Tahoma"/>
        </w:rPr>
      </w:pPr>
    </w:p>
    <w:p w14:paraId="03FE6D3E" w14:textId="77777777"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52B183D1" w14:textId="77777777" w:rsidR="00360768" w:rsidRPr="00274A5F" w:rsidRDefault="00360768" w:rsidP="00CA6576">
      <w:pPr>
        <w:spacing w:after="0" w:line="360" w:lineRule="auto"/>
        <w:jc w:val="both"/>
        <w:rPr>
          <w:rFonts w:ascii="Palatino Linotype" w:hAnsi="Palatino Linotype" w:cs="Tahoma"/>
        </w:rPr>
      </w:pPr>
    </w:p>
    <w:p w14:paraId="7F1ACDC7"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425537DD" w14:textId="77777777" w:rsidR="00CA6576" w:rsidRPr="00274A5F" w:rsidRDefault="00CA6576" w:rsidP="00CA6576">
      <w:pPr>
        <w:spacing w:after="0" w:line="360" w:lineRule="auto"/>
        <w:jc w:val="both"/>
        <w:rPr>
          <w:rFonts w:ascii="Palatino Linotype" w:hAnsi="Palatino Linotype" w:cs="Tahoma"/>
        </w:rPr>
      </w:pPr>
    </w:p>
    <w:p w14:paraId="5A4CFAC4"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563D171B" w14:textId="77777777" w:rsidR="00CA6576" w:rsidRPr="00274A5F" w:rsidRDefault="00CA6576" w:rsidP="00CA6576">
      <w:pPr>
        <w:spacing w:after="0" w:line="360" w:lineRule="auto"/>
        <w:jc w:val="both"/>
        <w:rPr>
          <w:rFonts w:ascii="Palatino Linotype" w:hAnsi="Palatino Linotype" w:cs="Tahoma"/>
        </w:rPr>
      </w:pPr>
    </w:p>
    <w:p w14:paraId="00AC41DA"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6B66EFE8"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670E7B76"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31A33DB4" w14:textId="77777777" w:rsidR="00CA6576" w:rsidRPr="00274A5F" w:rsidRDefault="00CA6576" w:rsidP="0041405C">
      <w:pPr>
        <w:spacing w:after="0" w:line="360" w:lineRule="auto"/>
        <w:jc w:val="both"/>
        <w:rPr>
          <w:rFonts w:ascii="Palatino Linotype" w:hAnsi="Palatino Linotype" w:cs="Tahoma"/>
        </w:rPr>
      </w:pPr>
    </w:p>
    <w:p w14:paraId="5E82E214" w14:textId="77777777"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14:paraId="5E28023D" w14:textId="77777777" w:rsidR="00274A5F" w:rsidRPr="00274A5F" w:rsidRDefault="00274A5F" w:rsidP="0041405C">
      <w:pPr>
        <w:spacing w:after="0" w:line="360" w:lineRule="auto"/>
        <w:jc w:val="both"/>
        <w:rPr>
          <w:rFonts w:ascii="Palatino Linotype" w:hAnsi="Palatino Linotype" w:cs="Tahoma"/>
        </w:rPr>
      </w:pPr>
    </w:p>
    <w:p w14:paraId="3FEACA5B"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2D61E9FD" w14:textId="77777777" w:rsidR="0041405C" w:rsidRPr="00274A5F" w:rsidRDefault="0041405C" w:rsidP="0041405C">
      <w:pPr>
        <w:spacing w:after="0" w:line="360" w:lineRule="auto"/>
        <w:jc w:val="both"/>
        <w:rPr>
          <w:rFonts w:ascii="Palatino Linotype" w:hAnsi="Palatino Linotype" w:cs="Tahoma"/>
        </w:rPr>
      </w:pPr>
    </w:p>
    <w:p w14:paraId="205A5C17"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458B9547" w14:textId="77777777" w:rsidR="00F529A2" w:rsidRDefault="00F529A2" w:rsidP="0041405C">
      <w:pPr>
        <w:spacing w:after="0" w:line="360" w:lineRule="auto"/>
        <w:jc w:val="both"/>
        <w:rPr>
          <w:rFonts w:ascii="Palatino Linotype" w:hAnsi="Palatino Linotype" w:cs="Tahoma"/>
        </w:rPr>
      </w:pPr>
    </w:p>
    <w:p w14:paraId="16EAA41B"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w:t>
      </w:r>
      <w:r w:rsidRPr="00274A5F">
        <w:rPr>
          <w:rFonts w:ascii="Palatino Linotype" w:hAnsi="Palatino Linotype" w:cs="Tahoma"/>
        </w:rPr>
        <w:lastRenderedPageBreak/>
        <w:t>nuestro país, de lo contrario se corre el riesgo de que el Sujeto Obligado realice una clasificación incorrecta de la información.</w:t>
      </w:r>
    </w:p>
    <w:p w14:paraId="42A65515" w14:textId="77777777" w:rsidR="0041405C" w:rsidRPr="00274A5F" w:rsidRDefault="0041405C" w:rsidP="0041405C">
      <w:pPr>
        <w:spacing w:after="0" w:line="360" w:lineRule="auto"/>
        <w:jc w:val="both"/>
        <w:rPr>
          <w:rFonts w:ascii="Palatino Linotype" w:hAnsi="Palatino Linotype" w:cs="Tahoma"/>
        </w:rPr>
      </w:pPr>
    </w:p>
    <w:p w14:paraId="021AE61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5CF9C391" w14:textId="77777777" w:rsidR="0041405C" w:rsidRPr="00274A5F" w:rsidRDefault="0041405C" w:rsidP="0041405C">
      <w:pPr>
        <w:spacing w:after="0" w:line="360" w:lineRule="auto"/>
        <w:jc w:val="both"/>
        <w:rPr>
          <w:rFonts w:ascii="Palatino Linotype" w:hAnsi="Palatino Linotype" w:cs="Tahoma"/>
        </w:rPr>
      </w:pPr>
    </w:p>
    <w:p w14:paraId="74D068E4"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7A54F427" w14:textId="77777777" w:rsidR="0041405C" w:rsidRPr="00274A5F" w:rsidRDefault="0041405C" w:rsidP="0041405C">
      <w:pPr>
        <w:spacing w:after="0" w:line="360" w:lineRule="auto"/>
        <w:jc w:val="both"/>
        <w:rPr>
          <w:rFonts w:ascii="Palatino Linotype" w:hAnsi="Palatino Linotype" w:cs="Tahoma"/>
        </w:rPr>
      </w:pPr>
    </w:p>
    <w:p w14:paraId="282769CA"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0B123A56" w14:textId="77777777" w:rsidR="0041405C" w:rsidRDefault="0041405C" w:rsidP="0041405C">
      <w:pPr>
        <w:spacing w:after="0" w:line="360" w:lineRule="auto"/>
        <w:jc w:val="both"/>
        <w:rPr>
          <w:rFonts w:ascii="Palatino Linotype" w:hAnsi="Palatino Linotype" w:cs="Tahoma"/>
        </w:rPr>
      </w:pPr>
    </w:p>
    <w:p w14:paraId="5554A173" w14:textId="77777777" w:rsidR="0041405C" w:rsidRDefault="0041405C" w:rsidP="0041405C">
      <w:pPr>
        <w:spacing w:after="0" w:line="360" w:lineRule="auto"/>
        <w:jc w:val="both"/>
        <w:rPr>
          <w:rFonts w:ascii="Palatino Linotype" w:hAnsi="Palatino Linotype" w:cs="Tahoma"/>
        </w:rPr>
      </w:pPr>
    </w:p>
    <w:p w14:paraId="2AC29910" w14:textId="77777777" w:rsidR="0041405C" w:rsidRDefault="0041405C" w:rsidP="0041405C">
      <w:pPr>
        <w:spacing w:after="0" w:line="360" w:lineRule="auto"/>
        <w:jc w:val="both"/>
        <w:rPr>
          <w:rFonts w:ascii="Palatino Linotype" w:hAnsi="Palatino Linotype" w:cs="Tahoma"/>
        </w:rPr>
      </w:pPr>
    </w:p>
    <w:p w14:paraId="0676BDF4" w14:textId="77777777" w:rsidR="0041405C" w:rsidRDefault="0041405C" w:rsidP="0041405C">
      <w:pPr>
        <w:spacing w:after="0" w:line="360" w:lineRule="auto"/>
        <w:jc w:val="both"/>
        <w:rPr>
          <w:rFonts w:ascii="Palatino Linotype" w:hAnsi="Palatino Linotype" w:cs="Tahoma"/>
        </w:rPr>
      </w:pPr>
    </w:p>
    <w:p w14:paraId="1461E387" w14:textId="77777777" w:rsidR="00AC25F5" w:rsidRDefault="00AC25F5" w:rsidP="0026564C">
      <w:pPr>
        <w:rPr>
          <w:rFonts w:ascii="Palatino Linotype" w:hAnsi="Palatino Linotype" w:cs="Tahoma"/>
        </w:rPr>
      </w:pPr>
    </w:p>
    <w:p w14:paraId="0A627A21" w14:textId="77777777" w:rsidR="00AC25F5" w:rsidRDefault="00AC25F5" w:rsidP="0041405C">
      <w:pPr>
        <w:spacing w:after="0" w:line="360" w:lineRule="auto"/>
        <w:jc w:val="both"/>
        <w:rPr>
          <w:rFonts w:ascii="Palatino Linotype" w:hAnsi="Palatino Linotype" w:cs="Tahoma"/>
        </w:rPr>
      </w:pPr>
    </w:p>
    <w:p w14:paraId="7EF3ED6C" w14:textId="77777777" w:rsidR="00AC25F5" w:rsidRDefault="00AC25F5" w:rsidP="0041405C">
      <w:pPr>
        <w:spacing w:after="0" w:line="360" w:lineRule="auto"/>
        <w:jc w:val="both"/>
        <w:rPr>
          <w:rFonts w:ascii="Palatino Linotype" w:hAnsi="Palatino Linotype" w:cs="Tahoma"/>
        </w:rPr>
      </w:pPr>
    </w:p>
    <w:p w14:paraId="6EE8333B" w14:textId="77777777" w:rsidR="00AC25F5" w:rsidRDefault="00AC25F5" w:rsidP="0041405C">
      <w:pPr>
        <w:spacing w:after="0" w:line="360" w:lineRule="auto"/>
        <w:jc w:val="both"/>
        <w:rPr>
          <w:rFonts w:ascii="Palatino Linotype" w:hAnsi="Palatino Linotype" w:cs="Tahoma"/>
        </w:rPr>
      </w:pPr>
    </w:p>
    <w:p w14:paraId="5D0246F5" w14:textId="77777777" w:rsidR="00AC25F5" w:rsidRDefault="00AC25F5" w:rsidP="0041405C">
      <w:pPr>
        <w:spacing w:after="0" w:line="360" w:lineRule="auto"/>
        <w:jc w:val="both"/>
        <w:rPr>
          <w:rFonts w:ascii="Palatino Linotype" w:hAnsi="Palatino Linotype" w:cs="Tahoma"/>
        </w:rPr>
      </w:pPr>
    </w:p>
    <w:p w14:paraId="3B690DD4" w14:textId="77777777" w:rsidR="00AC25F5" w:rsidRDefault="00AC25F5" w:rsidP="0041405C">
      <w:pPr>
        <w:spacing w:after="0" w:line="360" w:lineRule="auto"/>
        <w:jc w:val="both"/>
        <w:rPr>
          <w:rFonts w:ascii="Palatino Linotype" w:hAnsi="Palatino Linotype" w:cs="Tahoma"/>
        </w:rPr>
      </w:pPr>
    </w:p>
    <w:p w14:paraId="48445C46" w14:textId="77777777" w:rsidR="00AC25F5" w:rsidRDefault="00AC25F5" w:rsidP="0041405C">
      <w:pPr>
        <w:spacing w:after="0" w:line="360" w:lineRule="auto"/>
        <w:jc w:val="both"/>
        <w:rPr>
          <w:rFonts w:ascii="Palatino Linotype" w:hAnsi="Palatino Linotype" w:cs="Tahoma"/>
        </w:rPr>
      </w:pPr>
    </w:p>
    <w:p w14:paraId="0194D69B" w14:textId="77777777" w:rsidR="00AC25F5" w:rsidRDefault="00AC25F5" w:rsidP="0041405C">
      <w:pPr>
        <w:spacing w:after="0" w:line="360" w:lineRule="auto"/>
        <w:jc w:val="both"/>
        <w:rPr>
          <w:rFonts w:ascii="Palatino Linotype" w:hAnsi="Palatino Linotype" w:cs="Tahoma"/>
        </w:rPr>
      </w:pPr>
    </w:p>
    <w:p w14:paraId="45F99E5F" w14:textId="77777777" w:rsidR="00AC25F5" w:rsidRDefault="00AC25F5" w:rsidP="0041405C">
      <w:pPr>
        <w:spacing w:after="0" w:line="360" w:lineRule="auto"/>
        <w:jc w:val="both"/>
        <w:rPr>
          <w:rFonts w:ascii="Palatino Linotype" w:hAnsi="Palatino Linotype" w:cs="Tahoma"/>
        </w:rPr>
      </w:pPr>
    </w:p>
    <w:p w14:paraId="143D86D8" w14:textId="77777777" w:rsidR="0041405C" w:rsidRDefault="0041405C" w:rsidP="0041405C">
      <w:pPr>
        <w:spacing w:after="0" w:line="360" w:lineRule="auto"/>
        <w:jc w:val="both"/>
        <w:rPr>
          <w:rFonts w:ascii="Palatino Linotype" w:hAnsi="Palatino Linotype" w:cs="Tahoma"/>
        </w:rPr>
      </w:pPr>
    </w:p>
    <w:p w14:paraId="176AD3BA" w14:textId="77777777" w:rsidR="0041405C" w:rsidRDefault="0041405C" w:rsidP="0041405C">
      <w:pPr>
        <w:spacing w:after="0" w:line="360" w:lineRule="auto"/>
        <w:jc w:val="both"/>
        <w:rPr>
          <w:rFonts w:ascii="Palatino Linotype" w:hAnsi="Palatino Linotype" w:cs="Tahoma"/>
        </w:rPr>
      </w:pPr>
    </w:p>
    <w:p w14:paraId="78495671" w14:textId="77777777" w:rsidR="0041405C" w:rsidRDefault="0041405C" w:rsidP="0041405C">
      <w:pPr>
        <w:spacing w:after="0" w:line="360" w:lineRule="auto"/>
        <w:jc w:val="both"/>
        <w:rPr>
          <w:rFonts w:ascii="Palatino Linotype" w:hAnsi="Palatino Linotype" w:cs="Tahoma"/>
        </w:rPr>
      </w:pPr>
    </w:p>
    <w:p w14:paraId="30861F05" w14:textId="77777777" w:rsidR="0041405C" w:rsidRDefault="0041405C" w:rsidP="0041405C">
      <w:pPr>
        <w:spacing w:after="0" w:line="360" w:lineRule="auto"/>
        <w:jc w:val="both"/>
        <w:rPr>
          <w:rFonts w:ascii="Palatino Linotype" w:hAnsi="Palatino Linotype" w:cs="Tahoma"/>
        </w:rPr>
      </w:pPr>
    </w:p>
    <w:p w14:paraId="2460C0EF" w14:textId="77777777" w:rsidR="0041405C" w:rsidRDefault="0041405C" w:rsidP="0041405C">
      <w:pPr>
        <w:spacing w:after="0" w:line="360" w:lineRule="auto"/>
        <w:jc w:val="both"/>
        <w:rPr>
          <w:rFonts w:ascii="Palatino Linotype" w:hAnsi="Palatino Linotype" w:cs="Tahoma"/>
        </w:rPr>
      </w:pPr>
    </w:p>
    <w:p w14:paraId="2ED65A8E" w14:textId="77777777" w:rsidR="00F85028" w:rsidRDefault="00F85028" w:rsidP="0041405C">
      <w:pPr>
        <w:spacing w:after="0" w:line="360" w:lineRule="auto"/>
        <w:jc w:val="both"/>
        <w:rPr>
          <w:rFonts w:ascii="Palatino Linotype" w:hAnsi="Palatino Linotype" w:cs="Tahoma"/>
        </w:rPr>
      </w:pPr>
    </w:p>
    <w:p w14:paraId="705CC93B" w14:textId="77777777" w:rsidR="00F85028" w:rsidRDefault="00F85028" w:rsidP="0041405C">
      <w:pPr>
        <w:spacing w:after="0" w:line="360" w:lineRule="auto"/>
        <w:jc w:val="both"/>
        <w:rPr>
          <w:rFonts w:ascii="Palatino Linotype" w:hAnsi="Palatino Linotype" w:cs="Tahoma"/>
        </w:rPr>
      </w:pPr>
    </w:p>
    <w:p w14:paraId="32A0DFDC" w14:textId="77777777" w:rsidR="00F85028" w:rsidRDefault="00F85028" w:rsidP="0041405C">
      <w:pPr>
        <w:spacing w:after="0" w:line="360" w:lineRule="auto"/>
        <w:jc w:val="both"/>
        <w:rPr>
          <w:rFonts w:ascii="Palatino Linotype" w:hAnsi="Palatino Linotype" w:cs="Tahoma"/>
        </w:rPr>
      </w:pPr>
    </w:p>
    <w:p w14:paraId="60B8C579" w14:textId="77777777" w:rsidR="00F85028" w:rsidRDefault="00F85028" w:rsidP="0041405C">
      <w:pPr>
        <w:spacing w:after="0" w:line="360" w:lineRule="auto"/>
        <w:jc w:val="both"/>
        <w:rPr>
          <w:rFonts w:ascii="Palatino Linotype" w:hAnsi="Palatino Linotype" w:cs="Tahoma"/>
        </w:rPr>
      </w:pPr>
    </w:p>
    <w:p w14:paraId="2B7CA8E5" w14:textId="77777777"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6A5BE" w14:textId="77777777" w:rsidR="005B0938" w:rsidRDefault="005B0938" w:rsidP="0041405C">
      <w:pPr>
        <w:spacing w:after="0" w:line="240" w:lineRule="auto"/>
      </w:pPr>
      <w:r>
        <w:separator/>
      </w:r>
    </w:p>
  </w:endnote>
  <w:endnote w:type="continuationSeparator" w:id="0">
    <w:p w14:paraId="629C81FC" w14:textId="77777777" w:rsidR="005B0938" w:rsidRDefault="005B0938"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665A099A"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459CB">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459CB">
              <w:rPr>
                <w:b/>
                <w:bCs/>
                <w:noProof/>
              </w:rPr>
              <w:t>9</w:t>
            </w:r>
            <w:r>
              <w:rPr>
                <w:b/>
                <w:bCs/>
                <w:sz w:val="24"/>
                <w:szCs w:val="24"/>
              </w:rPr>
              <w:fldChar w:fldCharType="end"/>
            </w:r>
          </w:p>
        </w:sdtContent>
      </w:sdt>
    </w:sdtContent>
  </w:sdt>
  <w:p w14:paraId="272F496A"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FC4C" w14:textId="77777777" w:rsidR="005B0938" w:rsidRDefault="005B0938" w:rsidP="0041405C">
      <w:pPr>
        <w:spacing w:after="0" w:line="240" w:lineRule="auto"/>
      </w:pPr>
      <w:r>
        <w:separator/>
      </w:r>
    </w:p>
  </w:footnote>
  <w:footnote w:type="continuationSeparator" w:id="0">
    <w:p w14:paraId="30B691FD" w14:textId="77777777" w:rsidR="005B0938" w:rsidRDefault="005B0938"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14:paraId="7639F668" w14:textId="77777777" w:rsidTr="00BE1DAF">
      <w:trPr>
        <w:trHeight w:val="2127"/>
      </w:trPr>
      <w:tc>
        <w:tcPr>
          <w:tcW w:w="2977" w:type="dxa"/>
          <w:vAlign w:val="bottom"/>
        </w:tcPr>
        <w:p w14:paraId="093112E0"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2577DEC3" wp14:editId="02A9B53C">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AADDBE4" w14:textId="77777777" w:rsidR="00DF0541" w:rsidRDefault="00DF0541" w:rsidP="0077694E">
          <w:pPr>
            <w:pStyle w:val="Encabezado"/>
            <w:tabs>
              <w:tab w:val="clear" w:pos="4252"/>
              <w:tab w:val="center" w:pos="2614"/>
            </w:tabs>
          </w:pPr>
        </w:p>
      </w:tc>
      <w:tc>
        <w:tcPr>
          <w:tcW w:w="6096" w:type="dxa"/>
          <w:vAlign w:val="center"/>
        </w:tcPr>
        <w:p w14:paraId="3AD97C5D"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484E103" w14:textId="77777777" w:rsidR="00DF0541" w:rsidRPr="009D3D2C" w:rsidRDefault="002566C8" w:rsidP="00BE1DAF">
          <w:pPr>
            <w:pStyle w:val="Encabezado"/>
            <w:ind w:right="176"/>
            <w:jc w:val="both"/>
            <w:rPr>
              <w:rFonts w:ascii="Palatino Linotype" w:eastAsia="Palatino Linotype" w:hAnsi="Palatino Linotype" w:cs="Palatino Linotype"/>
              <w:bCs/>
            </w:rPr>
          </w:pPr>
          <w:r w:rsidRPr="0041405C">
            <w:rPr>
              <w:rFonts w:ascii="Palatino Linotype" w:hAnsi="Palatino Linotype" w:cs="Tahoma"/>
              <w:b/>
            </w:rPr>
            <w:t xml:space="preserve">Recurso de Revisión: </w:t>
          </w:r>
          <w:r w:rsidR="00543EBE">
            <w:rPr>
              <w:rFonts w:ascii="Palatino Linotype" w:eastAsia="Palatino Linotype" w:hAnsi="Palatino Linotype" w:cs="Palatino Linotype"/>
              <w:sz w:val="24"/>
              <w:szCs w:val="24"/>
            </w:rPr>
            <w:t>0070</w:t>
          </w:r>
          <w:r w:rsidR="00A459CB">
            <w:rPr>
              <w:rFonts w:ascii="Palatino Linotype" w:eastAsia="Palatino Linotype" w:hAnsi="Palatino Linotype" w:cs="Palatino Linotype"/>
              <w:sz w:val="24"/>
              <w:szCs w:val="24"/>
            </w:rPr>
            <w:t>9</w:t>
          </w:r>
          <w:r w:rsidR="000D33A9">
            <w:rPr>
              <w:rFonts w:ascii="Palatino Linotype" w:eastAsia="Palatino Linotype" w:hAnsi="Palatino Linotype" w:cs="Palatino Linotype"/>
              <w:sz w:val="24"/>
              <w:szCs w:val="24"/>
            </w:rPr>
            <w:t>/INFOEM/IP/RR/202</w:t>
          </w:r>
          <w:r w:rsidR="00250242">
            <w:rPr>
              <w:rFonts w:ascii="Palatino Linotype" w:eastAsia="Palatino Linotype" w:hAnsi="Palatino Linotype" w:cs="Palatino Linotype"/>
              <w:sz w:val="24"/>
              <w:szCs w:val="24"/>
            </w:rPr>
            <w:t xml:space="preserve">5 </w:t>
          </w:r>
        </w:p>
        <w:p w14:paraId="38B91924" w14:textId="77777777" w:rsidR="003B352F" w:rsidRDefault="00110304" w:rsidP="00F75AEE">
          <w:pPr>
            <w:pStyle w:val="Encabezado"/>
            <w:jc w:val="both"/>
            <w:rPr>
              <w:rFonts w:ascii="Palatino Linotype" w:eastAsia="Palatino Linotype" w:hAnsi="Palatino Linotype" w:cs="Palatino Linotype"/>
            </w:rPr>
          </w:pPr>
          <w:r w:rsidRPr="001C5BFE">
            <w:rPr>
              <w:rFonts w:ascii="Palatino Linotype" w:hAnsi="Palatino Linotype" w:cs="Tahoma"/>
              <w:b/>
            </w:rPr>
            <w:t>Sujeto Obligado</w:t>
          </w:r>
          <w:r>
            <w:rPr>
              <w:rFonts w:ascii="Palatino Linotype" w:hAnsi="Palatino Linotype" w:cs="Tahoma"/>
              <w:b/>
            </w:rPr>
            <w:t xml:space="preserve">: </w:t>
          </w:r>
          <w:r w:rsidR="00543EBE" w:rsidRPr="00543EBE">
            <w:rPr>
              <w:rFonts w:ascii="Palatino Linotype" w:eastAsia="Palatino Linotype" w:hAnsi="Palatino Linotype" w:cs="Palatino Linotype"/>
            </w:rPr>
            <w:t>Unidad de Asuntos Internos</w:t>
          </w:r>
        </w:p>
        <w:p w14:paraId="300646E2" w14:textId="77777777" w:rsidR="00DF0541" w:rsidRDefault="002566C8" w:rsidP="0065380A">
          <w:pPr>
            <w:pStyle w:val="Encabezado"/>
            <w:jc w:val="both"/>
            <w:rPr>
              <w:rFonts w:ascii="Palatino Linotype" w:eastAsia="Palatino Linotype" w:hAnsi="Palatino Linotype" w:cs="Palatino Linotype"/>
              <w:sz w:val="24"/>
              <w:szCs w:val="24"/>
            </w:rPr>
          </w:pPr>
          <w:r w:rsidRPr="0041405C">
            <w:rPr>
              <w:rFonts w:ascii="Palatino Linotype" w:hAnsi="Palatino Linotype" w:cs="Tahoma"/>
              <w:b/>
            </w:rPr>
            <w:t xml:space="preserve">Comisionada Ponente: </w:t>
          </w:r>
          <w:r w:rsidR="00A459CB" w:rsidRPr="00A459CB">
            <w:rPr>
              <w:rFonts w:ascii="Palatino Linotype" w:eastAsia="Palatino Linotype" w:hAnsi="Palatino Linotype" w:cs="Palatino Linotype"/>
              <w:sz w:val="24"/>
              <w:szCs w:val="24"/>
            </w:rPr>
            <w:t>Guadalupe Ramírez Peña</w:t>
          </w:r>
        </w:p>
        <w:p w14:paraId="7BDA068B" w14:textId="77777777" w:rsidR="001A202A" w:rsidRPr="001106EA" w:rsidRDefault="001A202A" w:rsidP="0065380A">
          <w:pPr>
            <w:pStyle w:val="Encabezado"/>
            <w:jc w:val="both"/>
            <w:rPr>
              <w:rFonts w:ascii="Tahoma" w:hAnsi="Tahoma" w:cs="Tahoma"/>
            </w:rPr>
          </w:pPr>
        </w:p>
      </w:tc>
    </w:tr>
  </w:tbl>
  <w:p w14:paraId="28AEF3FC"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14260059">
    <w:abstractNumId w:val="0"/>
  </w:num>
  <w:num w:numId="2" w16cid:durableId="188548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214DD"/>
    <w:rsid w:val="00033548"/>
    <w:rsid w:val="00042579"/>
    <w:rsid w:val="000D33A9"/>
    <w:rsid w:val="000E1B29"/>
    <w:rsid w:val="000E1F2C"/>
    <w:rsid w:val="000F2F2E"/>
    <w:rsid w:val="00110304"/>
    <w:rsid w:val="001349E4"/>
    <w:rsid w:val="001A202A"/>
    <w:rsid w:val="001C769E"/>
    <w:rsid w:val="001D2634"/>
    <w:rsid w:val="001E22A9"/>
    <w:rsid w:val="001F0B3C"/>
    <w:rsid w:val="00210CF4"/>
    <w:rsid w:val="002166E2"/>
    <w:rsid w:val="002201E9"/>
    <w:rsid w:val="00220ECF"/>
    <w:rsid w:val="00236160"/>
    <w:rsid w:val="00237BB0"/>
    <w:rsid w:val="00250242"/>
    <w:rsid w:val="002566C8"/>
    <w:rsid w:val="00264675"/>
    <w:rsid w:val="0026564C"/>
    <w:rsid w:val="00274A5F"/>
    <w:rsid w:val="002B3BC8"/>
    <w:rsid w:val="0033549B"/>
    <w:rsid w:val="00342FF8"/>
    <w:rsid w:val="00360768"/>
    <w:rsid w:val="00374FF0"/>
    <w:rsid w:val="003B352F"/>
    <w:rsid w:val="003B4769"/>
    <w:rsid w:val="003B660A"/>
    <w:rsid w:val="003D7AAF"/>
    <w:rsid w:val="003E250F"/>
    <w:rsid w:val="003F694A"/>
    <w:rsid w:val="0041405C"/>
    <w:rsid w:val="0042098C"/>
    <w:rsid w:val="00420AB0"/>
    <w:rsid w:val="004439C9"/>
    <w:rsid w:val="0045228C"/>
    <w:rsid w:val="0047607A"/>
    <w:rsid w:val="0048251D"/>
    <w:rsid w:val="004A513E"/>
    <w:rsid w:val="004C6FE9"/>
    <w:rsid w:val="004D6DB6"/>
    <w:rsid w:val="0053727E"/>
    <w:rsid w:val="00543EBE"/>
    <w:rsid w:val="0056408B"/>
    <w:rsid w:val="00564DB2"/>
    <w:rsid w:val="00571C9B"/>
    <w:rsid w:val="0059487C"/>
    <w:rsid w:val="005A354E"/>
    <w:rsid w:val="005A4203"/>
    <w:rsid w:val="005B0938"/>
    <w:rsid w:val="0065380A"/>
    <w:rsid w:val="00666365"/>
    <w:rsid w:val="00680525"/>
    <w:rsid w:val="00681272"/>
    <w:rsid w:val="006907E2"/>
    <w:rsid w:val="00693724"/>
    <w:rsid w:val="006A375C"/>
    <w:rsid w:val="006B6D5D"/>
    <w:rsid w:val="006C1BA7"/>
    <w:rsid w:val="006D6483"/>
    <w:rsid w:val="007437ED"/>
    <w:rsid w:val="00747C80"/>
    <w:rsid w:val="00766031"/>
    <w:rsid w:val="00787DEA"/>
    <w:rsid w:val="007A202B"/>
    <w:rsid w:val="007A5FBB"/>
    <w:rsid w:val="007C6012"/>
    <w:rsid w:val="007E2ABD"/>
    <w:rsid w:val="007F79DD"/>
    <w:rsid w:val="00853119"/>
    <w:rsid w:val="008560A8"/>
    <w:rsid w:val="0086041A"/>
    <w:rsid w:val="00871876"/>
    <w:rsid w:val="00874E5E"/>
    <w:rsid w:val="008809A8"/>
    <w:rsid w:val="0088578F"/>
    <w:rsid w:val="008E5AAA"/>
    <w:rsid w:val="008F075B"/>
    <w:rsid w:val="008F1DDE"/>
    <w:rsid w:val="0091154E"/>
    <w:rsid w:val="00911B7D"/>
    <w:rsid w:val="00925C8F"/>
    <w:rsid w:val="00936D30"/>
    <w:rsid w:val="009514B0"/>
    <w:rsid w:val="009D3D2C"/>
    <w:rsid w:val="009F3D6F"/>
    <w:rsid w:val="009F5D89"/>
    <w:rsid w:val="00A01350"/>
    <w:rsid w:val="00A246C8"/>
    <w:rsid w:val="00A273FA"/>
    <w:rsid w:val="00A459CB"/>
    <w:rsid w:val="00A7105B"/>
    <w:rsid w:val="00A82EE0"/>
    <w:rsid w:val="00AC25F5"/>
    <w:rsid w:val="00B4771D"/>
    <w:rsid w:val="00B504EE"/>
    <w:rsid w:val="00B54E64"/>
    <w:rsid w:val="00B56C9B"/>
    <w:rsid w:val="00B81570"/>
    <w:rsid w:val="00B87D3A"/>
    <w:rsid w:val="00B96E5A"/>
    <w:rsid w:val="00B97EDC"/>
    <w:rsid w:val="00BB6C99"/>
    <w:rsid w:val="00BE1DAF"/>
    <w:rsid w:val="00BF43F1"/>
    <w:rsid w:val="00C25A56"/>
    <w:rsid w:val="00C3211A"/>
    <w:rsid w:val="00C32201"/>
    <w:rsid w:val="00C452C6"/>
    <w:rsid w:val="00C5130C"/>
    <w:rsid w:val="00C534E3"/>
    <w:rsid w:val="00C54300"/>
    <w:rsid w:val="00CA1AB5"/>
    <w:rsid w:val="00CA6576"/>
    <w:rsid w:val="00CB2CD3"/>
    <w:rsid w:val="00CC3C43"/>
    <w:rsid w:val="00CD78D3"/>
    <w:rsid w:val="00CE7148"/>
    <w:rsid w:val="00CF194F"/>
    <w:rsid w:val="00D027E0"/>
    <w:rsid w:val="00D16742"/>
    <w:rsid w:val="00D66769"/>
    <w:rsid w:val="00D84E04"/>
    <w:rsid w:val="00DA17ED"/>
    <w:rsid w:val="00DB6D1E"/>
    <w:rsid w:val="00DE2D06"/>
    <w:rsid w:val="00DE4DAF"/>
    <w:rsid w:val="00DF0541"/>
    <w:rsid w:val="00E0169A"/>
    <w:rsid w:val="00E01DDD"/>
    <w:rsid w:val="00E11E69"/>
    <w:rsid w:val="00E3793C"/>
    <w:rsid w:val="00E46C76"/>
    <w:rsid w:val="00E505D4"/>
    <w:rsid w:val="00E7431D"/>
    <w:rsid w:val="00E80B65"/>
    <w:rsid w:val="00EA5056"/>
    <w:rsid w:val="00EC7A77"/>
    <w:rsid w:val="00ED3E21"/>
    <w:rsid w:val="00F1533F"/>
    <w:rsid w:val="00F529A2"/>
    <w:rsid w:val="00F82A67"/>
    <w:rsid w:val="00F85028"/>
    <w:rsid w:val="00FD1B8D"/>
    <w:rsid w:val="00FE53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9FC87"/>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E304-B666-4D9E-A43D-7FADB37E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2188</Words>
  <Characters>12036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inf03m_31@outlook.com</cp:lastModifiedBy>
  <cp:revision>2</cp:revision>
  <cp:lastPrinted>2025-02-10T15:59:00Z</cp:lastPrinted>
  <dcterms:created xsi:type="dcterms:W3CDTF">2025-03-14T19:26:00Z</dcterms:created>
  <dcterms:modified xsi:type="dcterms:W3CDTF">2025-03-18T16:18:00Z</dcterms:modified>
</cp:coreProperties>
</file>