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5D672" w14:textId="77777777" w:rsidR="00CB2CD3" w:rsidRPr="009A4963" w:rsidRDefault="00CB2CD3" w:rsidP="0041405C">
      <w:pPr>
        <w:tabs>
          <w:tab w:val="left" w:pos="1843"/>
        </w:tabs>
        <w:spacing w:after="0" w:line="360" w:lineRule="auto"/>
        <w:jc w:val="both"/>
        <w:rPr>
          <w:rFonts w:ascii="Palatino Linotype" w:hAnsi="Palatino Linotype" w:cs="Tahoma"/>
          <w:b/>
          <w:sz w:val="20"/>
          <w:szCs w:val="20"/>
        </w:rPr>
      </w:pPr>
    </w:p>
    <w:p w14:paraId="19409C9F" w14:textId="5EB425F4" w:rsidR="0026564C" w:rsidRDefault="008F1DDE" w:rsidP="0041405C">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EL COMISIONADO LUIS GUSTAVO PARRA NORIEGA, A LA RESOLUCIÓN DEL RECURSO DE REVISIÓN </w:t>
      </w:r>
      <w:r w:rsidR="00543EBE">
        <w:rPr>
          <w:rFonts w:ascii="Palatino Linotype" w:eastAsia="Palatino Linotype" w:hAnsi="Palatino Linotype" w:cs="Palatino Linotype"/>
          <w:b/>
        </w:rPr>
        <w:t>007</w:t>
      </w:r>
      <w:r w:rsidR="0082463C">
        <w:rPr>
          <w:rFonts w:ascii="Palatino Linotype" w:eastAsia="Palatino Linotype" w:hAnsi="Palatino Linotype" w:cs="Palatino Linotype"/>
          <w:b/>
        </w:rPr>
        <w:t>1</w:t>
      </w:r>
      <w:r w:rsidR="004007EF">
        <w:rPr>
          <w:rFonts w:ascii="Palatino Linotype" w:eastAsia="Palatino Linotype" w:hAnsi="Palatino Linotype" w:cs="Palatino Linotype"/>
          <w:b/>
        </w:rPr>
        <w:t>0</w:t>
      </w:r>
      <w:r w:rsidR="0053727E">
        <w:rPr>
          <w:rFonts w:ascii="Palatino Linotype" w:eastAsia="Palatino Linotype" w:hAnsi="Palatino Linotype" w:cs="Palatino Linotype"/>
          <w:b/>
        </w:rPr>
        <w:t>/INFOEM/IP/RR/202</w:t>
      </w:r>
      <w:r w:rsidR="0082463C">
        <w:rPr>
          <w:rFonts w:ascii="Palatino Linotype" w:eastAsia="Palatino Linotype" w:hAnsi="Palatino Linotype" w:cs="Palatino Linotype"/>
          <w:b/>
        </w:rPr>
        <w:t>5</w:t>
      </w:r>
      <w:r w:rsidR="00CD78D3" w:rsidRPr="00CD78D3">
        <w:rPr>
          <w:rFonts w:ascii="Palatino Linotype" w:hAnsi="Palatino Linotype"/>
          <w:b/>
          <w:lang w:val="es-MX"/>
        </w:rPr>
        <w:t>,</w:t>
      </w:r>
      <w:r w:rsidR="00CD78D3" w:rsidRPr="00CD78D3">
        <w:rPr>
          <w:rFonts w:ascii="Palatino Linotype" w:hAnsi="Palatino Linotype" w:cs="Tahoma"/>
          <w:b/>
        </w:rPr>
        <w:t xml:space="preserve"> </w:t>
      </w:r>
      <w:r w:rsidR="00CD78D3">
        <w:rPr>
          <w:rFonts w:ascii="Palatino Linotype" w:hAnsi="Palatino Linotype" w:cs="Tahoma"/>
          <w:b/>
        </w:rPr>
        <w:t>PROMOVIDO EN CONTRA DE</w:t>
      </w:r>
      <w:r w:rsidR="00543EBE">
        <w:rPr>
          <w:rFonts w:ascii="Palatino Linotype" w:hAnsi="Palatino Linotype" w:cs="Tahoma"/>
          <w:b/>
        </w:rPr>
        <w:t xml:space="preserve"> </w:t>
      </w:r>
      <w:r w:rsidR="0065380A">
        <w:rPr>
          <w:rFonts w:ascii="Palatino Linotype" w:hAnsi="Palatino Linotype" w:cs="Tahoma"/>
          <w:b/>
        </w:rPr>
        <w:t>L</w:t>
      </w:r>
      <w:r w:rsidR="00543EBE">
        <w:rPr>
          <w:rFonts w:ascii="Palatino Linotype" w:hAnsi="Palatino Linotype" w:cs="Tahoma"/>
          <w:b/>
        </w:rPr>
        <w:t>A</w:t>
      </w:r>
      <w:r w:rsidR="00BE1DAF" w:rsidRPr="00CD78D3">
        <w:t xml:space="preserve"> </w:t>
      </w:r>
      <w:r w:rsidR="00543EBE" w:rsidRPr="00543EBE">
        <w:rPr>
          <w:rFonts w:ascii="Palatino Linotype" w:hAnsi="Palatino Linotype" w:cs="Tahoma"/>
          <w:b/>
        </w:rPr>
        <w:t>UNIDAD DE ASUNTOS INTERNOS</w:t>
      </w:r>
    </w:p>
    <w:p w14:paraId="5EC544FE" w14:textId="77777777" w:rsidR="00CD78D3" w:rsidRPr="00274A5F" w:rsidRDefault="00CD78D3" w:rsidP="0041405C">
      <w:pPr>
        <w:tabs>
          <w:tab w:val="left" w:pos="1843"/>
        </w:tabs>
        <w:spacing w:after="0" w:line="360" w:lineRule="auto"/>
        <w:jc w:val="both"/>
        <w:rPr>
          <w:rFonts w:ascii="Palatino Linotype" w:hAnsi="Palatino Linotype" w:cs="Arial"/>
          <w:b/>
          <w:sz w:val="24"/>
          <w:szCs w:val="24"/>
        </w:rPr>
      </w:pPr>
    </w:p>
    <w:p w14:paraId="50F4BE2E" w14:textId="77777777" w:rsidR="0041405C" w:rsidRDefault="0041405C" w:rsidP="00DF0541">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Pr="00274A5F">
        <w:rPr>
          <w:rFonts w:ascii="Palatino Linotype" w:hAnsi="Palatino Linotype" w:cs="Tahoma"/>
        </w:rPr>
        <w:t xml:space="preserve"> por no compartir en su totalidad las consideraciones que sustentan la Resolución del Recurso de Revisión </w:t>
      </w:r>
      <w:r w:rsidR="00543EBE">
        <w:rPr>
          <w:rFonts w:ascii="Palatino Linotype" w:eastAsia="Palatino Linotype" w:hAnsi="Palatino Linotype" w:cs="Palatino Linotype"/>
          <w:b/>
        </w:rPr>
        <w:t>007</w:t>
      </w:r>
      <w:r w:rsidR="0082463C">
        <w:rPr>
          <w:rFonts w:ascii="Palatino Linotype" w:eastAsia="Palatino Linotype" w:hAnsi="Palatino Linotype" w:cs="Palatino Linotype"/>
          <w:b/>
        </w:rPr>
        <w:t>1</w:t>
      </w:r>
      <w:r w:rsidR="004007EF">
        <w:rPr>
          <w:rFonts w:ascii="Palatino Linotype" w:eastAsia="Palatino Linotype" w:hAnsi="Palatino Linotype" w:cs="Palatino Linotype"/>
          <w:b/>
        </w:rPr>
        <w:t>0</w:t>
      </w:r>
      <w:r w:rsidR="00543EBE">
        <w:rPr>
          <w:rFonts w:ascii="Palatino Linotype" w:eastAsia="Palatino Linotype" w:hAnsi="Palatino Linotype" w:cs="Palatino Linotype"/>
          <w:b/>
        </w:rPr>
        <w:t>/INFOEM/IP/RR/2025</w:t>
      </w:r>
      <w:r w:rsidRPr="00274A5F">
        <w:rPr>
          <w:rFonts w:ascii="Palatino Linotype" w:hAnsi="Palatino Linotype"/>
          <w:b/>
          <w:lang w:val="es-MX"/>
        </w:rPr>
        <w:t>.</w:t>
      </w:r>
    </w:p>
    <w:p w14:paraId="5830D8DB" w14:textId="77777777" w:rsidR="00DF0541" w:rsidRPr="00DF0541" w:rsidRDefault="00DF0541" w:rsidP="00DF0541">
      <w:pPr>
        <w:tabs>
          <w:tab w:val="left" w:pos="1843"/>
        </w:tabs>
        <w:spacing w:after="0" w:line="360" w:lineRule="auto"/>
        <w:jc w:val="both"/>
        <w:rPr>
          <w:rFonts w:ascii="Palatino Linotype" w:hAnsi="Palatino Linotype"/>
          <w:b/>
          <w:lang w:val="es-MX"/>
        </w:rPr>
      </w:pPr>
    </w:p>
    <w:p w14:paraId="64FC23D8" w14:textId="77777777" w:rsidR="003D7AAF" w:rsidRDefault="00342FF8" w:rsidP="00853119">
      <w:pPr>
        <w:spacing w:after="0" w:line="360" w:lineRule="auto"/>
        <w:jc w:val="both"/>
        <w:rPr>
          <w:rFonts w:ascii="Palatino Linotype" w:hAnsi="Palatino Linotype" w:cs="Tahoma"/>
        </w:rPr>
      </w:pPr>
      <w:r w:rsidRPr="000C73AC">
        <w:rPr>
          <w:rFonts w:ascii="Palatino Linotype" w:hAnsi="Palatino Linotype" w:cs="Tahoma"/>
        </w:rPr>
        <w:t xml:space="preserve">Como se desprende de la Resolución en comento, </w:t>
      </w:r>
      <w:r w:rsidRPr="0042098C">
        <w:rPr>
          <w:rFonts w:ascii="Palatino Linotype" w:hAnsi="Palatino Linotype" w:cs="Tahoma"/>
        </w:rPr>
        <w:t>el Particular solicitó</w:t>
      </w:r>
      <w:r w:rsidR="00BE1DAF">
        <w:rPr>
          <w:rFonts w:ascii="Palatino Linotype" w:hAnsi="Palatino Linotype" w:cs="Tahoma"/>
        </w:rPr>
        <w:t xml:space="preserve"> </w:t>
      </w:r>
      <w:r w:rsidR="004007EF">
        <w:rPr>
          <w:rFonts w:ascii="Palatino Linotype" w:hAnsi="Palatino Linotype" w:cs="Tahoma"/>
        </w:rPr>
        <w:t>actas de investigación de supervisiones e inspecciones</w:t>
      </w:r>
      <w:r w:rsidR="00853119">
        <w:rPr>
          <w:rFonts w:ascii="Palatino Linotype" w:hAnsi="Palatino Linotype" w:cs="Tahoma"/>
        </w:rPr>
        <w:t>,</w:t>
      </w:r>
      <w:r w:rsidR="00BE1DAF">
        <w:rPr>
          <w:rFonts w:ascii="Palatino Linotype" w:hAnsi="Palatino Linotype" w:cs="Tahoma"/>
        </w:rPr>
        <w:t xml:space="preserve"> </w:t>
      </w:r>
      <w:r w:rsidR="001D2634">
        <w:rPr>
          <w:rFonts w:ascii="Palatino Linotype" w:hAnsi="Palatino Linotype" w:cs="Tahoma"/>
        </w:rPr>
        <w:t xml:space="preserve">razón por la cual </w:t>
      </w:r>
      <w:r w:rsidR="000D33A9">
        <w:rPr>
          <w:rFonts w:ascii="Palatino Linotype" w:hAnsi="Palatino Linotype" w:cs="Tahoma"/>
        </w:rPr>
        <w:t xml:space="preserve">en estudio </w:t>
      </w:r>
      <w:r w:rsidR="00871876">
        <w:rPr>
          <w:rFonts w:ascii="Palatino Linotype" w:hAnsi="Palatino Linotype" w:cs="Tahoma"/>
        </w:rPr>
        <w:t xml:space="preserve">se determinó </w:t>
      </w:r>
      <w:r w:rsidR="00BE1DAF">
        <w:rPr>
          <w:rFonts w:ascii="Palatino Linotype" w:hAnsi="Palatino Linotype" w:cs="Tahoma"/>
        </w:rPr>
        <w:t xml:space="preserve">que </w:t>
      </w:r>
      <w:r w:rsidR="00543EBE">
        <w:rPr>
          <w:rFonts w:ascii="Palatino Linotype" w:hAnsi="Palatino Linotype" w:cs="Tahoma"/>
        </w:rPr>
        <w:t xml:space="preserve">dentro de los documentos que se ordenan entregar </w:t>
      </w:r>
      <w:r w:rsidR="00853119">
        <w:rPr>
          <w:rFonts w:ascii="Palatino Linotype" w:hAnsi="Palatino Linotype" w:cs="Tahoma"/>
        </w:rPr>
        <w:t xml:space="preserve">podía </w:t>
      </w:r>
      <w:r w:rsidR="00543EBE">
        <w:rPr>
          <w:rFonts w:ascii="Palatino Linotype" w:hAnsi="Palatino Linotype" w:cs="Tahoma"/>
        </w:rPr>
        <w:t xml:space="preserve">haber información </w:t>
      </w:r>
      <w:r w:rsidR="000D33A9">
        <w:rPr>
          <w:rFonts w:ascii="Palatino Linotype" w:hAnsi="Palatino Linotype" w:cs="Tahoma"/>
        </w:rPr>
        <w:t>susceptible de ser clasificad</w:t>
      </w:r>
      <w:r w:rsidR="00543EBE">
        <w:rPr>
          <w:rFonts w:ascii="Palatino Linotype" w:hAnsi="Palatino Linotype" w:cs="Tahoma"/>
        </w:rPr>
        <w:t>a como reservada</w:t>
      </w:r>
      <w:r w:rsidR="00250242">
        <w:rPr>
          <w:rFonts w:ascii="Palatino Linotype" w:hAnsi="Palatino Linotype" w:cs="Tahoma"/>
        </w:rPr>
        <w:t xml:space="preserve">, </w:t>
      </w:r>
      <w:r w:rsidR="000D33A9">
        <w:rPr>
          <w:rFonts w:ascii="Palatino Linotype" w:hAnsi="Palatino Linotype" w:cs="Tahoma"/>
        </w:rPr>
        <w:t>en términos del</w:t>
      </w:r>
      <w:r w:rsidR="007E2ABD">
        <w:rPr>
          <w:rFonts w:ascii="Palatino Linotype" w:hAnsi="Palatino Linotype" w:cs="Tahoma"/>
        </w:rPr>
        <w:t xml:space="preserve"> artículo 140 </w:t>
      </w:r>
      <w:r w:rsidR="00BE1DAF">
        <w:rPr>
          <w:rFonts w:ascii="Palatino Linotype" w:hAnsi="Palatino Linotype" w:cs="Tahoma"/>
        </w:rPr>
        <w:t xml:space="preserve">fracción </w:t>
      </w:r>
      <w:r w:rsidR="007E2ABD">
        <w:rPr>
          <w:rFonts w:ascii="Palatino Linotype" w:hAnsi="Palatino Linotype" w:cs="Tahoma"/>
        </w:rPr>
        <w:t>de la Ley de Transparencia y Acceso a la Información Pública del Estado de México y Municipios.</w:t>
      </w:r>
    </w:p>
    <w:p w14:paraId="37F810F4" w14:textId="77777777" w:rsidR="003D7AAF" w:rsidRDefault="003D7AAF" w:rsidP="0042098C">
      <w:pPr>
        <w:spacing w:after="0" w:line="360" w:lineRule="auto"/>
        <w:jc w:val="both"/>
        <w:rPr>
          <w:rFonts w:ascii="Palatino Linotype" w:hAnsi="Palatino Linotype" w:cs="Tahoma"/>
        </w:rPr>
      </w:pPr>
    </w:p>
    <w:p w14:paraId="42AF214E"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este sentido, si bien, coincido con los términos generales planteados en la Resolución, por ello voté a favor de </w:t>
      </w:r>
      <w:r w:rsidR="001349E4" w:rsidRPr="00274A5F">
        <w:rPr>
          <w:rFonts w:ascii="Palatino Linotype" w:hAnsi="Palatino Linotype" w:cs="Tahoma"/>
        </w:rPr>
        <w:t>esta</w:t>
      </w:r>
      <w:r w:rsidRPr="00274A5F">
        <w:rPr>
          <w:rFonts w:ascii="Palatino Linotype" w:hAnsi="Palatino Linotype" w:cs="Tahoma"/>
        </w:rPr>
        <w:t>; sin embargo, considero especialmente que el tema de la reserva de la información deb</w:t>
      </w:r>
      <w:r w:rsidR="001D2634">
        <w:rPr>
          <w:rFonts w:ascii="Palatino Linotype" w:hAnsi="Palatino Linotype" w:cs="Tahoma"/>
        </w:rPr>
        <w:t>ió</w:t>
      </w:r>
      <w:r w:rsidRPr="00274A5F">
        <w:rPr>
          <w:rFonts w:ascii="Palatino Linotype" w:hAnsi="Palatino Linotype" w:cs="Tahoma"/>
        </w:rPr>
        <w:t xml:space="preserve"> analizarse de forma tal que se plantee en el estudio la prueba de daño que permite a este Organismo Garante que realizar la entrega de la información causa </w:t>
      </w:r>
      <w:r w:rsidRPr="00274A5F">
        <w:rPr>
          <w:rFonts w:ascii="Palatino Linotype" w:hAnsi="Palatino Linotype" w:cs="Tahoma"/>
        </w:rPr>
        <w:lastRenderedPageBreak/>
        <w:t>un daño al interés público, que en ese caso particular supera el derecho de acceso a la información de un particular.</w:t>
      </w:r>
    </w:p>
    <w:p w14:paraId="539D7DCF" w14:textId="77777777" w:rsidR="0041405C" w:rsidRPr="00274A5F" w:rsidRDefault="0041405C" w:rsidP="0041405C">
      <w:pPr>
        <w:spacing w:after="0" w:line="360" w:lineRule="auto"/>
        <w:jc w:val="both"/>
        <w:rPr>
          <w:rFonts w:ascii="Palatino Linotype" w:hAnsi="Palatino Linotype" w:cs="Tahoma"/>
        </w:rPr>
      </w:pPr>
    </w:p>
    <w:p w14:paraId="5BF04B2F"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Lo anterior en virtud de que, para que proceda o no la reserva; no basta con que se actualice el dispositivo normativo </w:t>
      </w:r>
      <w:r w:rsidR="00CA6576" w:rsidRPr="00274A5F">
        <w:rPr>
          <w:rFonts w:ascii="Palatino Linotype" w:hAnsi="Palatino Linotype" w:cs="Tahoma"/>
        </w:rPr>
        <w:t>140 de la Ley de la materia</w:t>
      </w:r>
      <w:r w:rsidRPr="00274A5F">
        <w:rPr>
          <w:rFonts w:ascii="Palatino Linotype" w:hAnsi="Palatino Linotype" w:cs="Tahoma"/>
        </w:rPr>
        <w:t>, sino que además es menester acreditar dicha prueba de daño, de conformidad con lo establecido en los artículos 128, 129 y 130 de la Ley de Transparencia y Acceso a la Información Pública del Estado de México y Municipios, en relación con los Lineamientos generales en materia de clasificación y desclasificación de la información, así como para la elaboración de versiones públicas.</w:t>
      </w:r>
    </w:p>
    <w:p w14:paraId="2C8133E0" w14:textId="77777777" w:rsidR="0041405C" w:rsidRPr="00274A5F" w:rsidRDefault="0041405C" w:rsidP="0041405C">
      <w:pPr>
        <w:spacing w:after="0" w:line="360" w:lineRule="auto"/>
        <w:jc w:val="both"/>
        <w:rPr>
          <w:rFonts w:ascii="Palatino Linotype" w:hAnsi="Palatino Linotype" w:cs="Tahoma"/>
        </w:rPr>
      </w:pPr>
    </w:p>
    <w:p w14:paraId="73AFDE21"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3CE99C50" w14:textId="77777777" w:rsidR="0041405C" w:rsidRPr="00274A5F" w:rsidRDefault="0041405C" w:rsidP="0041405C">
      <w:pPr>
        <w:spacing w:after="0" w:line="360" w:lineRule="auto"/>
        <w:jc w:val="both"/>
        <w:rPr>
          <w:rFonts w:ascii="Palatino Linotype" w:hAnsi="Palatino Linotype"/>
        </w:rPr>
      </w:pPr>
    </w:p>
    <w:p w14:paraId="691E7A82" w14:textId="77777777" w:rsidR="0041405C" w:rsidRDefault="0041405C" w:rsidP="0041405C">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w:t>
      </w:r>
      <w:r w:rsidR="0026564C">
        <w:rPr>
          <w:rFonts w:ascii="Palatino Linotype" w:hAnsi="Palatino Linotype" w:cs="Segoe UI"/>
        </w:rPr>
        <w:t xml:space="preserve"> que son del literal siguiente:</w:t>
      </w:r>
    </w:p>
    <w:p w14:paraId="514EB813" w14:textId="77777777" w:rsidR="009F3D6F" w:rsidRPr="00274A5F" w:rsidRDefault="009F3D6F" w:rsidP="0041405C">
      <w:pPr>
        <w:spacing w:after="0" w:line="360" w:lineRule="auto"/>
        <w:jc w:val="both"/>
        <w:rPr>
          <w:rFonts w:ascii="Palatino Linotype" w:hAnsi="Palatino Linotype" w:cs="Segoe UI"/>
        </w:rPr>
      </w:pPr>
    </w:p>
    <w:p w14:paraId="53F88B7D"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274A5F">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w:t>
      </w:r>
      <w:r w:rsidRPr="00274A5F">
        <w:rPr>
          <w:rFonts w:ascii="Palatino Linotype" w:eastAsia="Calibri" w:hAnsi="Palatino Linotype" w:cs="Arial"/>
          <w:i/>
          <w:sz w:val="20"/>
          <w:szCs w:val="20"/>
        </w:rPr>
        <w:lastRenderedPageBreak/>
        <w:t>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010C2B68"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4AE9E4F6" w14:textId="77777777" w:rsidR="0041405C" w:rsidRPr="00274A5F" w:rsidRDefault="0041405C" w:rsidP="0041405C">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w:t>
      </w:r>
      <w:r w:rsidRPr="00274A5F">
        <w:rPr>
          <w:rFonts w:ascii="Palatino Linotype" w:hAnsi="Palatino Linotype"/>
          <w:i/>
          <w:iCs/>
          <w:sz w:val="20"/>
          <w:szCs w:val="20"/>
          <w:lang w:eastAsia="es-MX"/>
        </w:rPr>
        <w:lastRenderedPageBreak/>
        <w:t>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0A018358" w14:textId="77777777" w:rsidR="0041405C" w:rsidRPr="00274A5F" w:rsidRDefault="0041405C" w:rsidP="0041405C">
      <w:pPr>
        <w:spacing w:after="0" w:line="360" w:lineRule="auto"/>
        <w:jc w:val="both"/>
        <w:rPr>
          <w:rFonts w:ascii="Palatino Linotype" w:hAnsi="Palatino Linotype" w:cs="Arial"/>
        </w:rPr>
      </w:pPr>
    </w:p>
    <w:p w14:paraId="77187AF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0132582F" w14:textId="77777777" w:rsidR="0041405C" w:rsidRPr="00274A5F" w:rsidRDefault="0041405C" w:rsidP="0041405C">
      <w:pPr>
        <w:spacing w:after="0" w:line="360" w:lineRule="auto"/>
        <w:jc w:val="both"/>
        <w:rPr>
          <w:rFonts w:ascii="Palatino Linotype" w:hAnsi="Palatino Linotype" w:cs="Tahoma"/>
        </w:rPr>
      </w:pPr>
    </w:p>
    <w:p w14:paraId="036DBFB2"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También, el Juicio de Amparo Indirecto 1232/2017 resuelto por el Juzgado Cuarto de Distrito en Materia Administrativa en la Ciudad de México, cuya síntesis se expone en el libro Casos Paradigmáticos (Esquivel,</w:t>
      </w:r>
      <w:r w:rsidR="0048251D">
        <w:rPr>
          <w:rFonts w:ascii="Palatino Linotype" w:hAnsi="Palatino Linotype" w:cs="Tahoma"/>
        </w:rPr>
        <w:t xml:space="preserve"> </w:t>
      </w:r>
      <w:proofErr w:type="spellStart"/>
      <w:r w:rsidRPr="00274A5F">
        <w:rPr>
          <w:rFonts w:ascii="Palatino Linotype" w:hAnsi="Palatino Linotype" w:cs="Tahoma"/>
        </w:rPr>
        <w:t>Yasmin</w:t>
      </w:r>
      <w:proofErr w:type="spellEnd"/>
      <w:r w:rsidRPr="00274A5F">
        <w:rPr>
          <w:rFonts w:ascii="Palatino Linotype" w:hAnsi="Palatino Linotype" w:cs="Tahoma"/>
        </w:rPr>
        <w:t xml:space="preserve">,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de la justicia al quejoso por un recurso de revisión resuelto por el INAI en donde destaca la </w:t>
      </w:r>
      <w:r w:rsidRPr="00274A5F">
        <w:rPr>
          <w:rFonts w:ascii="Palatino Linotype" w:hAnsi="Palatino Linotype" w:cs="Tahoma"/>
        </w:rPr>
        <w:lastRenderedPageBreak/>
        <w:t>necesidad de que el Organismo Garante Nacional acredite la prueba de daño para la reserva de información bajo los argumentos siguientes:</w:t>
      </w:r>
    </w:p>
    <w:p w14:paraId="245FC11F" w14:textId="77777777" w:rsidR="00CA6576" w:rsidRPr="00274A5F" w:rsidRDefault="00CA6576" w:rsidP="00CA6576">
      <w:pPr>
        <w:spacing w:after="0" w:line="360" w:lineRule="auto"/>
        <w:jc w:val="both"/>
        <w:rPr>
          <w:rFonts w:ascii="Palatino Linotype" w:hAnsi="Palatino Linotype" w:cs="Tahoma"/>
        </w:rPr>
      </w:pPr>
    </w:p>
    <w:p w14:paraId="08807CBE"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443E3B3C" w14:textId="77777777" w:rsidR="00CA6576" w:rsidRPr="00274A5F" w:rsidRDefault="00CA6576" w:rsidP="00CA6576">
      <w:pPr>
        <w:spacing w:after="0" w:line="360" w:lineRule="auto"/>
        <w:jc w:val="both"/>
        <w:rPr>
          <w:rFonts w:ascii="Palatino Linotype" w:hAnsi="Palatino Linotype" w:cs="Tahoma"/>
        </w:rPr>
      </w:pPr>
    </w:p>
    <w:p w14:paraId="22734374"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3AEF826C" w14:textId="77777777" w:rsidR="00CA6576" w:rsidRPr="00274A5F" w:rsidRDefault="00CA6576" w:rsidP="00CA6576">
      <w:pPr>
        <w:spacing w:after="0" w:line="360" w:lineRule="auto"/>
        <w:jc w:val="both"/>
        <w:rPr>
          <w:rFonts w:ascii="Palatino Linotype" w:hAnsi="Palatino Linotype" w:cs="Tahoma"/>
        </w:rPr>
      </w:pPr>
    </w:p>
    <w:p w14:paraId="116B3571"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58EDD91C" w14:textId="77777777" w:rsidR="00CA6576" w:rsidRPr="00274A5F" w:rsidRDefault="00CA6576" w:rsidP="00CA6576">
      <w:pPr>
        <w:spacing w:after="0" w:line="360" w:lineRule="auto"/>
        <w:jc w:val="both"/>
        <w:rPr>
          <w:rFonts w:ascii="Palatino Linotype" w:hAnsi="Palatino Linotype" w:cs="Tahoma"/>
        </w:rPr>
      </w:pPr>
    </w:p>
    <w:p w14:paraId="37AEF5B1" w14:textId="77777777" w:rsidR="00F529A2" w:rsidRDefault="00CA6576" w:rsidP="00CA6576">
      <w:pPr>
        <w:spacing w:after="0" w:line="360" w:lineRule="auto"/>
        <w:jc w:val="both"/>
        <w:rPr>
          <w:rFonts w:ascii="Palatino Linotype" w:hAnsi="Palatino Linotype" w:cs="Tahoma"/>
        </w:rPr>
      </w:pPr>
      <w:r w:rsidRPr="00274A5F">
        <w:rPr>
          <w:rFonts w:ascii="Palatino Linotype"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4E145E11" w14:textId="77777777" w:rsidR="00360768" w:rsidRPr="00274A5F" w:rsidRDefault="00360768" w:rsidP="00CA6576">
      <w:pPr>
        <w:spacing w:after="0" w:line="360" w:lineRule="auto"/>
        <w:jc w:val="both"/>
        <w:rPr>
          <w:rFonts w:ascii="Palatino Linotype" w:hAnsi="Palatino Linotype" w:cs="Tahoma"/>
        </w:rPr>
      </w:pPr>
    </w:p>
    <w:p w14:paraId="7E69990D" w14:textId="77777777" w:rsidR="00CA6576" w:rsidRPr="00274A5F" w:rsidRDefault="00CA6576" w:rsidP="00CA6576">
      <w:pPr>
        <w:numPr>
          <w:ilvl w:val="0"/>
          <w:numId w:val="2"/>
        </w:numPr>
        <w:spacing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342170A0" w14:textId="77777777" w:rsidR="00CA6576" w:rsidRPr="00274A5F" w:rsidRDefault="00CA6576" w:rsidP="00CA6576">
      <w:pPr>
        <w:spacing w:after="0" w:line="360" w:lineRule="auto"/>
        <w:jc w:val="both"/>
        <w:rPr>
          <w:rFonts w:ascii="Palatino Linotype" w:hAnsi="Palatino Linotype" w:cs="Tahoma"/>
        </w:rPr>
      </w:pPr>
    </w:p>
    <w:p w14:paraId="01EA68FE" w14:textId="77777777" w:rsidR="00CA6576" w:rsidRPr="00274A5F" w:rsidRDefault="00CA6576" w:rsidP="00CA6576">
      <w:pPr>
        <w:numPr>
          <w:ilvl w:val="0"/>
          <w:numId w:val="2"/>
        </w:numPr>
        <w:spacing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18CA9AF6" w14:textId="77777777" w:rsidR="00CA6576" w:rsidRPr="00274A5F" w:rsidRDefault="00CA6576" w:rsidP="00CA6576">
      <w:pPr>
        <w:spacing w:after="0" w:line="360" w:lineRule="auto"/>
        <w:jc w:val="both"/>
        <w:rPr>
          <w:rFonts w:ascii="Palatino Linotype" w:hAnsi="Palatino Linotype" w:cs="Tahoma"/>
        </w:rPr>
      </w:pPr>
    </w:p>
    <w:p w14:paraId="2FA79C2C"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 la prueba de daño.</w:t>
      </w:r>
    </w:p>
    <w:p w14:paraId="4C1F156E" w14:textId="77777777" w:rsidR="00CA6576" w:rsidRPr="00274A5F" w:rsidRDefault="00CA6576" w:rsidP="00CA6576">
      <w:pPr>
        <w:spacing w:after="0" w:line="360" w:lineRule="auto"/>
        <w:jc w:val="both"/>
        <w:rPr>
          <w:rFonts w:ascii="Palatino Linotype" w:eastAsia="Palatino Linotype" w:hAnsi="Palatino Linotype" w:cs="Palatino Linotype"/>
        </w:rPr>
      </w:pPr>
    </w:p>
    <w:p w14:paraId="5F8607CF" w14:textId="77777777" w:rsidR="00CA6576" w:rsidRPr="00274A5F" w:rsidRDefault="00CA6576" w:rsidP="00CA6576">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w:t>
      </w:r>
      <w:r w:rsidRPr="00274A5F">
        <w:rPr>
          <w:rFonts w:ascii="Palatino Linotype" w:eastAsia="Palatino Linotype" w:hAnsi="Palatino Linotype" w:cs="Palatino Linotype"/>
        </w:rPr>
        <w:lastRenderedPageBreak/>
        <w:t>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33E66ACA" w14:textId="77777777" w:rsidR="00CA6576" w:rsidRPr="00274A5F" w:rsidRDefault="00CA6576" w:rsidP="0041405C">
      <w:pPr>
        <w:spacing w:after="0" w:line="360" w:lineRule="auto"/>
        <w:jc w:val="both"/>
        <w:rPr>
          <w:rFonts w:ascii="Palatino Linotype" w:hAnsi="Palatino Linotype" w:cs="Tahoma"/>
        </w:rPr>
      </w:pPr>
    </w:p>
    <w:p w14:paraId="299B9203" w14:textId="77777777" w:rsidR="00274A5F" w:rsidRPr="00274A5F" w:rsidRDefault="00274A5F" w:rsidP="00274A5F">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Bajo esa lógica, estimo </w:t>
      </w:r>
      <w:r w:rsidR="0045228C" w:rsidRPr="00274A5F">
        <w:rPr>
          <w:rFonts w:ascii="Palatino Linotype" w:eastAsia="Palatino Linotype" w:hAnsi="Palatino Linotype" w:cs="Palatino Linotype"/>
        </w:rPr>
        <w:t>que,</w:t>
      </w:r>
      <w:r w:rsidRPr="00274A5F">
        <w:rPr>
          <w:rFonts w:ascii="Palatino Linotype" w:eastAsia="Palatino Linotype" w:hAnsi="Palatino Linotype" w:cs="Palatino Linotype"/>
        </w:rPr>
        <w:t xml:space="preserve"> en el presente caso, si bien la naturaleza de la información solicitada en efecto </w:t>
      </w:r>
      <w:r w:rsidR="0065380A">
        <w:rPr>
          <w:rFonts w:ascii="Palatino Linotype" w:eastAsia="Palatino Linotype" w:hAnsi="Palatino Linotype" w:cs="Palatino Linotype"/>
        </w:rPr>
        <w:t xml:space="preserve">puede ser </w:t>
      </w:r>
      <w:r w:rsidRPr="00274A5F">
        <w:rPr>
          <w:rFonts w:ascii="Palatino Linotype" w:eastAsia="Palatino Linotype" w:hAnsi="Palatino Linotype" w:cs="Palatino Linotype"/>
        </w:rPr>
        <w:t>la de reservada, para convalidar o revocar la clasificación, se debe efectuar el estudio de clasificación a la luz de los elementos que exigen los Lineamientos generales en materia de clasificación y desclasificación de la información, así como para la elaboración de versiones públicas.</w:t>
      </w:r>
    </w:p>
    <w:p w14:paraId="503D53A2" w14:textId="77777777" w:rsidR="00274A5F" w:rsidRPr="00274A5F" w:rsidRDefault="00274A5F" w:rsidP="0041405C">
      <w:pPr>
        <w:spacing w:after="0" w:line="360" w:lineRule="auto"/>
        <w:jc w:val="both"/>
        <w:rPr>
          <w:rFonts w:ascii="Palatino Linotype" w:hAnsi="Palatino Linotype" w:cs="Tahoma"/>
        </w:rPr>
      </w:pPr>
    </w:p>
    <w:p w14:paraId="5BBE3FD2"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w:t>
      </w:r>
      <w:r w:rsidR="0026564C">
        <w:rPr>
          <w:rFonts w:ascii="Palatino Linotype" w:hAnsi="Palatino Linotype" w:cs="Tahoma"/>
        </w:rPr>
        <w:t>o no de la información.</w:t>
      </w:r>
    </w:p>
    <w:p w14:paraId="2CA3508E" w14:textId="77777777" w:rsidR="0041405C" w:rsidRPr="00274A5F" w:rsidRDefault="0041405C" w:rsidP="0041405C">
      <w:pPr>
        <w:spacing w:after="0" w:line="360" w:lineRule="auto"/>
        <w:jc w:val="both"/>
        <w:rPr>
          <w:rFonts w:ascii="Palatino Linotype" w:hAnsi="Palatino Linotype" w:cs="Tahoma"/>
        </w:rPr>
      </w:pPr>
    </w:p>
    <w:p w14:paraId="10561555" w14:textId="77777777" w:rsidR="00F529A2"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otras palabras, la determinación que </w:t>
      </w:r>
      <w:r w:rsidR="00DF0541">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517D04C4" w14:textId="77777777" w:rsidR="00F529A2" w:rsidRDefault="00F529A2" w:rsidP="0041405C">
      <w:pPr>
        <w:spacing w:after="0" w:line="360" w:lineRule="auto"/>
        <w:jc w:val="both"/>
        <w:rPr>
          <w:rFonts w:ascii="Palatino Linotype" w:hAnsi="Palatino Linotype" w:cs="Tahoma"/>
        </w:rPr>
      </w:pPr>
    </w:p>
    <w:p w14:paraId="442CB775"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efecto, sólo de esta forma, el Instituto como máxima autoridad en materia de derecho de acceso a la información y protección de datos personales, garantiza que los particulares puedan ejercer sus derechos y ser partícipes de la vida democrática de nuestro Estado y </w:t>
      </w:r>
      <w:r w:rsidRPr="00274A5F">
        <w:rPr>
          <w:rFonts w:ascii="Palatino Linotype" w:hAnsi="Palatino Linotype" w:cs="Tahoma"/>
        </w:rPr>
        <w:lastRenderedPageBreak/>
        <w:t>nuestro país, de lo contrario se corre el riesgo de que el Sujeto Obligado realice una clasificación incorrecta de la información.</w:t>
      </w:r>
    </w:p>
    <w:p w14:paraId="0286DEB2" w14:textId="77777777" w:rsidR="0041405C" w:rsidRPr="00274A5F" w:rsidRDefault="0041405C" w:rsidP="0041405C">
      <w:pPr>
        <w:spacing w:after="0" w:line="360" w:lineRule="auto"/>
        <w:jc w:val="both"/>
        <w:rPr>
          <w:rFonts w:ascii="Palatino Linotype" w:hAnsi="Palatino Linotype" w:cs="Tahoma"/>
        </w:rPr>
      </w:pPr>
    </w:p>
    <w:p w14:paraId="0B1A0851"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00BDC102" w14:textId="77777777" w:rsidR="0041405C" w:rsidRPr="00274A5F" w:rsidRDefault="0041405C" w:rsidP="0041405C">
      <w:pPr>
        <w:spacing w:after="0" w:line="360" w:lineRule="auto"/>
        <w:jc w:val="both"/>
        <w:rPr>
          <w:rFonts w:ascii="Palatino Linotype" w:hAnsi="Palatino Linotype" w:cs="Tahoma"/>
        </w:rPr>
      </w:pPr>
    </w:p>
    <w:p w14:paraId="0AA208F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053EAC80" w14:textId="77777777" w:rsidR="0041405C" w:rsidRPr="00274A5F" w:rsidRDefault="0041405C" w:rsidP="0041405C">
      <w:pPr>
        <w:spacing w:after="0" w:line="360" w:lineRule="auto"/>
        <w:jc w:val="both"/>
        <w:rPr>
          <w:rFonts w:ascii="Palatino Linotype" w:hAnsi="Palatino Linotype" w:cs="Tahoma"/>
        </w:rPr>
      </w:pPr>
    </w:p>
    <w:p w14:paraId="506C6E7D" w14:textId="77777777" w:rsidR="0041405C" w:rsidRDefault="0041405C" w:rsidP="0041405C">
      <w:pPr>
        <w:spacing w:after="0" w:line="360" w:lineRule="auto"/>
        <w:jc w:val="both"/>
        <w:rPr>
          <w:rFonts w:ascii="Palatino Linotype" w:hAnsi="Palatino Linotype" w:cs="Tahoma"/>
        </w:rPr>
      </w:pPr>
      <w:r w:rsidRPr="00274A5F">
        <w:rPr>
          <w:rFonts w:ascii="Palatino Linotype" w:hAnsi="Palatino Linotype" w:cs="Tahoma"/>
        </w:rPr>
        <w:t>Así, con base en los razonamientos expuestos, se emite el Presente Voto Particular.</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p>
    <w:p w14:paraId="6AD788FD" w14:textId="77777777" w:rsidR="0041405C" w:rsidRDefault="0041405C" w:rsidP="0041405C">
      <w:pPr>
        <w:spacing w:after="0" w:line="360" w:lineRule="auto"/>
        <w:jc w:val="both"/>
        <w:rPr>
          <w:rFonts w:ascii="Palatino Linotype" w:hAnsi="Palatino Linotype" w:cs="Tahoma"/>
        </w:rPr>
      </w:pPr>
    </w:p>
    <w:p w14:paraId="69AF4FCA" w14:textId="77777777" w:rsidR="0041405C" w:rsidRDefault="0041405C" w:rsidP="0041405C">
      <w:pPr>
        <w:spacing w:after="0" w:line="360" w:lineRule="auto"/>
        <w:jc w:val="both"/>
        <w:rPr>
          <w:rFonts w:ascii="Palatino Linotype" w:hAnsi="Palatino Linotype" w:cs="Tahoma"/>
        </w:rPr>
      </w:pPr>
    </w:p>
    <w:p w14:paraId="0594D838" w14:textId="77777777" w:rsidR="0041405C" w:rsidRDefault="0041405C" w:rsidP="0041405C">
      <w:pPr>
        <w:spacing w:after="0" w:line="360" w:lineRule="auto"/>
        <w:jc w:val="both"/>
        <w:rPr>
          <w:rFonts w:ascii="Palatino Linotype" w:hAnsi="Palatino Linotype" w:cs="Tahoma"/>
        </w:rPr>
      </w:pPr>
    </w:p>
    <w:p w14:paraId="3A379C09" w14:textId="77777777" w:rsidR="0041405C" w:rsidRDefault="0041405C" w:rsidP="0041405C">
      <w:pPr>
        <w:spacing w:after="0" w:line="360" w:lineRule="auto"/>
        <w:jc w:val="both"/>
        <w:rPr>
          <w:rFonts w:ascii="Palatino Linotype" w:hAnsi="Palatino Linotype" w:cs="Tahoma"/>
        </w:rPr>
      </w:pPr>
    </w:p>
    <w:p w14:paraId="0269C7E3" w14:textId="77777777" w:rsidR="00AC25F5" w:rsidRDefault="00AC25F5" w:rsidP="0026564C">
      <w:pPr>
        <w:rPr>
          <w:rFonts w:ascii="Palatino Linotype" w:hAnsi="Palatino Linotype" w:cs="Tahoma"/>
        </w:rPr>
      </w:pPr>
    </w:p>
    <w:p w14:paraId="2F25EEF0" w14:textId="77777777" w:rsidR="00AC25F5" w:rsidRDefault="00AC25F5" w:rsidP="0041405C">
      <w:pPr>
        <w:spacing w:after="0" w:line="360" w:lineRule="auto"/>
        <w:jc w:val="both"/>
        <w:rPr>
          <w:rFonts w:ascii="Palatino Linotype" w:hAnsi="Palatino Linotype" w:cs="Tahoma"/>
        </w:rPr>
      </w:pPr>
    </w:p>
    <w:p w14:paraId="5D4C2BC1" w14:textId="77777777" w:rsidR="00AC25F5" w:rsidRDefault="00AC25F5" w:rsidP="0041405C">
      <w:pPr>
        <w:spacing w:after="0" w:line="360" w:lineRule="auto"/>
        <w:jc w:val="both"/>
        <w:rPr>
          <w:rFonts w:ascii="Palatino Linotype" w:hAnsi="Palatino Linotype" w:cs="Tahoma"/>
        </w:rPr>
      </w:pPr>
    </w:p>
    <w:p w14:paraId="4E376F4B" w14:textId="77777777" w:rsidR="00AC25F5" w:rsidRDefault="00AC25F5" w:rsidP="0041405C">
      <w:pPr>
        <w:spacing w:after="0" w:line="360" w:lineRule="auto"/>
        <w:jc w:val="both"/>
        <w:rPr>
          <w:rFonts w:ascii="Palatino Linotype" w:hAnsi="Palatino Linotype" w:cs="Tahoma"/>
        </w:rPr>
      </w:pPr>
    </w:p>
    <w:p w14:paraId="3FB56477" w14:textId="77777777" w:rsidR="00AC25F5" w:rsidRDefault="00AC25F5" w:rsidP="0041405C">
      <w:pPr>
        <w:spacing w:after="0" w:line="360" w:lineRule="auto"/>
        <w:jc w:val="both"/>
        <w:rPr>
          <w:rFonts w:ascii="Palatino Linotype" w:hAnsi="Palatino Linotype" w:cs="Tahoma"/>
        </w:rPr>
      </w:pPr>
    </w:p>
    <w:p w14:paraId="2CDC095D" w14:textId="77777777" w:rsidR="00AC25F5" w:rsidRDefault="00AC25F5" w:rsidP="0041405C">
      <w:pPr>
        <w:spacing w:after="0" w:line="360" w:lineRule="auto"/>
        <w:jc w:val="both"/>
        <w:rPr>
          <w:rFonts w:ascii="Palatino Linotype" w:hAnsi="Palatino Linotype" w:cs="Tahoma"/>
        </w:rPr>
      </w:pPr>
    </w:p>
    <w:p w14:paraId="1060105A" w14:textId="77777777" w:rsidR="00AC25F5" w:rsidRDefault="00AC25F5" w:rsidP="0041405C">
      <w:pPr>
        <w:spacing w:after="0" w:line="360" w:lineRule="auto"/>
        <w:jc w:val="both"/>
        <w:rPr>
          <w:rFonts w:ascii="Palatino Linotype" w:hAnsi="Palatino Linotype" w:cs="Tahoma"/>
        </w:rPr>
      </w:pPr>
    </w:p>
    <w:p w14:paraId="505FFED2" w14:textId="77777777" w:rsidR="00AC25F5" w:rsidRDefault="00AC25F5" w:rsidP="0041405C">
      <w:pPr>
        <w:spacing w:after="0" w:line="360" w:lineRule="auto"/>
        <w:jc w:val="both"/>
        <w:rPr>
          <w:rFonts w:ascii="Palatino Linotype" w:hAnsi="Palatino Linotype" w:cs="Tahoma"/>
        </w:rPr>
      </w:pPr>
    </w:p>
    <w:p w14:paraId="0DBFABFD" w14:textId="77777777" w:rsidR="00AC25F5" w:rsidRDefault="00AC25F5" w:rsidP="0041405C">
      <w:pPr>
        <w:spacing w:after="0" w:line="360" w:lineRule="auto"/>
        <w:jc w:val="both"/>
        <w:rPr>
          <w:rFonts w:ascii="Palatino Linotype" w:hAnsi="Palatino Linotype" w:cs="Tahoma"/>
        </w:rPr>
      </w:pPr>
    </w:p>
    <w:p w14:paraId="0D35B964" w14:textId="77777777" w:rsidR="0041405C" w:rsidRDefault="0041405C" w:rsidP="0041405C">
      <w:pPr>
        <w:spacing w:after="0" w:line="360" w:lineRule="auto"/>
        <w:jc w:val="both"/>
        <w:rPr>
          <w:rFonts w:ascii="Palatino Linotype" w:hAnsi="Palatino Linotype" w:cs="Tahoma"/>
        </w:rPr>
      </w:pPr>
    </w:p>
    <w:p w14:paraId="6115F8CF" w14:textId="77777777" w:rsidR="0041405C" w:rsidRDefault="0041405C" w:rsidP="0041405C">
      <w:pPr>
        <w:spacing w:after="0" w:line="360" w:lineRule="auto"/>
        <w:jc w:val="both"/>
        <w:rPr>
          <w:rFonts w:ascii="Palatino Linotype" w:hAnsi="Palatino Linotype" w:cs="Tahoma"/>
        </w:rPr>
      </w:pPr>
    </w:p>
    <w:p w14:paraId="22F701FB" w14:textId="77777777" w:rsidR="0041405C" w:rsidRDefault="0041405C" w:rsidP="0041405C">
      <w:pPr>
        <w:spacing w:after="0" w:line="360" w:lineRule="auto"/>
        <w:jc w:val="both"/>
        <w:rPr>
          <w:rFonts w:ascii="Palatino Linotype" w:hAnsi="Palatino Linotype" w:cs="Tahoma"/>
        </w:rPr>
      </w:pPr>
    </w:p>
    <w:p w14:paraId="7913B96B" w14:textId="77777777" w:rsidR="0041405C" w:rsidRDefault="0041405C" w:rsidP="0041405C">
      <w:pPr>
        <w:spacing w:after="0" w:line="360" w:lineRule="auto"/>
        <w:jc w:val="both"/>
        <w:rPr>
          <w:rFonts w:ascii="Palatino Linotype" w:hAnsi="Palatino Linotype" w:cs="Tahoma"/>
        </w:rPr>
      </w:pPr>
    </w:p>
    <w:p w14:paraId="04BD49C4" w14:textId="77777777" w:rsidR="0041405C" w:rsidRDefault="0041405C" w:rsidP="0041405C">
      <w:pPr>
        <w:spacing w:after="0" w:line="360" w:lineRule="auto"/>
        <w:jc w:val="both"/>
        <w:rPr>
          <w:rFonts w:ascii="Palatino Linotype" w:hAnsi="Palatino Linotype" w:cs="Tahoma"/>
        </w:rPr>
      </w:pPr>
    </w:p>
    <w:p w14:paraId="6CC39C79" w14:textId="77777777" w:rsidR="00F85028" w:rsidRDefault="00F85028" w:rsidP="0041405C">
      <w:pPr>
        <w:spacing w:after="0" w:line="360" w:lineRule="auto"/>
        <w:jc w:val="both"/>
        <w:rPr>
          <w:rFonts w:ascii="Palatino Linotype" w:hAnsi="Palatino Linotype" w:cs="Tahoma"/>
        </w:rPr>
      </w:pPr>
    </w:p>
    <w:p w14:paraId="2756B79C" w14:textId="77777777" w:rsidR="00F85028" w:rsidRDefault="00F85028" w:rsidP="0041405C">
      <w:pPr>
        <w:spacing w:after="0" w:line="360" w:lineRule="auto"/>
        <w:jc w:val="both"/>
        <w:rPr>
          <w:rFonts w:ascii="Palatino Linotype" w:hAnsi="Palatino Linotype" w:cs="Tahoma"/>
        </w:rPr>
      </w:pPr>
    </w:p>
    <w:p w14:paraId="44CE93A5" w14:textId="77777777" w:rsidR="00F85028" w:rsidRDefault="00F85028" w:rsidP="0041405C">
      <w:pPr>
        <w:spacing w:after="0" w:line="360" w:lineRule="auto"/>
        <w:jc w:val="both"/>
        <w:rPr>
          <w:rFonts w:ascii="Palatino Linotype" w:hAnsi="Palatino Linotype" w:cs="Tahoma"/>
        </w:rPr>
      </w:pPr>
    </w:p>
    <w:p w14:paraId="4402EEB8" w14:textId="77777777" w:rsidR="00F85028" w:rsidRDefault="00F85028" w:rsidP="0041405C">
      <w:pPr>
        <w:spacing w:after="0" w:line="360" w:lineRule="auto"/>
        <w:jc w:val="both"/>
        <w:rPr>
          <w:rFonts w:ascii="Palatino Linotype" w:hAnsi="Palatino Linotype" w:cs="Tahoma"/>
        </w:rPr>
      </w:pPr>
    </w:p>
    <w:p w14:paraId="3F8CD126" w14:textId="77777777" w:rsidR="00F85028" w:rsidRDefault="00F85028" w:rsidP="0041405C">
      <w:pPr>
        <w:spacing w:after="0" w:line="360" w:lineRule="auto"/>
        <w:jc w:val="both"/>
        <w:rPr>
          <w:rFonts w:ascii="Palatino Linotype" w:hAnsi="Palatino Linotype" w:cs="Tahoma"/>
        </w:rPr>
      </w:pPr>
    </w:p>
    <w:sectPr w:rsidR="00F85028" w:rsidSect="00950355">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CC69F" w14:textId="77777777" w:rsidR="002440FA" w:rsidRDefault="002440FA" w:rsidP="0041405C">
      <w:pPr>
        <w:spacing w:after="0" w:line="240" w:lineRule="auto"/>
      </w:pPr>
      <w:r>
        <w:separator/>
      </w:r>
    </w:p>
  </w:endnote>
  <w:endnote w:type="continuationSeparator" w:id="0">
    <w:p w14:paraId="5C466C8B" w14:textId="77777777" w:rsidR="002440FA" w:rsidRDefault="002440FA" w:rsidP="004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940312"/>
      <w:docPartObj>
        <w:docPartGallery w:val="Page Numbers (Bottom of Page)"/>
        <w:docPartUnique/>
      </w:docPartObj>
    </w:sdtPr>
    <w:sdtContent>
      <w:sdt>
        <w:sdtPr>
          <w:id w:val="-1769616900"/>
          <w:docPartObj>
            <w:docPartGallery w:val="Page Numbers (Top of Page)"/>
            <w:docPartUnique/>
          </w:docPartObj>
        </w:sdtPr>
        <w:sdtContent>
          <w:p w14:paraId="6693DDBD" w14:textId="77777777" w:rsidR="00DF0541" w:rsidRDefault="002566C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4007EF">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007EF">
              <w:rPr>
                <w:b/>
                <w:bCs/>
                <w:noProof/>
              </w:rPr>
              <w:t>9</w:t>
            </w:r>
            <w:r>
              <w:rPr>
                <w:b/>
                <w:bCs/>
                <w:sz w:val="24"/>
                <w:szCs w:val="24"/>
              </w:rPr>
              <w:fldChar w:fldCharType="end"/>
            </w:r>
          </w:p>
        </w:sdtContent>
      </w:sdt>
    </w:sdtContent>
  </w:sdt>
  <w:p w14:paraId="51AE80F6" w14:textId="77777777" w:rsidR="00DF0541" w:rsidRDefault="00DF05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DA80" w14:textId="77777777" w:rsidR="002440FA" w:rsidRDefault="002440FA" w:rsidP="0041405C">
      <w:pPr>
        <w:spacing w:after="0" w:line="240" w:lineRule="auto"/>
      </w:pPr>
      <w:r>
        <w:separator/>
      </w:r>
    </w:p>
  </w:footnote>
  <w:footnote w:type="continuationSeparator" w:id="0">
    <w:p w14:paraId="7460DA7C" w14:textId="77777777" w:rsidR="002440FA" w:rsidRDefault="002440FA" w:rsidP="0041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096"/>
    </w:tblGrid>
    <w:tr w:rsidR="00363357" w:rsidRPr="001106EA" w14:paraId="33676F9A" w14:textId="77777777" w:rsidTr="00BE1DAF">
      <w:trPr>
        <w:trHeight w:val="2127"/>
      </w:trPr>
      <w:tc>
        <w:tcPr>
          <w:tcW w:w="2977" w:type="dxa"/>
          <w:vAlign w:val="bottom"/>
        </w:tcPr>
        <w:p w14:paraId="6C4D4094" w14:textId="77777777" w:rsidR="00DF0541" w:rsidRDefault="002566C8"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91520" behindDoc="0" locked="0" layoutInCell="1" allowOverlap="1" wp14:anchorId="0B7D7620" wp14:editId="672973A7">
                <wp:simplePos x="0" y="0"/>
                <wp:positionH relativeFrom="column">
                  <wp:posOffset>-139065</wp:posOffset>
                </wp:positionH>
                <wp:positionV relativeFrom="paragraph">
                  <wp:posOffset>-939800</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6AB350D2" w14:textId="77777777" w:rsidR="00DF0541" w:rsidRDefault="00DF0541" w:rsidP="0077694E">
          <w:pPr>
            <w:pStyle w:val="Encabezado"/>
            <w:tabs>
              <w:tab w:val="clear" w:pos="4252"/>
              <w:tab w:val="center" w:pos="2614"/>
            </w:tabs>
          </w:pPr>
        </w:p>
      </w:tc>
      <w:tc>
        <w:tcPr>
          <w:tcW w:w="6096" w:type="dxa"/>
          <w:vAlign w:val="center"/>
        </w:tcPr>
        <w:p w14:paraId="7C306738" w14:textId="77777777" w:rsidR="00DF0541" w:rsidRPr="0041405C" w:rsidRDefault="002566C8" w:rsidP="004101F6">
          <w:pPr>
            <w:pStyle w:val="Encabezado"/>
            <w:jc w:val="both"/>
            <w:rPr>
              <w:rFonts w:ascii="Palatino Linotype" w:hAnsi="Palatino Linotype" w:cs="Tahoma"/>
              <w:b/>
            </w:rPr>
          </w:pPr>
          <w:r w:rsidRPr="0041405C">
            <w:rPr>
              <w:rFonts w:ascii="Palatino Linotype" w:hAnsi="Palatino Linotype" w:cs="Tahoma"/>
              <w:b/>
            </w:rPr>
            <w:t>Voto Particular</w:t>
          </w:r>
        </w:p>
        <w:p w14:paraId="67F4D4DD" w14:textId="77777777" w:rsidR="00DF0541" w:rsidRPr="009D3D2C" w:rsidRDefault="002566C8" w:rsidP="00BE1DAF">
          <w:pPr>
            <w:pStyle w:val="Encabezado"/>
            <w:ind w:right="176"/>
            <w:jc w:val="both"/>
            <w:rPr>
              <w:rFonts w:ascii="Palatino Linotype" w:eastAsia="Palatino Linotype" w:hAnsi="Palatino Linotype" w:cs="Palatino Linotype"/>
              <w:bCs/>
            </w:rPr>
          </w:pPr>
          <w:r w:rsidRPr="0041405C">
            <w:rPr>
              <w:rFonts w:ascii="Palatino Linotype" w:hAnsi="Palatino Linotype" w:cs="Tahoma"/>
              <w:b/>
            </w:rPr>
            <w:t xml:space="preserve">Recurso de Revisión: </w:t>
          </w:r>
          <w:r w:rsidR="0082463C">
            <w:rPr>
              <w:rFonts w:ascii="Palatino Linotype" w:eastAsia="Palatino Linotype" w:hAnsi="Palatino Linotype" w:cs="Palatino Linotype"/>
              <w:sz w:val="24"/>
              <w:szCs w:val="24"/>
            </w:rPr>
            <w:t>0071</w:t>
          </w:r>
          <w:r w:rsidR="004007EF">
            <w:rPr>
              <w:rFonts w:ascii="Palatino Linotype" w:eastAsia="Palatino Linotype" w:hAnsi="Palatino Linotype" w:cs="Palatino Linotype"/>
              <w:sz w:val="24"/>
              <w:szCs w:val="24"/>
            </w:rPr>
            <w:t>0</w:t>
          </w:r>
          <w:r w:rsidR="000D33A9">
            <w:rPr>
              <w:rFonts w:ascii="Palatino Linotype" w:eastAsia="Palatino Linotype" w:hAnsi="Palatino Linotype" w:cs="Palatino Linotype"/>
              <w:sz w:val="24"/>
              <w:szCs w:val="24"/>
            </w:rPr>
            <w:t>/INFOEM/IP/RR/202</w:t>
          </w:r>
          <w:r w:rsidR="00250242">
            <w:rPr>
              <w:rFonts w:ascii="Palatino Linotype" w:eastAsia="Palatino Linotype" w:hAnsi="Palatino Linotype" w:cs="Palatino Linotype"/>
              <w:sz w:val="24"/>
              <w:szCs w:val="24"/>
            </w:rPr>
            <w:t xml:space="preserve">5 </w:t>
          </w:r>
        </w:p>
        <w:p w14:paraId="36971680" w14:textId="77777777" w:rsidR="003B352F" w:rsidRDefault="00110304" w:rsidP="00F75AEE">
          <w:pPr>
            <w:pStyle w:val="Encabezado"/>
            <w:jc w:val="both"/>
            <w:rPr>
              <w:rFonts w:ascii="Palatino Linotype" w:eastAsia="Palatino Linotype" w:hAnsi="Palatino Linotype" w:cs="Palatino Linotype"/>
            </w:rPr>
          </w:pPr>
          <w:r w:rsidRPr="001C5BFE">
            <w:rPr>
              <w:rFonts w:ascii="Palatino Linotype" w:hAnsi="Palatino Linotype" w:cs="Tahoma"/>
              <w:b/>
            </w:rPr>
            <w:t>Sujeto Obligado</w:t>
          </w:r>
          <w:r>
            <w:rPr>
              <w:rFonts w:ascii="Palatino Linotype" w:hAnsi="Palatino Linotype" w:cs="Tahoma"/>
              <w:b/>
            </w:rPr>
            <w:t xml:space="preserve">: </w:t>
          </w:r>
          <w:r w:rsidR="00543EBE" w:rsidRPr="00543EBE">
            <w:rPr>
              <w:rFonts w:ascii="Palatino Linotype" w:eastAsia="Palatino Linotype" w:hAnsi="Palatino Linotype" w:cs="Palatino Linotype"/>
            </w:rPr>
            <w:t>Unidad de Asuntos Internos</w:t>
          </w:r>
        </w:p>
        <w:p w14:paraId="5D46FBC6" w14:textId="77777777" w:rsidR="00DF0541" w:rsidRDefault="002566C8" w:rsidP="0065380A">
          <w:pPr>
            <w:pStyle w:val="Encabezado"/>
            <w:jc w:val="both"/>
            <w:rPr>
              <w:rFonts w:ascii="Palatino Linotype" w:eastAsia="Palatino Linotype" w:hAnsi="Palatino Linotype" w:cs="Palatino Linotype"/>
              <w:sz w:val="24"/>
              <w:szCs w:val="24"/>
            </w:rPr>
          </w:pPr>
          <w:r w:rsidRPr="0041405C">
            <w:rPr>
              <w:rFonts w:ascii="Palatino Linotype" w:hAnsi="Palatino Linotype" w:cs="Tahoma"/>
              <w:b/>
            </w:rPr>
            <w:t xml:space="preserve">Comisionada Ponente: </w:t>
          </w:r>
          <w:r w:rsidR="004007EF" w:rsidRPr="004007EF">
            <w:rPr>
              <w:rFonts w:ascii="Palatino Linotype" w:eastAsia="Palatino Linotype" w:hAnsi="Palatino Linotype" w:cs="Palatino Linotype"/>
              <w:sz w:val="24"/>
              <w:szCs w:val="24"/>
            </w:rPr>
            <w:t>José Martínez Vilchis</w:t>
          </w:r>
        </w:p>
        <w:p w14:paraId="0735BB84" w14:textId="77777777" w:rsidR="001A202A" w:rsidRPr="001106EA" w:rsidRDefault="001A202A" w:rsidP="0065380A">
          <w:pPr>
            <w:pStyle w:val="Encabezado"/>
            <w:jc w:val="both"/>
            <w:rPr>
              <w:rFonts w:ascii="Tahoma" w:hAnsi="Tahoma" w:cs="Tahoma"/>
            </w:rPr>
          </w:pPr>
        </w:p>
      </w:tc>
    </w:tr>
  </w:tbl>
  <w:p w14:paraId="223126B6" w14:textId="77777777" w:rsidR="00DF0541" w:rsidRPr="001106EA" w:rsidRDefault="00DF0541">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32662437">
    <w:abstractNumId w:val="0"/>
  </w:num>
  <w:num w:numId="2" w16cid:durableId="1277448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5C"/>
    <w:rsid w:val="00005AE8"/>
    <w:rsid w:val="000214DD"/>
    <w:rsid w:val="00033548"/>
    <w:rsid w:val="00042579"/>
    <w:rsid w:val="00067D1B"/>
    <w:rsid w:val="000D33A9"/>
    <w:rsid w:val="000E1B29"/>
    <w:rsid w:val="000E1F2C"/>
    <w:rsid w:val="000F2F2E"/>
    <w:rsid w:val="00110304"/>
    <w:rsid w:val="001349E4"/>
    <w:rsid w:val="001A202A"/>
    <w:rsid w:val="001C769E"/>
    <w:rsid w:val="001D2634"/>
    <w:rsid w:val="001E22A9"/>
    <w:rsid w:val="001F0B3C"/>
    <w:rsid w:val="00210CF4"/>
    <w:rsid w:val="002166E2"/>
    <w:rsid w:val="002201E9"/>
    <w:rsid w:val="00220ECF"/>
    <w:rsid w:val="00236160"/>
    <w:rsid w:val="00237BB0"/>
    <w:rsid w:val="002440FA"/>
    <w:rsid w:val="00250242"/>
    <w:rsid w:val="002566C8"/>
    <w:rsid w:val="00264675"/>
    <w:rsid w:val="002652B0"/>
    <w:rsid w:val="0026564C"/>
    <w:rsid w:val="00274A5F"/>
    <w:rsid w:val="002B3BC8"/>
    <w:rsid w:val="0033549B"/>
    <w:rsid w:val="00342FF8"/>
    <w:rsid w:val="0034516F"/>
    <w:rsid w:val="00360768"/>
    <w:rsid w:val="00374FF0"/>
    <w:rsid w:val="003B352F"/>
    <w:rsid w:val="003B4769"/>
    <w:rsid w:val="003B660A"/>
    <w:rsid w:val="003D7AAF"/>
    <w:rsid w:val="003E250F"/>
    <w:rsid w:val="003F694A"/>
    <w:rsid w:val="004007EF"/>
    <w:rsid w:val="0041405C"/>
    <w:rsid w:val="0042098C"/>
    <w:rsid w:val="00420AB0"/>
    <w:rsid w:val="004439C9"/>
    <w:rsid w:val="0045228C"/>
    <w:rsid w:val="0047607A"/>
    <w:rsid w:val="0048251D"/>
    <w:rsid w:val="004A513E"/>
    <w:rsid w:val="004C6FE9"/>
    <w:rsid w:val="004D6DB6"/>
    <w:rsid w:val="0053727E"/>
    <w:rsid w:val="00543EBE"/>
    <w:rsid w:val="0056408B"/>
    <w:rsid w:val="00564DB2"/>
    <w:rsid w:val="00571C9B"/>
    <w:rsid w:val="0059487C"/>
    <w:rsid w:val="005A354E"/>
    <w:rsid w:val="005A3A29"/>
    <w:rsid w:val="005A4203"/>
    <w:rsid w:val="0065380A"/>
    <w:rsid w:val="00666365"/>
    <w:rsid w:val="00680525"/>
    <w:rsid w:val="00681272"/>
    <w:rsid w:val="00693724"/>
    <w:rsid w:val="006A375C"/>
    <w:rsid w:val="006B6D5D"/>
    <w:rsid w:val="006C1BA7"/>
    <w:rsid w:val="006D6483"/>
    <w:rsid w:val="007437ED"/>
    <w:rsid w:val="00747C80"/>
    <w:rsid w:val="00766031"/>
    <w:rsid w:val="00787DEA"/>
    <w:rsid w:val="007A202B"/>
    <w:rsid w:val="007A5FBB"/>
    <w:rsid w:val="007C6012"/>
    <w:rsid w:val="007E2ABD"/>
    <w:rsid w:val="007F79DD"/>
    <w:rsid w:val="0082463C"/>
    <w:rsid w:val="00853119"/>
    <w:rsid w:val="008560A8"/>
    <w:rsid w:val="0086041A"/>
    <w:rsid w:val="00871876"/>
    <w:rsid w:val="00874E5E"/>
    <w:rsid w:val="008809A8"/>
    <w:rsid w:val="0088578F"/>
    <w:rsid w:val="008C60B8"/>
    <w:rsid w:val="008E5AAA"/>
    <w:rsid w:val="008F075B"/>
    <w:rsid w:val="008F1DDE"/>
    <w:rsid w:val="0091154E"/>
    <w:rsid w:val="00911B7D"/>
    <w:rsid w:val="00925C8F"/>
    <w:rsid w:val="00936D30"/>
    <w:rsid w:val="009514B0"/>
    <w:rsid w:val="009A4963"/>
    <w:rsid w:val="009D3D2C"/>
    <w:rsid w:val="009F3D6F"/>
    <w:rsid w:val="009F5D89"/>
    <w:rsid w:val="00A01350"/>
    <w:rsid w:val="00A246C8"/>
    <w:rsid w:val="00A273FA"/>
    <w:rsid w:val="00A7105B"/>
    <w:rsid w:val="00A82EE0"/>
    <w:rsid w:val="00AC25F5"/>
    <w:rsid w:val="00B4771D"/>
    <w:rsid w:val="00B504EE"/>
    <w:rsid w:val="00B54E64"/>
    <w:rsid w:val="00B56C9B"/>
    <w:rsid w:val="00B81570"/>
    <w:rsid w:val="00B87D3A"/>
    <w:rsid w:val="00B96E5A"/>
    <w:rsid w:val="00B97EDC"/>
    <w:rsid w:val="00BE1DAF"/>
    <w:rsid w:val="00BF43F1"/>
    <w:rsid w:val="00C25A56"/>
    <w:rsid w:val="00C3211A"/>
    <w:rsid w:val="00C32201"/>
    <w:rsid w:val="00C452C6"/>
    <w:rsid w:val="00C5130C"/>
    <w:rsid w:val="00C534E3"/>
    <w:rsid w:val="00C54300"/>
    <w:rsid w:val="00CA1AB5"/>
    <w:rsid w:val="00CA6576"/>
    <w:rsid w:val="00CB2CD3"/>
    <w:rsid w:val="00CC3C43"/>
    <w:rsid w:val="00CD78D3"/>
    <w:rsid w:val="00CE7148"/>
    <w:rsid w:val="00CF194F"/>
    <w:rsid w:val="00D027E0"/>
    <w:rsid w:val="00D16742"/>
    <w:rsid w:val="00D66769"/>
    <w:rsid w:val="00D84E04"/>
    <w:rsid w:val="00DA17ED"/>
    <w:rsid w:val="00DB6D1E"/>
    <w:rsid w:val="00DE2D06"/>
    <w:rsid w:val="00DE4DAF"/>
    <w:rsid w:val="00DF0541"/>
    <w:rsid w:val="00E0169A"/>
    <w:rsid w:val="00E01DDD"/>
    <w:rsid w:val="00E11E69"/>
    <w:rsid w:val="00E3793C"/>
    <w:rsid w:val="00E46C76"/>
    <w:rsid w:val="00E505D4"/>
    <w:rsid w:val="00E7431D"/>
    <w:rsid w:val="00E80B65"/>
    <w:rsid w:val="00EA5056"/>
    <w:rsid w:val="00EC7A77"/>
    <w:rsid w:val="00ED3E21"/>
    <w:rsid w:val="00F1533F"/>
    <w:rsid w:val="00F529A2"/>
    <w:rsid w:val="00F82A67"/>
    <w:rsid w:val="00F85028"/>
    <w:rsid w:val="00FD1B8D"/>
    <w:rsid w:val="00FE535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5962"/>
  <w15:docId w15:val="{FEC6A5E2-1002-4291-A938-A160848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5C"/>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0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05C"/>
    <w:rPr>
      <w:kern w:val="0"/>
      <w:lang w:val="es-ES"/>
      <w14:ligatures w14:val="none"/>
    </w:rPr>
  </w:style>
  <w:style w:type="paragraph" w:styleId="Piedepgina">
    <w:name w:val="footer"/>
    <w:basedOn w:val="Normal"/>
    <w:link w:val="PiedepginaCar"/>
    <w:uiPriority w:val="99"/>
    <w:unhideWhenUsed/>
    <w:rsid w:val="004140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05C"/>
    <w:rPr>
      <w:kern w:val="0"/>
      <w:lang w:val="es-ES"/>
      <w14:ligatures w14:val="none"/>
    </w:rPr>
  </w:style>
  <w:style w:type="table" w:styleId="Tablaconcuadrcula">
    <w:name w:val="Table Grid"/>
    <w:basedOn w:val="Tablanormal"/>
    <w:uiPriority w:val="39"/>
    <w:rsid w:val="0041405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42873">
      <w:bodyDiv w:val="1"/>
      <w:marLeft w:val="0"/>
      <w:marRight w:val="0"/>
      <w:marTop w:val="0"/>
      <w:marBottom w:val="0"/>
      <w:divBdr>
        <w:top w:val="none" w:sz="0" w:space="0" w:color="auto"/>
        <w:left w:val="none" w:sz="0" w:space="0" w:color="auto"/>
        <w:bottom w:val="none" w:sz="0" w:space="0" w:color="auto"/>
        <w:right w:val="none" w:sz="0" w:space="0" w:color="auto"/>
      </w:divBdr>
    </w:div>
    <w:div w:id="139908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17E1-7A53-42C2-A9C2-FDA8E712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2180</Words>
  <Characters>11994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INFOEM568</dc:creator>
  <cp:lastModifiedBy>inf03m_31@outlook.com</cp:lastModifiedBy>
  <cp:revision>2</cp:revision>
  <cp:lastPrinted>2025-02-10T15:59:00Z</cp:lastPrinted>
  <dcterms:created xsi:type="dcterms:W3CDTF">2025-03-28T19:08:00Z</dcterms:created>
  <dcterms:modified xsi:type="dcterms:W3CDTF">2025-03-31T19:27:00Z</dcterms:modified>
</cp:coreProperties>
</file>