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A063" w14:textId="77777777" w:rsidR="0083727D" w:rsidRDefault="0083727D" w:rsidP="00E653DE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 w:cs="Tahoma"/>
          <w:b/>
        </w:rPr>
      </w:pPr>
    </w:p>
    <w:p w14:paraId="4F4AAA78" w14:textId="3A146A44" w:rsidR="0041405C" w:rsidRPr="005562A6" w:rsidRDefault="0041405C" w:rsidP="00E653DE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 w:cs="Tahoma"/>
          <w:b/>
        </w:rPr>
      </w:pPr>
      <w:r w:rsidRPr="005562A6">
        <w:rPr>
          <w:rFonts w:ascii="Palatino Linotype" w:hAnsi="Palatino Linotype" w:cs="Tahoma"/>
          <w:b/>
        </w:rPr>
        <w:t xml:space="preserve">VOTO PARTICULAR QUE FORMULA EL COMISIONADO LUIS GUSTAVO PARRA NORIEGA, A LA RESOLUCIÓN DEL RECURSO DE REVISIÓN </w:t>
      </w:r>
      <w:r w:rsidR="005E013D">
        <w:rPr>
          <w:rFonts w:ascii="Palatino Linotype" w:eastAsia="Palatino Linotype" w:hAnsi="Palatino Linotype" w:cs="Palatino Linotype"/>
          <w:b/>
        </w:rPr>
        <w:t>02630</w:t>
      </w:r>
      <w:r w:rsidR="00C80E65" w:rsidRPr="005562A6">
        <w:rPr>
          <w:rFonts w:ascii="Palatino Linotype" w:eastAsia="Palatino Linotype" w:hAnsi="Palatino Linotype" w:cs="Palatino Linotype"/>
          <w:b/>
        </w:rPr>
        <w:t>/INFOEM/IP/RR/2025</w:t>
      </w:r>
      <w:r w:rsidRPr="005562A6">
        <w:rPr>
          <w:rFonts w:ascii="Palatino Linotype" w:hAnsi="Palatino Linotype"/>
          <w:b/>
          <w:lang w:val="es-MX"/>
        </w:rPr>
        <w:t>,</w:t>
      </w:r>
      <w:r w:rsidRPr="005562A6">
        <w:rPr>
          <w:rFonts w:ascii="Palatino Linotype" w:hAnsi="Palatino Linotype" w:cs="Tahoma"/>
          <w:b/>
        </w:rPr>
        <w:t xml:space="preserve"> PROMOVIDO EN </w:t>
      </w:r>
      <w:r w:rsidR="009F0363" w:rsidRPr="005562A6">
        <w:rPr>
          <w:rFonts w:ascii="Palatino Linotype" w:hAnsi="Palatino Linotype" w:cs="Tahoma"/>
          <w:b/>
        </w:rPr>
        <w:t xml:space="preserve">CONTRA DEL </w:t>
      </w:r>
      <w:r w:rsidR="009F0363" w:rsidRPr="005562A6">
        <w:rPr>
          <w:rFonts w:ascii="Palatino Linotype" w:eastAsia="Times New Roman" w:hAnsi="Palatino Linotype" w:cs="Palatino Linotype"/>
          <w:b/>
          <w:color w:val="000000"/>
        </w:rPr>
        <w:t xml:space="preserve">AYUNTAMIENTO DE </w:t>
      </w:r>
      <w:r w:rsidR="005E013D" w:rsidRPr="005E013D">
        <w:rPr>
          <w:rFonts w:ascii="Palatino Linotype" w:eastAsia="Times New Roman" w:hAnsi="Palatino Linotype" w:cs="Palatino Linotype"/>
          <w:b/>
          <w:color w:val="000000"/>
        </w:rPr>
        <w:t>TOLUCA</w:t>
      </w:r>
    </w:p>
    <w:p w14:paraId="29D7D6F6" w14:textId="77777777" w:rsidR="00342FF8" w:rsidRPr="005562A6" w:rsidRDefault="00342FF8" w:rsidP="00E653DE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3F2A5958" w14:textId="3DA9ECDA" w:rsidR="0041405C" w:rsidRPr="005562A6" w:rsidRDefault="0041405C" w:rsidP="00E653DE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/>
          <w:b/>
          <w:lang w:val="es-MX"/>
        </w:rPr>
      </w:pPr>
      <w:r w:rsidRPr="005562A6">
        <w:rPr>
          <w:rFonts w:ascii="Palatino Linotype" w:hAnsi="Palatino Linotype" w:cs="Tahoma"/>
        </w:rPr>
        <w:t xml:space="preserve">En términos de lo dispuesto por los artículos 189, párrafo primero, de la Ley de Transparencia y Acceso a la Información Pública del Estado de México y Municipios; 14, fracción XI, del Reglamento Interior del Instituto de Transparencia, Acceso a la Información Pública y Protección de Datos Personales del Estado de México y Municipios; 45, 48, fracción I, de los Lineamientos para el funcionamiento del Pleno y las Comisiones del Instituto de Transparencia, Acceso a la Información Pública y Protección de Datos Personales del Estado de México y Municipios, emito el presente </w:t>
      </w:r>
      <w:r w:rsidRPr="005562A6">
        <w:rPr>
          <w:rFonts w:ascii="Palatino Linotype" w:hAnsi="Palatino Linotype" w:cs="Tahoma"/>
          <w:b/>
        </w:rPr>
        <w:t>Voto Particular</w:t>
      </w:r>
      <w:r w:rsidRPr="005562A6">
        <w:rPr>
          <w:rFonts w:ascii="Palatino Linotype" w:hAnsi="Palatino Linotype" w:cs="Tahoma"/>
        </w:rPr>
        <w:t xml:space="preserve"> por no compartir en su totalidad las consideraciones que sustentan la Resolución del Recurso de Revisión </w:t>
      </w:r>
      <w:r w:rsidR="005E013D">
        <w:rPr>
          <w:rFonts w:ascii="Palatino Linotype" w:eastAsia="Palatino Linotype" w:hAnsi="Palatino Linotype" w:cs="Palatino Linotype"/>
          <w:b/>
        </w:rPr>
        <w:t>02630</w:t>
      </w:r>
      <w:r w:rsidR="00C80E65" w:rsidRPr="005562A6">
        <w:rPr>
          <w:rFonts w:ascii="Palatino Linotype" w:eastAsia="Palatino Linotype" w:hAnsi="Palatino Linotype" w:cs="Palatino Linotype"/>
          <w:b/>
        </w:rPr>
        <w:t>/INFOEM/IP/RR/2025</w:t>
      </w:r>
      <w:r w:rsidRPr="005562A6">
        <w:rPr>
          <w:rFonts w:ascii="Palatino Linotype" w:hAnsi="Palatino Linotype"/>
          <w:b/>
          <w:lang w:val="es-MX"/>
        </w:rPr>
        <w:t>.</w:t>
      </w:r>
    </w:p>
    <w:p w14:paraId="3D998A3A" w14:textId="77777777" w:rsidR="00DF0541" w:rsidRPr="005562A6" w:rsidRDefault="00DF0541" w:rsidP="00E653DE">
      <w:pPr>
        <w:tabs>
          <w:tab w:val="left" w:pos="1843"/>
        </w:tabs>
        <w:spacing w:after="0" w:line="360" w:lineRule="auto"/>
        <w:jc w:val="both"/>
        <w:rPr>
          <w:rFonts w:ascii="Palatino Linotype" w:hAnsi="Palatino Linotype"/>
          <w:b/>
          <w:lang w:val="es-MX"/>
        </w:rPr>
      </w:pPr>
    </w:p>
    <w:p w14:paraId="410323DE" w14:textId="0247FC81" w:rsidR="00342FF8" w:rsidRPr="005562A6" w:rsidRDefault="00342FF8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  <w:r w:rsidRPr="005562A6">
        <w:rPr>
          <w:rFonts w:ascii="Palatino Linotype" w:hAnsi="Palatino Linotype" w:cs="Tahoma"/>
        </w:rPr>
        <w:t>Como se desprende de la Resolución en comento, el Particular solicitó</w:t>
      </w:r>
      <w:r w:rsidR="007B27EA" w:rsidRPr="005562A6">
        <w:rPr>
          <w:rFonts w:ascii="Palatino Linotype" w:hAnsi="Palatino Linotype" w:cs="Tahoma"/>
        </w:rPr>
        <w:t xml:space="preserve"> </w:t>
      </w:r>
      <w:r w:rsidR="005E013D" w:rsidRPr="005E013D">
        <w:rPr>
          <w:rFonts w:ascii="Palatino Linotype" w:hAnsi="Palatino Linotype" w:cs="Tahoma"/>
        </w:rPr>
        <w:t xml:space="preserve">la expresión documental que </w:t>
      </w:r>
      <w:r w:rsidR="005E013D">
        <w:rPr>
          <w:rFonts w:ascii="Palatino Linotype" w:hAnsi="Palatino Linotype" w:cs="Tahoma"/>
        </w:rPr>
        <w:t>diera</w:t>
      </w:r>
      <w:r w:rsidR="005E013D" w:rsidRPr="005E013D">
        <w:rPr>
          <w:rFonts w:ascii="Palatino Linotype" w:hAnsi="Palatino Linotype" w:cs="Tahoma"/>
        </w:rPr>
        <w:t xml:space="preserve"> cuenta de que</w:t>
      </w:r>
      <w:r w:rsidR="005E013D">
        <w:rPr>
          <w:rFonts w:ascii="Palatino Linotype" w:hAnsi="Palatino Linotype" w:cs="Tahoma"/>
        </w:rPr>
        <w:t xml:space="preserve"> el responsable de la Unidad de Transparencia cuenta con los requisitos establecidos en el artículo 57 de la Ley de Transparencia y Acceso a la Información Pública del Estado de México y Municipios, en respuesta e</w:t>
      </w:r>
      <w:r w:rsidR="003D38C8" w:rsidRPr="005562A6">
        <w:rPr>
          <w:rFonts w:ascii="Palatino Linotype" w:hAnsi="Palatino Linotype" w:cs="Tahoma"/>
        </w:rPr>
        <w:t>l Sujeto Obligado</w:t>
      </w:r>
      <w:r w:rsidR="005E013D">
        <w:rPr>
          <w:rFonts w:ascii="Palatino Linotype" w:hAnsi="Palatino Linotype" w:cs="Tahoma"/>
        </w:rPr>
        <w:t xml:space="preserve"> solo realizó pronunciamiento respecto de que </w:t>
      </w:r>
      <w:r w:rsidR="005E013D" w:rsidRPr="005E013D">
        <w:rPr>
          <w:rFonts w:ascii="Palatino Linotype" w:hAnsi="Palatino Linotype" w:cs="Tahoma"/>
        </w:rPr>
        <w:t xml:space="preserve">el servidor público tiene </w:t>
      </w:r>
      <w:r w:rsidR="005E013D">
        <w:rPr>
          <w:rFonts w:ascii="Palatino Linotype" w:hAnsi="Palatino Linotype" w:cs="Tahoma"/>
        </w:rPr>
        <w:t xml:space="preserve">seis </w:t>
      </w:r>
      <w:r w:rsidR="005E013D" w:rsidRPr="005E013D">
        <w:rPr>
          <w:rFonts w:ascii="Palatino Linotype" w:hAnsi="Palatino Linotype" w:cs="Tahoma"/>
        </w:rPr>
        <w:t xml:space="preserve">meses para cumplir con </w:t>
      </w:r>
      <w:r w:rsidR="005E013D">
        <w:rPr>
          <w:rFonts w:ascii="Palatino Linotype" w:hAnsi="Palatino Linotype" w:cs="Tahoma"/>
        </w:rPr>
        <w:t>el requisito de la certificación</w:t>
      </w:r>
      <w:r w:rsidR="005E013D" w:rsidRPr="005E013D">
        <w:rPr>
          <w:rFonts w:ascii="Palatino Linotype" w:hAnsi="Palatino Linotype" w:cs="Tahoma"/>
        </w:rPr>
        <w:t xml:space="preserve">, motivo por el cual </w:t>
      </w:r>
      <w:r w:rsidR="00450F80" w:rsidRPr="005562A6">
        <w:rPr>
          <w:rFonts w:ascii="Palatino Linotype" w:hAnsi="Palatino Linotype" w:cs="Tahoma"/>
        </w:rPr>
        <w:t xml:space="preserve">el Particular, </w:t>
      </w:r>
      <w:r w:rsidR="00235DCA" w:rsidRPr="005562A6">
        <w:rPr>
          <w:rFonts w:ascii="Palatino Linotype" w:hAnsi="Palatino Linotype" w:cs="Tahoma"/>
        </w:rPr>
        <w:t>se inconf</w:t>
      </w:r>
      <w:r w:rsidR="006A16AA" w:rsidRPr="005562A6">
        <w:rPr>
          <w:rFonts w:ascii="Palatino Linotype" w:hAnsi="Palatino Linotype" w:cs="Tahoma"/>
        </w:rPr>
        <w:t xml:space="preserve">ormó de la falta de entrega </w:t>
      </w:r>
      <w:r w:rsidR="005E013D">
        <w:rPr>
          <w:rFonts w:ascii="Palatino Linotype" w:hAnsi="Palatino Linotype" w:cs="Tahoma"/>
        </w:rPr>
        <w:t xml:space="preserve">de </w:t>
      </w:r>
      <w:r w:rsidR="00611E78">
        <w:rPr>
          <w:rFonts w:ascii="Palatino Linotype" w:hAnsi="Palatino Linotype" w:cs="Tahoma"/>
        </w:rPr>
        <w:t>la información solicitada.</w:t>
      </w:r>
    </w:p>
    <w:p w14:paraId="74D182BF" w14:textId="77777777" w:rsidR="006A16AA" w:rsidRPr="005562A6" w:rsidRDefault="006A16AA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</w:p>
    <w:p w14:paraId="0761498B" w14:textId="417589DC" w:rsidR="006A16AA" w:rsidRPr="005562A6" w:rsidRDefault="006A16AA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  <w:i/>
          <w:iCs/>
        </w:rPr>
      </w:pPr>
      <w:r w:rsidRPr="005562A6">
        <w:rPr>
          <w:rFonts w:ascii="Palatino Linotype" w:hAnsi="Palatino Linotype" w:cs="Tahoma"/>
        </w:rPr>
        <w:t xml:space="preserve">En la resolución, la Ponencia determinó </w:t>
      </w:r>
      <w:r w:rsidR="00041D3F" w:rsidRPr="005562A6">
        <w:rPr>
          <w:rFonts w:ascii="Palatino Linotype" w:hAnsi="Palatino Linotype" w:cs="Tahoma"/>
        </w:rPr>
        <w:t xml:space="preserve">ordenar </w:t>
      </w:r>
      <w:r w:rsidR="00611E78">
        <w:rPr>
          <w:rFonts w:ascii="Palatino Linotype" w:hAnsi="Palatino Linotype" w:cs="Tahoma"/>
        </w:rPr>
        <w:t xml:space="preserve">los documentos donde consten </w:t>
      </w:r>
      <w:r w:rsidR="00B61654">
        <w:rPr>
          <w:rFonts w:ascii="Palatino Linotype" w:hAnsi="Palatino Linotype" w:cs="Tahoma"/>
        </w:rPr>
        <w:t xml:space="preserve">que </w:t>
      </w:r>
      <w:r w:rsidR="00611E78">
        <w:rPr>
          <w:rFonts w:ascii="Palatino Linotype" w:hAnsi="Palatino Linotype" w:cs="Tahoma"/>
        </w:rPr>
        <w:t>el Titular de la Unidad de Transparencia</w:t>
      </w:r>
      <w:r w:rsidR="00B61654">
        <w:rPr>
          <w:rFonts w:ascii="Palatino Linotype" w:hAnsi="Palatino Linotype" w:cs="Tahoma"/>
        </w:rPr>
        <w:t xml:space="preserve"> cuenta con</w:t>
      </w:r>
      <w:r w:rsidR="00611E78">
        <w:rPr>
          <w:rFonts w:ascii="Palatino Linotype" w:hAnsi="Palatino Linotype" w:cs="Tahoma"/>
        </w:rPr>
        <w:t xml:space="preserve"> </w:t>
      </w:r>
      <w:r w:rsidR="009B0B5C">
        <w:rPr>
          <w:rFonts w:ascii="Palatino Linotype" w:hAnsi="Palatino Linotype" w:cs="Tahoma"/>
        </w:rPr>
        <w:t xml:space="preserve">las </w:t>
      </w:r>
      <w:r w:rsidR="00A67C88" w:rsidRPr="005562A6">
        <w:rPr>
          <w:rFonts w:ascii="Palatino Linotype" w:hAnsi="Palatino Linotype" w:cs="Tahoma"/>
        </w:rPr>
        <w:t>“</w:t>
      </w:r>
      <w:r w:rsidR="00611E78" w:rsidRPr="00611E78">
        <w:rPr>
          <w:rFonts w:ascii="Palatino Linotype" w:hAnsi="Palatino Linotype" w:cs="Tahoma"/>
          <w:i/>
          <w:iCs/>
        </w:rPr>
        <w:t>Habilidades de organización y comunicación, así como visión y liderazgo</w:t>
      </w:r>
      <w:r w:rsidR="00B61654">
        <w:rPr>
          <w:rFonts w:ascii="Palatino Linotype" w:hAnsi="Palatino Linotype" w:cs="Tahoma"/>
          <w:i/>
          <w:iCs/>
        </w:rPr>
        <w:t>.</w:t>
      </w:r>
      <w:r w:rsidR="00A67C88" w:rsidRPr="005562A6">
        <w:rPr>
          <w:rFonts w:ascii="Palatino Linotype" w:hAnsi="Palatino Linotype" w:cs="Tahoma"/>
          <w:i/>
          <w:iCs/>
        </w:rPr>
        <w:t>”</w:t>
      </w:r>
      <w:r w:rsidR="004942F2" w:rsidRPr="005562A6">
        <w:rPr>
          <w:rFonts w:ascii="Palatino Linotype" w:hAnsi="Palatino Linotype" w:cs="Tahoma"/>
          <w:i/>
          <w:iCs/>
        </w:rPr>
        <w:t xml:space="preserve"> </w:t>
      </w:r>
    </w:p>
    <w:p w14:paraId="7AC5C3B3" w14:textId="77777777" w:rsidR="0037274E" w:rsidRPr="005562A6" w:rsidRDefault="0037274E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</w:p>
    <w:p w14:paraId="0D61CBD8" w14:textId="3F08C274" w:rsidR="00B61654" w:rsidRDefault="0037274E" w:rsidP="00B61654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  <w:r w:rsidRPr="005562A6">
        <w:rPr>
          <w:rFonts w:ascii="Palatino Linotype" w:hAnsi="Palatino Linotype" w:cs="Tahoma"/>
        </w:rPr>
        <w:t>Si bien comparto con el sentido de la resolución</w:t>
      </w:r>
      <w:r w:rsidR="008E5040" w:rsidRPr="005562A6">
        <w:rPr>
          <w:rFonts w:ascii="Palatino Linotype" w:hAnsi="Palatino Linotype" w:cs="Tahoma"/>
        </w:rPr>
        <w:t xml:space="preserve">, porque la respuesta no satisface el derecho de acceso a la información y procede ordenar su entrega, </w:t>
      </w:r>
      <w:r w:rsidR="009808A5" w:rsidRPr="005562A6">
        <w:rPr>
          <w:rFonts w:ascii="Palatino Linotype" w:hAnsi="Palatino Linotype" w:cs="Tahoma"/>
        </w:rPr>
        <w:t>considero que no se debió ordenar</w:t>
      </w:r>
      <w:r w:rsidR="00611E78">
        <w:rPr>
          <w:rFonts w:ascii="Palatino Linotype" w:hAnsi="Palatino Linotype" w:cs="Tahoma"/>
        </w:rPr>
        <w:t xml:space="preserve"> el punto transcrito</w:t>
      </w:r>
      <w:r w:rsidR="00B61654">
        <w:rPr>
          <w:rFonts w:ascii="Palatino Linotype" w:hAnsi="Palatino Linotype" w:cs="Tahoma"/>
        </w:rPr>
        <w:t xml:space="preserve"> como obligatorio</w:t>
      </w:r>
      <w:r w:rsidR="00611E78">
        <w:rPr>
          <w:rFonts w:ascii="Palatino Linotype" w:hAnsi="Palatino Linotype" w:cs="Tahoma"/>
        </w:rPr>
        <w:t xml:space="preserve"> ya que no hay un documento en específico que </w:t>
      </w:r>
      <w:r w:rsidR="00B61654">
        <w:rPr>
          <w:rFonts w:ascii="Palatino Linotype" w:hAnsi="Palatino Linotype" w:cs="Tahoma"/>
        </w:rPr>
        <w:t>pueda acreditar</w:t>
      </w:r>
      <w:r w:rsidR="00611E78">
        <w:rPr>
          <w:rFonts w:ascii="Palatino Linotype" w:hAnsi="Palatino Linotype" w:cs="Tahoma"/>
        </w:rPr>
        <w:t xml:space="preserve"> el cumplimiento de dicho</w:t>
      </w:r>
      <w:r w:rsidR="00B61654">
        <w:rPr>
          <w:rFonts w:ascii="Palatino Linotype" w:hAnsi="Palatino Linotype" w:cs="Tahoma"/>
        </w:rPr>
        <w:t>s</w:t>
      </w:r>
      <w:r w:rsidR="00611E78">
        <w:rPr>
          <w:rFonts w:ascii="Palatino Linotype" w:hAnsi="Palatino Linotype" w:cs="Tahoma"/>
        </w:rPr>
        <w:t xml:space="preserve"> requisito</w:t>
      </w:r>
      <w:r w:rsidR="00B61654">
        <w:rPr>
          <w:rFonts w:ascii="Palatino Linotype" w:hAnsi="Palatino Linotype" w:cs="Tahoma"/>
        </w:rPr>
        <w:t>s</w:t>
      </w:r>
      <w:r w:rsidR="00611E78">
        <w:rPr>
          <w:rFonts w:ascii="Palatino Linotype" w:hAnsi="Palatino Linotype" w:cs="Tahoma"/>
        </w:rPr>
        <w:t>,</w:t>
      </w:r>
      <w:r w:rsidR="00B61654">
        <w:rPr>
          <w:rFonts w:ascii="Palatino Linotype" w:hAnsi="Palatino Linotype" w:cs="Tahoma"/>
        </w:rPr>
        <w:t xml:space="preserve"> pues si bien pudieran haberse tomado cursos, no existe identificado algún curso o certificación que permita acreditar dicho requisito, por lo que se debió establecer salvedad.</w:t>
      </w:r>
    </w:p>
    <w:p w14:paraId="224CCF6A" w14:textId="77777777" w:rsidR="00B61654" w:rsidRDefault="00B61654" w:rsidP="00B61654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</w:p>
    <w:p w14:paraId="47F97007" w14:textId="68533705" w:rsidR="00B61654" w:rsidRDefault="00B61654" w:rsidP="00B61654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En efecto, </w:t>
      </w:r>
      <w:r w:rsidRPr="00B61654">
        <w:rPr>
          <w:rFonts w:ascii="Palatino Linotype" w:hAnsi="Palatino Linotype" w:cs="Tahoma"/>
        </w:rPr>
        <w:t>desde mi punto de vista, el artículo 57, de la Ley de Transparencia</w:t>
      </w:r>
      <w:r>
        <w:rPr>
          <w:rFonts w:ascii="Palatino Linotype" w:hAnsi="Palatino Linotype" w:cs="Tahoma"/>
        </w:rPr>
        <w:t xml:space="preserve"> y Acceso a la Información Pública del Estado de México y Municipios,</w:t>
      </w:r>
      <w:r w:rsidRPr="00B61654">
        <w:rPr>
          <w:rFonts w:ascii="Palatino Linotype" w:hAnsi="Palatino Linotype" w:cs="Tahoma"/>
        </w:rPr>
        <w:t xml:space="preserve"> dispone que los Titulares de Unidad deben tener Habilidades de organización y comunicación, visión y liderazgo, sin que implique un requisito que deba acreditarse con expresión documental, ya que son competencias personales y socioemocionales que no se adquieren necesariamente a través de la educación formal, sino de la experiencia, interacción y adaptación a diferentes situaciones, </w:t>
      </w:r>
      <w:r>
        <w:rPr>
          <w:rFonts w:ascii="Palatino Linotype" w:hAnsi="Palatino Linotype" w:cs="Tahoma"/>
        </w:rPr>
        <w:t>habilidades que</w:t>
      </w:r>
      <w:r w:rsidRPr="00B61654">
        <w:rPr>
          <w:rFonts w:ascii="Palatino Linotype" w:hAnsi="Palatino Linotype" w:cs="Tahoma"/>
        </w:rPr>
        <w:t xml:space="preserve"> incluso pudieran ser valoradas desde distintas ópticas, según la persona que las califique.</w:t>
      </w:r>
    </w:p>
    <w:p w14:paraId="54A3C6C0" w14:textId="77777777" w:rsidR="00B61654" w:rsidRDefault="00B61654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</w:p>
    <w:p w14:paraId="69EFCB24" w14:textId="3022E16C" w:rsidR="00E653DE" w:rsidRPr="005562A6" w:rsidRDefault="00B61654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Adicional a ello, </w:t>
      </w:r>
      <w:r w:rsidR="009B0B5C">
        <w:rPr>
          <w:rFonts w:ascii="Palatino Linotype" w:hAnsi="Palatino Linotype" w:cs="Tahoma"/>
        </w:rPr>
        <w:t xml:space="preserve">el </w:t>
      </w:r>
      <w:r w:rsidR="009B0B5C">
        <w:rPr>
          <w:rFonts w:ascii="Palatino Linotype" w:hAnsi="Palatino Linotype" w:cs="Tahoma"/>
          <w:i/>
          <w:iCs/>
        </w:rPr>
        <w:t xml:space="preserve">curriculum vitae </w:t>
      </w:r>
      <w:r>
        <w:rPr>
          <w:rFonts w:ascii="Palatino Linotype" w:hAnsi="Palatino Linotype" w:cs="Tahoma"/>
        </w:rPr>
        <w:t xml:space="preserve">permite conocer la </w:t>
      </w:r>
      <w:r w:rsidRPr="009B0B5C">
        <w:rPr>
          <w:rFonts w:ascii="Palatino Linotype" w:hAnsi="Palatino Linotype" w:cs="Tahoma"/>
        </w:rPr>
        <w:t>preparación</w:t>
      </w:r>
      <w:r>
        <w:rPr>
          <w:rFonts w:ascii="Palatino Linotype" w:hAnsi="Palatino Linotype" w:cs="Tahoma"/>
        </w:rPr>
        <w:t xml:space="preserve"> académica y la experiencia profesional pero no acreditar que el desempeño laboral se realizó de manera organizada ni con visión ni liderazgo; </w:t>
      </w:r>
      <w:r w:rsidR="00611E78">
        <w:rPr>
          <w:rFonts w:ascii="Palatino Linotype" w:hAnsi="Palatino Linotype" w:cs="Tahoma"/>
        </w:rPr>
        <w:t>por ello conviene señalar que e</w:t>
      </w:r>
      <w:r w:rsidR="00E653DE" w:rsidRPr="005562A6">
        <w:rPr>
          <w:rFonts w:ascii="Palatino Linotype" w:hAnsi="Palatino Linotype" w:cs="Tahoma"/>
        </w:rPr>
        <w:t xml:space="preserve">l derecho de acceso a la información pública implica que las autoridades deben entregar la información que ya obra en sus archivos y bases de datos, tal como está registrada, y no generar información nueva o </w:t>
      </w:r>
      <w:r w:rsidR="00E653DE" w:rsidRPr="005562A6">
        <w:rPr>
          <w:rFonts w:ascii="Palatino Linotype" w:hAnsi="Palatino Linotype" w:cs="Tahoma"/>
          <w:i/>
          <w:iCs/>
        </w:rPr>
        <w:t xml:space="preserve">ad hoc </w:t>
      </w:r>
      <w:r w:rsidR="00E653DE" w:rsidRPr="005562A6">
        <w:rPr>
          <w:rFonts w:ascii="Palatino Linotype" w:hAnsi="Palatino Linotype" w:cs="Tahoma"/>
        </w:rPr>
        <w:t>para satisfacer las solicitudes</w:t>
      </w:r>
      <w:r w:rsidR="005D21D7" w:rsidRPr="005562A6">
        <w:rPr>
          <w:rFonts w:ascii="Palatino Linotype" w:hAnsi="Palatino Linotype" w:cs="Tahoma"/>
        </w:rPr>
        <w:t>, en términos de los artículos 12 y24 último párrafo de la Ley de Transparencia y Acceso a la Información Pública del Estado de México y  Municipios.</w:t>
      </w:r>
    </w:p>
    <w:p w14:paraId="2F5114C6" w14:textId="77777777" w:rsidR="00E653DE" w:rsidRPr="005562A6" w:rsidRDefault="00E653DE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</w:p>
    <w:p w14:paraId="0F420161" w14:textId="68EEE91D" w:rsidR="00EC73B3" w:rsidRPr="005562A6" w:rsidRDefault="00E653DE" w:rsidP="00FD6EC3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  <w:r w:rsidRPr="005562A6">
        <w:rPr>
          <w:rFonts w:ascii="Palatino Linotype" w:hAnsi="Palatino Linotype" w:cs="Tahoma"/>
        </w:rPr>
        <w:lastRenderedPageBreak/>
        <w:t xml:space="preserve">El derecho de acceso a la información no está orientado a crear o generar datos nuevos. Los sujetos obligados deben proporcionar la información que ya está contenida en sus archivos, independientemente de si la solicitud corresponde a un </w:t>
      </w:r>
      <w:r w:rsidR="00611E78">
        <w:rPr>
          <w:rFonts w:ascii="Palatino Linotype" w:hAnsi="Palatino Linotype" w:cs="Tahoma"/>
        </w:rPr>
        <w:t>elemento</w:t>
      </w:r>
      <w:r w:rsidRPr="005562A6">
        <w:rPr>
          <w:rFonts w:ascii="Palatino Linotype" w:hAnsi="Palatino Linotype" w:cs="Tahoma"/>
        </w:rPr>
        <w:t xml:space="preserve"> específico o no.</w:t>
      </w:r>
      <w:r w:rsidR="00B61654">
        <w:rPr>
          <w:rFonts w:ascii="Palatino Linotype" w:hAnsi="Palatino Linotype" w:cs="Tahoma"/>
        </w:rPr>
        <w:t xml:space="preserve"> </w:t>
      </w:r>
      <w:r w:rsidR="002425EB" w:rsidRPr="005562A6">
        <w:rPr>
          <w:rFonts w:ascii="Palatino Linotype" w:hAnsi="Palatino Linotype" w:cs="Tahoma"/>
        </w:rPr>
        <w:t>Esto, debido a que l</w:t>
      </w:r>
      <w:r w:rsidRPr="005562A6">
        <w:rPr>
          <w:rFonts w:ascii="Palatino Linotype" w:hAnsi="Palatino Linotype" w:cs="Tahoma"/>
        </w:rPr>
        <w:t>os sujetos obligados están obligados a mantener y organizar la información en sus archivos conforme a la ley. Si la información ya existe, el acceso debe ser garantizado sin necesidad de crear nueva información. De no hacerlo, se pondría en duda la gestión adecuada de los archivos públicos</w:t>
      </w:r>
      <w:r w:rsidR="00EC73B3" w:rsidRPr="005562A6">
        <w:rPr>
          <w:rFonts w:ascii="Palatino Linotype" w:hAnsi="Palatino Linotype" w:cs="Tahoma"/>
        </w:rPr>
        <w:t xml:space="preserve"> y por tanto la posibilidad de la manipulación de información.</w:t>
      </w:r>
    </w:p>
    <w:p w14:paraId="2019549A" w14:textId="77777777" w:rsidR="000D6E9E" w:rsidRPr="005562A6" w:rsidRDefault="000D6E9E" w:rsidP="000D6E9E">
      <w:pPr>
        <w:spacing w:after="0" w:line="360" w:lineRule="auto"/>
        <w:ind w:right="176"/>
        <w:jc w:val="both"/>
        <w:rPr>
          <w:rFonts w:ascii="Palatino Linotype" w:hAnsi="Palatino Linotype" w:cs="Tahoma"/>
        </w:rPr>
      </w:pPr>
    </w:p>
    <w:p w14:paraId="0D31B823" w14:textId="740AE896" w:rsidR="005D21D7" w:rsidRPr="005562A6" w:rsidRDefault="0070007C" w:rsidP="005D21D7">
      <w:pPr>
        <w:spacing w:after="0" w:line="360" w:lineRule="auto"/>
        <w:ind w:right="176"/>
        <w:jc w:val="both"/>
        <w:rPr>
          <w:rFonts w:ascii="Palatino Linotype" w:hAnsi="Palatino Linotype" w:cs="Tahoma"/>
        </w:rPr>
      </w:pPr>
      <w:r w:rsidRPr="005562A6">
        <w:rPr>
          <w:rFonts w:ascii="Palatino Linotype" w:hAnsi="Palatino Linotype" w:cs="Tahoma"/>
        </w:rPr>
        <w:t xml:space="preserve">En el asunto que analizamos, </w:t>
      </w:r>
      <w:r w:rsidR="00DA5BC0" w:rsidRPr="005562A6">
        <w:rPr>
          <w:rFonts w:ascii="Palatino Linotype" w:hAnsi="Palatino Linotype" w:cs="Tahoma"/>
        </w:rPr>
        <w:t xml:space="preserve">es importante precisar que </w:t>
      </w:r>
      <w:r w:rsidR="0013384F">
        <w:rPr>
          <w:rFonts w:ascii="Palatino Linotype" w:hAnsi="Palatino Linotype" w:cs="Tahoma"/>
        </w:rPr>
        <w:t>al no existir un documento espec</w:t>
      </w:r>
      <w:r w:rsidR="00B61654">
        <w:rPr>
          <w:rFonts w:ascii="Palatino Linotype" w:hAnsi="Palatino Linotype" w:cs="Tahoma"/>
        </w:rPr>
        <w:t>í</w:t>
      </w:r>
      <w:r w:rsidR="0013384F">
        <w:rPr>
          <w:rFonts w:ascii="Palatino Linotype" w:hAnsi="Palatino Linotype" w:cs="Tahoma"/>
        </w:rPr>
        <w:t xml:space="preserve">fico respecto del requisito que se ordenó entregar, </w:t>
      </w:r>
      <w:r w:rsidR="00B61654">
        <w:rPr>
          <w:rFonts w:ascii="Palatino Linotype" w:hAnsi="Palatino Linotype" w:cs="Tahoma"/>
        </w:rPr>
        <w:t xml:space="preserve">desde mi punto de vista </w:t>
      </w:r>
      <w:r w:rsidR="0013384F">
        <w:rPr>
          <w:rFonts w:ascii="Palatino Linotype" w:hAnsi="Palatino Linotype" w:cs="Tahoma"/>
        </w:rPr>
        <w:t xml:space="preserve">se </w:t>
      </w:r>
      <w:r w:rsidR="00B61654">
        <w:rPr>
          <w:rFonts w:ascii="Palatino Linotype" w:hAnsi="Palatino Linotype" w:cs="Tahoma"/>
        </w:rPr>
        <w:t>debió</w:t>
      </w:r>
      <w:r w:rsidR="0013384F">
        <w:rPr>
          <w:rFonts w:ascii="Palatino Linotype" w:hAnsi="Palatino Linotype" w:cs="Tahoma"/>
        </w:rPr>
        <w:t xml:space="preserve"> otorgar salvedad para el caso de que no contar con dichos documentos, </w:t>
      </w:r>
      <w:r w:rsidR="00B61654">
        <w:rPr>
          <w:rFonts w:ascii="Palatino Linotype" w:hAnsi="Palatino Linotype" w:cs="Tahoma"/>
        </w:rPr>
        <w:t>porque no se advierte que exista expresión documenta que de manera obligatoria deba tener el Sujeto  Obligado en sus archivos</w:t>
      </w:r>
      <w:r w:rsidR="00DA5BC0" w:rsidRPr="005562A6">
        <w:rPr>
          <w:rFonts w:ascii="Palatino Linotype" w:hAnsi="Palatino Linotype" w:cs="Tahoma"/>
        </w:rPr>
        <w:t>.</w:t>
      </w:r>
    </w:p>
    <w:p w14:paraId="25A917EE" w14:textId="77777777" w:rsidR="00FD6EC3" w:rsidRPr="005562A6" w:rsidRDefault="00FD6EC3" w:rsidP="00E653DE">
      <w:pPr>
        <w:spacing w:after="0" w:line="360" w:lineRule="auto"/>
        <w:ind w:left="-45" w:right="176"/>
        <w:jc w:val="both"/>
        <w:rPr>
          <w:rFonts w:ascii="Palatino Linotype" w:hAnsi="Palatino Linotype" w:cs="Tahoma"/>
        </w:rPr>
      </w:pPr>
    </w:p>
    <w:p w14:paraId="4A265029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  <w:r w:rsidRPr="005562A6">
        <w:rPr>
          <w:rFonts w:ascii="Palatino Linotype" w:hAnsi="Palatino Linotype" w:cs="Tahoma"/>
        </w:rPr>
        <w:t>Así, con base en los razonamientos expuestos, se emite el Presente Voto Particular.</w:t>
      </w:r>
      <w:r w:rsidRPr="005562A6">
        <w:rPr>
          <w:rFonts w:ascii="Palatino Linotype" w:eastAsia="Calibri" w:hAnsi="Palatino Linotype" w:cs="Times New Roman"/>
          <w:lang w:val="es-MX"/>
        </w:rPr>
        <w:t xml:space="preserve"> </w:t>
      </w:r>
      <w:r w:rsidRPr="005562A6">
        <w:rPr>
          <w:rFonts w:ascii="Palatino Linotype" w:hAnsi="Palatino Linotype" w:cs="Tahoma"/>
          <w:lang w:val="es-MX"/>
        </w:rPr>
        <w:t>----------------------------------------------------------------------------------------------------------------------------------</w:t>
      </w:r>
    </w:p>
    <w:p w14:paraId="3ADE0538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727B0464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7464625E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4A1E9BAC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1346E224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215E2B96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34BAEF49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027A9C8A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07C45216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118DB7CA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04D070CA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4B83B5E5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16E5FB18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0FDE8696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66DDEB2D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6A941083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4D4A5266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3747E09B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5B807412" w14:textId="77777777" w:rsidR="0041405C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69F1C79B" w14:textId="77777777" w:rsidR="0041405C" w:rsidRPr="00885189" w:rsidRDefault="0041405C" w:rsidP="00E653DE">
      <w:pPr>
        <w:spacing w:after="0" w:line="360" w:lineRule="auto"/>
        <w:jc w:val="both"/>
        <w:rPr>
          <w:rFonts w:ascii="Palatino Linotype" w:hAnsi="Palatino Linotype" w:cs="Tahoma"/>
        </w:rPr>
      </w:pPr>
    </w:p>
    <w:p w14:paraId="7B8362D1" w14:textId="77777777" w:rsidR="0041405C" w:rsidRDefault="0041405C" w:rsidP="00E653DE">
      <w:pPr>
        <w:spacing w:after="0"/>
      </w:pPr>
    </w:p>
    <w:p w14:paraId="7A72E023" w14:textId="77777777" w:rsidR="0041405C" w:rsidRDefault="0041405C" w:rsidP="00E653DE">
      <w:pPr>
        <w:spacing w:after="0"/>
      </w:pPr>
    </w:p>
    <w:p w14:paraId="61AF03EC" w14:textId="77777777" w:rsidR="00CE7148" w:rsidRDefault="00CE7148" w:rsidP="00E653DE">
      <w:pPr>
        <w:spacing w:after="0"/>
      </w:pPr>
    </w:p>
    <w:sectPr w:rsidR="00CE7148" w:rsidSect="00B61654">
      <w:headerReference w:type="default" r:id="rId7"/>
      <w:footerReference w:type="default" r:id="rId8"/>
      <w:pgSz w:w="12240" w:h="15840" w:code="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666A3" w14:textId="77777777" w:rsidR="008A331F" w:rsidRDefault="008A331F" w:rsidP="0041405C">
      <w:pPr>
        <w:spacing w:after="0" w:line="240" w:lineRule="auto"/>
      </w:pPr>
      <w:r>
        <w:separator/>
      </w:r>
    </w:p>
  </w:endnote>
  <w:endnote w:type="continuationSeparator" w:id="0">
    <w:p w14:paraId="1075FF9B" w14:textId="77777777" w:rsidR="008A331F" w:rsidRDefault="008A331F" w:rsidP="0041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29403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61A9D7" w14:textId="77777777" w:rsidR="00DF0541" w:rsidRDefault="002566C8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7D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7D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BD6CE7" w14:textId="77777777" w:rsidR="00DF0541" w:rsidRDefault="00DF05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7027" w14:textId="77777777" w:rsidR="008A331F" w:rsidRDefault="008A331F" w:rsidP="0041405C">
      <w:pPr>
        <w:spacing w:after="0" w:line="240" w:lineRule="auto"/>
      </w:pPr>
      <w:r>
        <w:separator/>
      </w:r>
    </w:p>
  </w:footnote>
  <w:footnote w:type="continuationSeparator" w:id="0">
    <w:p w14:paraId="2D7EBBB6" w14:textId="77777777" w:rsidR="008A331F" w:rsidRDefault="008A331F" w:rsidP="0041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5529"/>
    </w:tblGrid>
    <w:tr w:rsidR="00363357" w:rsidRPr="001106EA" w14:paraId="0A1AEA9B" w14:textId="77777777" w:rsidTr="00A32CBC">
      <w:trPr>
        <w:trHeight w:val="2127"/>
      </w:trPr>
      <w:tc>
        <w:tcPr>
          <w:tcW w:w="3402" w:type="dxa"/>
          <w:vAlign w:val="bottom"/>
        </w:tcPr>
        <w:p w14:paraId="240D946E" w14:textId="77777777" w:rsidR="00DF0541" w:rsidRDefault="002566C8" w:rsidP="0077694E">
          <w:pPr>
            <w:pStyle w:val="Encabezado"/>
            <w:tabs>
              <w:tab w:val="clear" w:pos="4252"/>
              <w:tab w:val="center" w:pos="2614"/>
            </w:tabs>
            <w:ind w:left="-255"/>
          </w:pPr>
          <w:r>
            <w:rPr>
              <w:noProof/>
              <w:sz w:val="10"/>
              <w:szCs w:val="10"/>
              <w:lang w:val="es-MX" w:eastAsia="es-MX"/>
            </w:rPr>
            <w:drawing>
              <wp:anchor distT="0" distB="0" distL="114300" distR="114300" simplePos="0" relativeHeight="251676672" behindDoc="0" locked="0" layoutInCell="1" allowOverlap="1" wp14:anchorId="101A2D89" wp14:editId="5751A328">
                <wp:simplePos x="0" y="0"/>
                <wp:positionH relativeFrom="column">
                  <wp:posOffset>-139065</wp:posOffset>
                </wp:positionH>
                <wp:positionV relativeFrom="paragraph">
                  <wp:posOffset>-939800</wp:posOffset>
                </wp:positionV>
                <wp:extent cx="1873250" cy="1114425"/>
                <wp:effectExtent l="0" t="0" r="0" b="0"/>
                <wp:wrapNone/>
                <wp:docPr id="471739819" name="Imagen 471739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 Info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040139" w14:textId="77777777" w:rsidR="00DF0541" w:rsidRDefault="00DF0541" w:rsidP="0077694E">
          <w:pPr>
            <w:pStyle w:val="Encabezado"/>
            <w:tabs>
              <w:tab w:val="clear" w:pos="4252"/>
              <w:tab w:val="center" w:pos="2614"/>
            </w:tabs>
          </w:pPr>
        </w:p>
      </w:tc>
      <w:tc>
        <w:tcPr>
          <w:tcW w:w="5529" w:type="dxa"/>
          <w:vAlign w:val="center"/>
        </w:tcPr>
        <w:p w14:paraId="0CAFC991" w14:textId="77777777" w:rsidR="00DF0541" w:rsidRPr="0041405C" w:rsidRDefault="002566C8" w:rsidP="004101F6">
          <w:pPr>
            <w:pStyle w:val="Encabezado"/>
            <w:jc w:val="both"/>
            <w:rPr>
              <w:rFonts w:ascii="Palatino Linotype" w:hAnsi="Palatino Linotype" w:cs="Tahoma"/>
              <w:b/>
            </w:rPr>
          </w:pPr>
          <w:r w:rsidRPr="0041405C">
            <w:rPr>
              <w:rFonts w:ascii="Palatino Linotype" w:hAnsi="Palatino Linotype" w:cs="Tahoma"/>
              <w:b/>
            </w:rPr>
            <w:t>Voto Particular</w:t>
          </w:r>
        </w:p>
        <w:p w14:paraId="4ED47BB1" w14:textId="3511A32C" w:rsidR="00DF0541" w:rsidRPr="00753FF3" w:rsidRDefault="002566C8" w:rsidP="008F16D1">
          <w:pPr>
            <w:pStyle w:val="Encabezado"/>
            <w:jc w:val="both"/>
            <w:rPr>
              <w:rFonts w:ascii="Palatino Linotype" w:eastAsia="Palatino Linotype" w:hAnsi="Palatino Linotype" w:cs="Palatino Linotype"/>
              <w:bCs/>
            </w:rPr>
          </w:pPr>
          <w:r w:rsidRPr="0041405C">
            <w:rPr>
              <w:rFonts w:ascii="Palatino Linotype" w:hAnsi="Palatino Linotype" w:cs="Tahoma"/>
              <w:b/>
            </w:rPr>
            <w:t xml:space="preserve">Recurso de Revisión: </w:t>
          </w:r>
          <w:r w:rsidR="00EF7324">
            <w:rPr>
              <w:rFonts w:ascii="Palatino Linotype" w:eastAsia="Palatino Linotype" w:hAnsi="Palatino Linotype" w:cs="Palatino Linotype"/>
              <w:bCs/>
            </w:rPr>
            <w:t>02630</w:t>
          </w:r>
          <w:r w:rsidR="003C2D29" w:rsidRPr="00753FF3">
            <w:rPr>
              <w:rFonts w:ascii="Palatino Linotype" w:eastAsia="Palatino Linotype" w:hAnsi="Palatino Linotype" w:cs="Palatino Linotype"/>
              <w:bCs/>
            </w:rPr>
            <w:t>/INFOEM/IP/RR/</w:t>
          </w:r>
          <w:r w:rsidR="00753FF3" w:rsidRPr="00753FF3">
            <w:rPr>
              <w:rFonts w:ascii="Palatino Linotype" w:eastAsia="Palatino Linotype" w:hAnsi="Palatino Linotype" w:cs="Palatino Linotype"/>
              <w:bCs/>
            </w:rPr>
            <w:t>2025</w:t>
          </w:r>
        </w:p>
        <w:p w14:paraId="489A2219" w14:textId="1D72080D" w:rsidR="00DF0541" w:rsidRPr="0041405C" w:rsidRDefault="002566C8" w:rsidP="008F16D1">
          <w:pPr>
            <w:pStyle w:val="Encabezado"/>
            <w:jc w:val="both"/>
            <w:rPr>
              <w:rFonts w:ascii="Palatino Linotype" w:hAnsi="Palatino Linotype" w:cs="Tahoma"/>
              <w:b/>
            </w:rPr>
          </w:pPr>
          <w:r w:rsidRPr="0041405C">
            <w:rPr>
              <w:rFonts w:ascii="Palatino Linotype" w:hAnsi="Palatino Linotype" w:cs="Tahoma"/>
              <w:b/>
            </w:rPr>
            <w:t xml:space="preserve">Sujeto Obligado: </w:t>
          </w:r>
          <w:bookmarkStart w:id="0" w:name="_Hlk188218954"/>
          <w:r w:rsidR="00013EFE" w:rsidRPr="00753FF3">
            <w:rPr>
              <w:rFonts w:ascii="Palatino Linotype" w:eastAsia="Times New Roman" w:hAnsi="Palatino Linotype" w:cs="Palatino Linotype"/>
              <w:bCs/>
              <w:color w:val="000000"/>
            </w:rPr>
            <w:t xml:space="preserve">Ayuntamiento de </w:t>
          </w:r>
          <w:bookmarkEnd w:id="0"/>
          <w:r w:rsidR="005E013D" w:rsidRPr="005E013D">
            <w:rPr>
              <w:rFonts w:ascii="Palatino Linotype" w:eastAsia="Times New Roman" w:hAnsi="Palatino Linotype" w:cs="Palatino Linotype"/>
              <w:bCs/>
              <w:color w:val="000000"/>
            </w:rPr>
            <w:t>Toluca</w:t>
          </w:r>
        </w:p>
        <w:p w14:paraId="0F6AAA7B" w14:textId="37A6D939" w:rsidR="00DF0541" w:rsidRPr="001106EA" w:rsidRDefault="002566C8" w:rsidP="00F75AEE">
          <w:pPr>
            <w:pStyle w:val="Encabezado"/>
            <w:jc w:val="both"/>
            <w:rPr>
              <w:rFonts w:ascii="Tahoma" w:hAnsi="Tahoma" w:cs="Tahoma"/>
            </w:rPr>
          </w:pPr>
          <w:r w:rsidRPr="0041405C">
            <w:rPr>
              <w:rFonts w:ascii="Palatino Linotype" w:hAnsi="Palatino Linotype" w:cs="Tahoma"/>
              <w:b/>
            </w:rPr>
            <w:t xml:space="preserve">Comisionada Ponente: </w:t>
          </w:r>
          <w:r w:rsidR="00C80E65">
            <w:rPr>
              <w:rFonts w:ascii="Palatino Linotype" w:eastAsia="Times New Roman" w:hAnsi="Palatino Linotype" w:cs="Palatino Linotype"/>
              <w:bCs/>
              <w:color w:val="000000"/>
            </w:rPr>
            <w:t>José Martínez Vilchis</w:t>
          </w:r>
        </w:p>
      </w:tc>
    </w:tr>
  </w:tbl>
  <w:p w14:paraId="45A6FF72" w14:textId="77777777" w:rsidR="00DF0541" w:rsidRPr="001106EA" w:rsidRDefault="00DF0541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B3419"/>
    <w:multiLevelType w:val="hybridMultilevel"/>
    <w:tmpl w:val="9BC2E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7C14"/>
    <w:multiLevelType w:val="hybridMultilevel"/>
    <w:tmpl w:val="AEA4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0582">
    <w:abstractNumId w:val="0"/>
  </w:num>
  <w:num w:numId="2" w16cid:durableId="17296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5C"/>
    <w:rsid w:val="00005AE8"/>
    <w:rsid w:val="00007456"/>
    <w:rsid w:val="00013EFE"/>
    <w:rsid w:val="00041D3F"/>
    <w:rsid w:val="0004229B"/>
    <w:rsid w:val="000D6E9E"/>
    <w:rsid w:val="000E1B29"/>
    <w:rsid w:val="000E1F2C"/>
    <w:rsid w:val="000F2F2E"/>
    <w:rsid w:val="0013384F"/>
    <w:rsid w:val="001349E4"/>
    <w:rsid w:val="00161025"/>
    <w:rsid w:val="001C4B92"/>
    <w:rsid w:val="00210CF4"/>
    <w:rsid w:val="002166E2"/>
    <w:rsid w:val="00224829"/>
    <w:rsid w:val="00235DCA"/>
    <w:rsid w:val="002425EB"/>
    <w:rsid w:val="002566C8"/>
    <w:rsid w:val="002635CE"/>
    <w:rsid w:val="00264675"/>
    <w:rsid w:val="00274A5F"/>
    <w:rsid w:val="002C1164"/>
    <w:rsid w:val="002E74EF"/>
    <w:rsid w:val="00302F6E"/>
    <w:rsid w:val="00342FF8"/>
    <w:rsid w:val="003540E4"/>
    <w:rsid w:val="0037274E"/>
    <w:rsid w:val="00374FF0"/>
    <w:rsid w:val="00382B1A"/>
    <w:rsid w:val="003A0C79"/>
    <w:rsid w:val="003A554D"/>
    <w:rsid w:val="003B4769"/>
    <w:rsid w:val="003B660A"/>
    <w:rsid w:val="003C2D29"/>
    <w:rsid w:val="003D38C8"/>
    <w:rsid w:val="003F2DE5"/>
    <w:rsid w:val="0041405C"/>
    <w:rsid w:val="00420AB0"/>
    <w:rsid w:val="004439D6"/>
    <w:rsid w:val="00450F80"/>
    <w:rsid w:val="0048251D"/>
    <w:rsid w:val="004942F2"/>
    <w:rsid w:val="00495488"/>
    <w:rsid w:val="004A03C9"/>
    <w:rsid w:val="005129CD"/>
    <w:rsid w:val="005562A6"/>
    <w:rsid w:val="0056408B"/>
    <w:rsid w:val="005A354E"/>
    <w:rsid w:val="005A4203"/>
    <w:rsid w:val="005D21D7"/>
    <w:rsid w:val="005E013D"/>
    <w:rsid w:val="0061138D"/>
    <w:rsid w:val="00611E78"/>
    <w:rsid w:val="00630E84"/>
    <w:rsid w:val="006370F0"/>
    <w:rsid w:val="00666365"/>
    <w:rsid w:val="006A16AA"/>
    <w:rsid w:val="006D6483"/>
    <w:rsid w:val="0070007C"/>
    <w:rsid w:val="00730F11"/>
    <w:rsid w:val="007437ED"/>
    <w:rsid w:val="00747C80"/>
    <w:rsid w:val="00753FF3"/>
    <w:rsid w:val="0078117E"/>
    <w:rsid w:val="00784EB0"/>
    <w:rsid w:val="00786259"/>
    <w:rsid w:val="00787071"/>
    <w:rsid w:val="00787DEA"/>
    <w:rsid w:val="00790735"/>
    <w:rsid w:val="007B27EA"/>
    <w:rsid w:val="0083727D"/>
    <w:rsid w:val="008A331F"/>
    <w:rsid w:val="008E5040"/>
    <w:rsid w:val="00922540"/>
    <w:rsid w:val="00925C8F"/>
    <w:rsid w:val="00972BBE"/>
    <w:rsid w:val="00975A19"/>
    <w:rsid w:val="009808A5"/>
    <w:rsid w:val="009A0AF6"/>
    <w:rsid w:val="009A4CF5"/>
    <w:rsid w:val="009B0B5C"/>
    <w:rsid w:val="009B315E"/>
    <w:rsid w:val="009F0363"/>
    <w:rsid w:val="00A03F57"/>
    <w:rsid w:val="00A16F04"/>
    <w:rsid w:val="00A273FA"/>
    <w:rsid w:val="00A64D5F"/>
    <w:rsid w:val="00A67C88"/>
    <w:rsid w:val="00A74B31"/>
    <w:rsid w:val="00A95CAE"/>
    <w:rsid w:val="00AC047A"/>
    <w:rsid w:val="00AC57DF"/>
    <w:rsid w:val="00B422E9"/>
    <w:rsid w:val="00B61654"/>
    <w:rsid w:val="00B72054"/>
    <w:rsid w:val="00B97EDC"/>
    <w:rsid w:val="00BF43F1"/>
    <w:rsid w:val="00C3211A"/>
    <w:rsid w:val="00C5130C"/>
    <w:rsid w:val="00C534E3"/>
    <w:rsid w:val="00C80E65"/>
    <w:rsid w:val="00C936DF"/>
    <w:rsid w:val="00CA6576"/>
    <w:rsid w:val="00CE4E9A"/>
    <w:rsid w:val="00CE7148"/>
    <w:rsid w:val="00CF0CE9"/>
    <w:rsid w:val="00D84E04"/>
    <w:rsid w:val="00DA5BC0"/>
    <w:rsid w:val="00DB6D1E"/>
    <w:rsid w:val="00DD3AFE"/>
    <w:rsid w:val="00DF0541"/>
    <w:rsid w:val="00E10BB6"/>
    <w:rsid w:val="00E20EE6"/>
    <w:rsid w:val="00E434DA"/>
    <w:rsid w:val="00E505D4"/>
    <w:rsid w:val="00E653DE"/>
    <w:rsid w:val="00E71897"/>
    <w:rsid w:val="00E7431D"/>
    <w:rsid w:val="00EC73B3"/>
    <w:rsid w:val="00ED2C09"/>
    <w:rsid w:val="00EF3BD8"/>
    <w:rsid w:val="00EF5118"/>
    <w:rsid w:val="00EF7324"/>
    <w:rsid w:val="00F24723"/>
    <w:rsid w:val="00F328BE"/>
    <w:rsid w:val="00F56D21"/>
    <w:rsid w:val="00F82A67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44F42"/>
  <w15:chartTrackingRefBased/>
  <w15:docId w15:val="{A297D102-2722-42C9-B04B-4B67527E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5C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05C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14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05C"/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41405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3A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808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5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PEÑA VARA</dc:creator>
  <cp:keywords/>
  <dc:description/>
  <cp:lastModifiedBy>inf03m_31@outlook.com</cp:lastModifiedBy>
  <cp:revision>5</cp:revision>
  <cp:lastPrinted>2025-02-24T22:36:00Z</cp:lastPrinted>
  <dcterms:created xsi:type="dcterms:W3CDTF">2025-05-02T19:08:00Z</dcterms:created>
  <dcterms:modified xsi:type="dcterms:W3CDTF">2025-05-06T17:58:00Z</dcterms:modified>
</cp:coreProperties>
</file>