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B689B" w14:textId="3CB6A84F" w:rsidR="00CB1FD9" w:rsidRDefault="0089705E">
      <w:pPr>
        <w:spacing w:before="240" w:after="240" w:line="360" w:lineRule="auto"/>
        <w:ind w:right="139"/>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FA5AA6">
        <w:rPr>
          <w:rFonts w:ascii="Palatino Linotype" w:eastAsia="Palatino Linotype" w:hAnsi="Palatino Linotype" w:cs="Palatino Linotype"/>
          <w:b/>
        </w:rPr>
        <w:t>NOVENA</w:t>
      </w:r>
      <w:r w:rsidR="009D5AF9">
        <w:rPr>
          <w:rFonts w:ascii="Palatino Linotype" w:eastAsia="Palatino Linotype" w:hAnsi="Palatino Linotype" w:cs="Palatino Linotype"/>
          <w:b/>
        </w:rPr>
        <w:t xml:space="preserve"> </w:t>
      </w:r>
      <w:r>
        <w:rPr>
          <w:rFonts w:ascii="Palatino Linotype" w:eastAsia="Palatino Linotype" w:hAnsi="Palatino Linotype" w:cs="Palatino Linotype"/>
          <w:b/>
        </w:rPr>
        <w:t>SE</w:t>
      </w:r>
      <w:r w:rsidR="009D5AF9">
        <w:rPr>
          <w:rFonts w:ascii="Palatino Linotype" w:eastAsia="Palatino Linotype" w:hAnsi="Palatino Linotype" w:cs="Palatino Linotype"/>
          <w:b/>
        </w:rPr>
        <w:t xml:space="preserve">SIÓN ORDINARIA CELEBRADA EL </w:t>
      </w:r>
      <w:r w:rsidR="00FA5AA6">
        <w:rPr>
          <w:rFonts w:ascii="Palatino Linotype" w:eastAsia="Palatino Linotype" w:hAnsi="Palatino Linotype" w:cs="Palatino Linotype"/>
          <w:b/>
        </w:rPr>
        <w:t>DOCE</w:t>
      </w:r>
      <w:r w:rsidR="009D5AF9">
        <w:rPr>
          <w:rFonts w:ascii="Palatino Linotype" w:eastAsia="Palatino Linotype" w:hAnsi="Palatino Linotype" w:cs="Palatino Linotype"/>
          <w:b/>
        </w:rPr>
        <w:t xml:space="preserve"> DE </w:t>
      </w:r>
      <w:r w:rsidR="00FA5AA6">
        <w:rPr>
          <w:rFonts w:ascii="Palatino Linotype" w:eastAsia="Palatino Linotype" w:hAnsi="Palatino Linotype" w:cs="Palatino Linotype"/>
          <w:b/>
        </w:rPr>
        <w:t>MARZO</w:t>
      </w:r>
      <w:r w:rsidR="009D5AF9">
        <w:rPr>
          <w:rFonts w:ascii="Palatino Linotype" w:eastAsia="Palatino Linotype" w:hAnsi="Palatino Linotype" w:cs="Palatino Linotype"/>
          <w:b/>
        </w:rPr>
        <w:t xml:space="preserve"> DE DOS MIL VEINTICINC</w:t>
      </w:r>
      <w:r>
        <w:rPr>
          <w:rFonts w:ascii="Palatino Linotype" w:eastAsia="Palatino Linotype" w:hAnsi="Palatino Linotype" w:cs="Palatino Linotype"/>
          <w:b/>
        </w:rPr>
        <w:t xml:space="preserve">O, EN EL RECURSO DE REVISIÓN </w:t>
      </w:r>
      <w:r w:rsidR="009D5AF9" w:rsidRPr="009D5AF9">
        <w:rPr>
          <w:rFonts w:ascii="Palatino Linotype" w:eastAsia="Palatino Linotype" w:hAnsi="Palatino Linotype" w:cs="Palatino Linotype"/>
          <w:b/>
        </w:rPr>
        <w:t>0</w:t>
      </w:r>
      <w:r w:rsidR="00CF61CF">
        <w:rPr>
          <w:rFonts w:ascii="Palatino Linotype" w:eastAsia="Palatino Linotype" w:hAnsi="Palatino Linotype" w:cs="Palatino Linotype"/>
          <w:b/>
        </w:rPr>
        <w:t>04</w:t>
      </w:r>
      <w:r w:rsidR="00FA5AA6">
        <w:rPr>
          <w:rFonts w:ascii="Palatino Linotype" w:eastAsia="Palatino Linotype" w:hAnsi="Palatino Linotype" w:cs="Palatino Linotype"/>
          <w:b/>
        </w:rPr>
        <w:t>50</w:t>
      </w:r>
      <w:r w:rsidR="00DE645D">
        <w:rPr>
          <w:rFonts w:ascii="Palatino Linotype" w:eastAsia="Palatino Linotype" w:hAnsi="Palatino Linotype" w:cs="Palatino Linotype"/>
          <w:b/>
        </w:rPr>
        <w:t>/INFOEM/IP/RR/2025</w:t>
      </w:r>
      <w:r w:rsidR="00FA5AA6">
        <w:rPr>
          <w:rFonts w:ascii="Palatino Linotype" w:eastAsia="Palatino Linotype" w:hAnsi="Palatino Linotype" w:cs="Palatino Linotype"/>
          <w:b/>
        </w:rPr>
        <w:t xml:space="preserve"> Y ACUMULADO. </w:t>
      </w:r>
    </w:p>
    <w:p w14:paraId="52A8C884" w14:textId="0F31E669" w:rsidR="00CB1FD9" w:rsidRDefault="0089705E">
      <w:pPr>
        <w:spacing w:before="240" w:after="240" w:line="360" w:lineRule="auto"/>
        <w:ind w:right="139"/>
        <w:jc w:val="both"/>
        <w:rPr>
          <w:rFonts w:ascii="Palatino Linotype" w:eastAsia="Palatino Linotype" w:hAnsi="Palatino Linotype" w:cs="Palatino Linotype"/>
          <w:b/>
        </w:rPr>
      </w:pPr>
      <w:r>
        <w:rPr>
          <w:rFonts w:ascii="Palatino Linotype" w:eastAsia="Palatino Linotype" w:hAnsi="Palatino Linotype" w:cs="Palatino Linotype"/>
        </w:rPr>
        <w:t>Con fundamento en lo dispuesto por el artículo 14, fracciones X y XI, del Reglamento del Instituto de Transparencia, Acceso a la Información Pública y Protección de Datos Personales del Estado de México y Municipios, la que suscribe</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respe</w:t>
      </w:r>
      <w:r w:rsidR="00A01C7B">
        <w:rPr>
          <w:rFonts w:ascii="Palatino Linotype" w:eastAsia="Palatino Linotype" w:hAnsi="Palatino Linotype" w:cs="Palatino Linotype"/>
        </w:rPr>
        <w:t xml:space="preserve">cto a la resolución dictada en </w:t>
      </w:r>
      <w:r w:rsidR="00A01C7B" w:rsidRPr="00A01C7B">
        <w:rPr>
          <w:rFonts w:ascii="Palatino Linotype" w:eastAsia="Palatino Linotype" w:hAnsi="Palatino Linotype" w:cs="Palatino Linotype"/>
        </w:rPr>
        <w:t>el recurso</w:t>
      </w:r>
      <w:r w:rsidRPr="00A01C7B">
        <w:rPr>
          <w:rFonts w:ascii="Palatino Linotype" w:eastAsia="Palatino Linotype" w:hAnsi="Palatino Linotype" w:cs="Palatino Linotype"/>
        </w:rPr>
        <w:t xml:space="preserve"> de</w:t>
      </w:r>
      <w:r>
        <w:rPr>
          <w:rFonts w:ascii="Palatino Linotype" w:eastAsia="Palatino Linotype" w:hAnsi="Palatino Linotype" w:cs="Palatino Linotype"/>
        </w:rPr>
        <w:t xml:space="preserve"> revisión </w:t>
      </w:r>
      <w:r w:rsidR="009D5AF9" w:rsidRPr="009D5AF9">
        <w:rPr>
          <w:rFonts w:ascii="Palatino Linotype" w:eastAsia="Palatino Linotype" w:hAnsi="Palatino Linotype" w:cs="Palatino Linotype"/>
          <w:b/>
        </w:rPr>
        <w:t>0</w:t>
      </w:r>
      <w:r w:rsidR="00DE645D">
        <w:rPr>
          <w:rFonts w:ascii="Palatino Linotype" w:eastAsia="Palatino Linotype" w:hAnsi="Palatino Linotype" w:cs="Palatino Linotype"/>
          <w:b/>
        </w:rPr>
        <w:t>0</w:t>
      </w:r>
      <w:r w:rsidR="00FA5AA6">
        <w:rPr>
          <w:rFonts w:ascii="Palatino Linotype" w:eastAsia="Palatino Linotype" w:hAnsi="Palatino Linotype" w:cs="Palatino Linotype"/>
          <w:b/>
        </w:rPr>
        <w:t>450</w:t>
      </w:r>
      <w:r w:rsidR="00DE645D">
        <w:rPr>
          <w:rFonts w:ascii="Palatino Linotype" w:eastAsia="Palatino Linotype" w:hAnsi="Palatino Linotype" w:cs="Palatino Linotype"/>
          <w:b/>
        </w:rPr>
        <w:t>/INFOEM/IP/RR/2025</w:t>
      </w:r>
      <w:r w:rsidR="00FA5AA6">
        <w:rPr>
          <w:rFonts w:ascii="Palatino Linotype" w:eastAsia="Palatino Linotype" w:hAnsi="Palatino Linotype" w:cs="Palatino Linotype"/>
          <w:b/>
        </w:rPr>
        <w:t xml:space="preserve"> y acumulado, </w:t>
      </w:r>
      <w:r>
        <w:rPr>
          <w:rFonts w:ascii="Palatino Linotype" w:eastAsia="Palatino Linotype" w:hAnsi="Palatino Linotype" w:cs="Palatino Linotype"/>
        </w:rPr>
        <w:t xml:space="preserve">pronunciada por </w:t>
      </w:r>
      <w:r w:rsidR="00FA5AA6">
        <w:rPr>
          <w:rFonts w:ascii="Palatino Linotype" w:eastAsia="Palatino Linotype" w:hAnsi="Palatino Linotype" w:cs="Palatino Linotype"/>
        </w:rPr>
        <w:t>el</w:t>
      </w:r>
      <w:r>
        <w:rPr>
          <w:rFonts w:ascii="Palatino Linotype" w:eastAsia="Palatino Linotype" w:hAnsi="Palatino Linotype" w:cs="Palatino Linotype"/>
        </w:rPr>
        <w:t xml:space="preserve"> </w:t>
      </w:r>
      <w:r>
        <w:rPr>
          <w:rFonts w:ascii="Palatino Linotype" w:eastAsia="Palatino Linotype" w:hAnsi="Palatino Linotype" w:cs="Palatino Linotype"/>
          <w:b/>
        </w:rPr>
        <w:t>Comisionad</w:t>
      </w:r>
      <w:r w:rsidR="00FA5AA6">
        <w:rPr>
          <w:rFonts w:ascii="Palatino Linotype" w:eastAsia="Palatino Linotype" w:hAnsi="Palatino Linotype" w:cs="Palatino Linotype"/>
          <w:b/>
        </w:rPr>
        <w:t>o</w:t>
      </w:r>
      <w:r>
        <w:rPr>
          <w:rFonts w:ascii="Palatino Linotype" w:eastAsia="Palatino Linotype" w:hAnsi="Palatino Linotype" w:cs="Palatino Linotype"/>
          <w:b/>
        </w:rPr>
        <w:t xml:space="preserve"> </w:t>
      </w:r>
      <w:r w:rsidR="00FA5AA6">
        <w:rPr>
          <w:rFonts w:ascii="Palatino Linotype" w:eastAsia="Palatino Linotype" w:hAnsi="Palatino Linotype" w:cs="Palatino Linotype"/>
          <w:b/>
        </w:rPr>
        <w:t>José Martínez Vilchis</w:t>
      </w:r>
      <w:r>
        <w:rPr>
          <w:rFonts w:ascii="Palatino Linotype" w:eastAsia="Palatino Linotype" w:hAnsi="Palatino Linotype" w:cs="Palatino Linotype"/>
        </w:rPr>
        <w:t xml:space="preserve">, que es del tenor siguiente: </w:t>
      </w:r>
    </w:p>
    <w:p w14:paraId="3021515C" w14:textId="77777777" w:rsidR="00CB1FD9" w:rsidRDefault="0089705E">
      <w:pPr>
        <w:numPr>
          <w:ilvl w:val="0"/>
          <w:numId w:val="1"/>
        </w:numPr>
        <w:spacing w:after="0" w:line="360" w:lineRule="auto"/>
        <w:ind w:left="567" w:right="139" w:hanging="283"/>
        <w:jc w:val="both"/>
        <w:rPr>
          <w:rFonts w:ascii="Palatino Linotype" w:eastAsia="Palatino Linotype" w:hAnsi="Palatino Linotype" w:cs="Palatino Linotype"/>
        </w:rPr>
      </w:pPr>
      <w:r>
        <w:rPr>
          <w:rFonts w:ascii="Palatino Linotype" w:eastAsia="Palatino Linotype" w:hAnsi="Palatino Linotype" w:cs="Palatino Linotype"/>
          <w:b/>
        </w:rPr>
        <w:t>Antecedentes.</w:t>
      </w:r>
    </w:p>
    <w:p w14:paraId="093B155C" w14:textId="026C11F7" w:rsidR="00CF61CF" w:rsidRDefault="0089705E">
      <w:pPr>
        <w:spacing w:before="240" w:after="240" w:line="360" w:lineRule="auto"/>
        <w:jc w:val="both"/>
        <w:rPr>
          <w:rFonts w:ascii="Palatino Linotype" w:eastAsia="Palatino Linotype" w:hAnsi="Palatino Linotype" w:cs="Palatino Linotype"/>
          <w:bCs/>
        </w:rPr>
      </w:pPr>
      <w:r>
        <w:rPr>
          <w:rFonts w:ascii="Palatino Linotype" w:eastAsia="Palatino Linotype" w:hAnsi="Palatino Linotype" w:cs="Palatino Linotype"/>
        </w:rPr>
        <w:t xml:space="preserve">A través de la solicitud de acceso a la información que nos ocupa, la persona solicitante requirió al </w:t>
      </w:r>
      <w:r w:rsidR="00CF61CF">
        <w:rPr>
          <w:rFonts w:ascii="Palatino Linotype" w:eastAsia="Palatino Linotype" w:hAnsi="Palatino Linotype" w:cs="Palatino Linotype"/>
          <w:b/>
        </w:rPr>
        <w:t>Sujeto Obligado</w:t>
      </w:r>
      <w:r w:rsidR="00FA5AA6">
        <w:rPr>
          <w:rFonts w:ascii="Palatino Linotype" w:eastAsia="Palatino Linotype" w:hAnsi="Palatino Linotype" w:cs="Palatino Linotype"/>
          <w:b/>
        </w:rPr>
        <w:t xml:space="preserve"> </w:t>
      </w:r>
      <w:r w:rsidR="00FA5AA6">
        <w:rPr>
          <w:rFonts w:ascii="Palatino Linotype" w:eastAsia="Palatino Linotype" w:hAnsi="Palatino Linotype" w:cs="Palatino Linotype"/>
          <w:bCs/>
        </w:rPr>
        <w:t xml:space="preserve">la siguiente información: </w:t>
      </w:r>
    </w:p>
    <w:tbl>
      <w:tblPr>
        <w:tblStyle w:val="Tablaconcuadrcula"/>
        <w:tblW w:w="0" w:type="auto"/>
        <w:tblLook w:val="04A0" w:firstRow="1" w:lastRow="0" w:firstColumn="1" w:lastColumn="0" w:noHBand="0" w:noVBand="1"/>
      </w:tblPr>
      <w:tblGrid>
        <w:gridCol w:w="3233"/>
        <w:gridCol w:w="5595"/>
      </w:tblGrid>
      <w:tr w:rsidR="00FA5AA6" w:rsidRPr="00552EAB" w14:paraId="6A33E721" w14:textId="77777777" w:rsidTr="00F11D17">
        <w:trPr>
          <w:trHeight w:val="696"/>
        </w:trPr>
        <w:tc>
          <w:tcPr>
            <w:tcW w:w="3256" w:type="dxa"/>
            <w:shd w:val="clear" w:color="auto" w:fill="D9D9D9" w:themeFill="background1" w:themeFillShade="D9"/>
            <w:vAlign w:val="center"/>
          </w:tcPr>
          <w:p w14:paraId="3AF11FB9" w14:textId="77777777" w:rsidR="00FA5AA6" w:rsidRPr="00552EAB" w:rsidRDefault="00FA5AA6" w:rsidP="00F11D17">
            <w:pPr>
              <w:jc w:val="center"/>
              <w:rPr>
                <w:rFonts w:ascii="Palatino Linotype" w:hAnsi="Palatino Linotype" w:cs="Arial"/>
                <w:b/>
                <w:i/>
              </w:rPr>
            </w:pPr>
            <w:r w:rsidRPr="00552EAB">
              <w:rPr>
                <w:rFonts w:ascii="Palatino Linotype" w:hAnsi="Palatino Linotype" w:cs="Arial"/>
                <w:b/>
                <w:i/>
              </w:rPr>
              <w:t>Número de folio de la solicitud</w:t>
            </w:r>
          </w:p>
        </w:tc>
        <w:tc>
          <w:tcPr>
            <w:tcW w:w="5806" w:type="dxa"/>
            <w:shd w:val="clear" w:color="auto" w:fill="D9D9D9" w:themeFill="background1" w:themeFillShade="D9"/>
            <w:vAlign w:val="center"/>
          </w:tcPr>
          <w:p w14:paraId="4F5AD1EA" w14:textId="77777777" w:rsidR="00FA5AA6" w:rsidRPr="00552EAB" w:rsidRDefault="00FA5AA6" w:rsidP="00F11D17">
            <w:pPr>
              <w:jc w:val="center"/>
              <w:rPr>
                <w:rFonts w:ascii="Palatino Linotype" w:hAnsi="Palatino Linotype" w:cs="Arial"/>
                <w:b/>
                <w:i/>
              </w:rPr>
            </w:pPr>
            <w:r w:rsidRPr="00552EAB">
              <w:rPr>
                <w:rFonts w:ascii="Palatino Linotype" w:hAnsi="Palatino Linotype" w:cs="Arial"/>
                <w:b/>
                <w:i/>
              </w:rPr>
              <w:t>Descripción clara y precisa de la información solicitada</w:t>
            </w:r>
          </w:p>
        </w:tc>
      </w:tr>
      <w:tr w:rsidR="00FA5AA6" w:rsidRPr="00552EAB" w14:paraId="1E7CE435" w14:textId="77777777" w:rsidTr="00F11D17">
        <w:trPr>
          <w:trHeight w:val="460"/>
        </w:trPr>
        <w:tc>
          <w:tcPr>
            <w:tcW w:w="3256" w:type="dxa"/>
            <w:vAlign w:val="center"/>
          </w:tcPr>
          <w:p w14:paraId="6436D71F" w14:textId="77777777" w:rsidR="00FA5AA6" w:rsidRPr="00552EAB" w:rsidRDefault="00FA5AA6" w:rsidP="00F11D17">
            <w:pPr>
              <w:jc w:val="center"/>
              <w:rPr>
                <w:rFonts w:ascii="Palatino Linotype" w:hAnsi="Palatino Linotype" w:cs="Arial"/>
                <w:b/>
                <w:i/>
              </w:rPr>
            </w:pPr>
            <w:bookmarkStart w:id="1" w:name="_Hlk99021051"/>
            <w:r w:rsidRPr="00552EAB">
              <w:rPr>
                <w:rFonts w:ascii="Palatino Linotype" w:hAnsi="Palatino Linotype" w:cs="Arial"/>
                <w:b/>
              </w:rPr>
              <w:t>00015/CHICOLOA/IP/2025</w:t>
            </w:r>
          </w:p>
        </w:tc>
        <w:tc>
          <w:tcPr>
            <w:tcW w:w="5806" w:type="dxa"/>
            <w:vAlign w:val="center"/>
          </w:tcPr>
          <w:p w14:paraId="26E79CF3" w14:textId="77777777" w:rsidR="00FA5AA6" w:rsidRPr="00552EAB" w:rsidRDefault="00FA5AA6" w:rsidP="00F11D17">
            <w:pPr>
              <w:spacing w:before="120" w:after="120"/>
              <w:jc w:val="both"/>
              <w:rPr>
                <w:rFonts w:ascii="Palatino Linotype" w:hAnsi="Palatino Linotype" w:cs="Arial"/>
                <w:i/>
                <w:sz w:val="24"/>
              </w:rPr>
            </w:pPr>
            <w:r w:rsidRPr="00552EAB">
              <w:rPr>
                <w:rFonts w:ascii="Palatino Linotype" w:hAnsi="Palatino Linotype" w:cs="Arial"/>
                <w:i/>
                <w:sz w:val="20"/>
              </w:rPr>
              <w:t xml:space="preserve">“De las siguientes áreas </w:t>
            </w:r>
            <w:proofErr w:type="spellStart"/>
            <w:proofErr w:type="gramStart"/>
            <w:r w:rsidRPr="00552EAB">
              <w:rPr>
                <w:rFonts w:ascii="Palatino Linotype" w:hAnsi="Palatino Linotype" w:cs="Arial"/>
                <w:i/>
                <w:sz w:val="20"/>
              </w:rPr>
              <w:t>administrativas:Secretario</w:t>
            </w:r>
            <w:proofErr w:type="spellEnd"/>
            <w:proofErr w:type="gramEnd"/>
            <w:r w:rsidRPr="00552EAB">
              <w:rPr>
                <w:rFonts w:ascii="Palatino Linotype" w:hAnsi="Palatino Linotype" w:cs="Arial"/>
                <w:i/>
                <w:sz w:val="20"/>
              </w:rPr>
              <w:t xml:space="preserve">; Tesorero; Director de Obras Públicas, de Desarrollo Económico, Director de Turismo, Coordinador General Municipal de Mejora Regulatoria, Ecología, Desarrollo Urbano, de Desarrollo Social, de las Mujeres, del Campo o equivalentes, titulares de las unidades administrativas, </w:t>
            </w:r>
            <w:r w:rsidRPr="00552EAB">
              <w:rPr>
                <w:rFonts w:ascii="Palatino Linotype" w:hAnsi="Palatino Linotype" w:cs="Arial"/>
                <w:i/>
                <w:sz w:val="20"/>
              </w:rPr>
              <w:lastRenderedPageBreak/>
              <w:t>de Protección Civil. Solicito los siguientes los documentos probatorios: I. Ser persona ciudadana del Estado, en pleno uso de sus derechos; II. No estar inhabilitada o inhabilitado para desempeñar cargo, empleo, o comisión pública; III. Contar con título profesional o acreditar experiencia mínima de un año en la materia, ante la o el Presidente o el Ayuntamiento, cuando sea el caso, para el desempeño de los cargos que así lo requieran; IV. Contar con certificación de competencia laboral en la materia del cargo que se desempeñará, expedida por institución con reconocimiento de validez oficial. Este requisito deberá acreditarse dentro de los seis meses siguientes a la fecha en que inicien sus funciones; V. No estar condenada o condenado por sentencia ejecutoriada por el delito de violencia política contra las mujeres en razón de género; VI. No estar inscrito en el Registro de Deudores Alimentarios Morosos en el Estado, ni en otra entidad federativa, y VII. No estar condenada o condenado por sentencia ejecutoriada por delitos de violencia familiar, contra la libertad sexual o de violencia de género.” (Sic).</w:t>
            </w:r>
          </w:p>
        </w:tc>
      </w:tr>
      <w:tr w:rsidR="00FA5AA6" w:rsidRPr="00552EAB" w14:paraId="4E898BF2" w14:textId="77777777" w:rsidTr="00F11D17">
        <w:trPr>
          <w:trHeight w:val="410"/>
        </w:trPr>
        <w:tc>
          <w:tcPr>
            <w:tcW w:w="3256" w:type="dxa"/>
            <w:vAlign w:val="center"/>
          </w:tcPr>
          <w:p w14:paraId="384B7522" w14:textId="77777777" w:rsidR="00FA5AA6" w:rsidRPr="00552EAB" w:rsidRDefault="00FA5AA6" w:rsidP="00F11D17">
            <w:pPr>
              <w:jc w:val="center"/>
              <w:rPr>
                <w:rFonts w:ascii="Palatino Linotype" w:hAnsi="Palatino Linotype" w:cs="Arial"/>
                <w:b/>
                <w:iCs/>
              </w:rPr>
            </w:pPr>
            <w:r w:rsidRPr="00552EAB">
              <w:rPr>
                <w:rFonts w:ascii="Palatino Linotype" w:hAnsi="Palatino Linotype" w:cs="Arial"/>
                <w:b/>
                <w:iCs/>
              </w:rPr>
              <w:lastRenderedPageBreak/>
              <w:t>00007/CHICOLOA/IP/2025</w:t>
            </w:r>
          </w:p>
        </w:tc>
        <w:tc>
          <w:tcPr>
            <w:tcW w:w="5806" w:type="dxa"/>
            <w:vAlign w:val="center"/>
          </w:tcPr>
          <w:p w14:paraId="41D975D0" w14:textId="77777777" w:rsidR="00FA5AA6" w:rsidRPr="00552EAB" w:rsidRDefault="00FA5AA6" w:rsidP="00F11D17">
            <w:pPr>
              <w:spacing w:before="120" w:after="120"/>
              <w:jc w:val="both"/>
              <w:rPr>
                <w:rFonts w:ascii="Palatino Linotype" w:hAnsi="Palatino Linotype" w:cs="Arial"/>
                <w:i/>
                <w:sz w:val="20"/>
              </w:rPr>
            </w:pPr>
            <w:r w:rsidRPr="00552EAB">
              <w:rPr>
                <w:rFonts w:ascii="Palatino Linotype" w:hAnsi="Palatino Linotype" w:cs="Arial"/>
                <w:i/>
                <w:sz w:val="20"/>
              </w:rPr>
              <w:t>“Solicito los certificados de competencia laborales de las autoridades municipales que así lo requieran, conforme a la ley orgánica, en versión pública de la administración 2025-2027” (Sic).</w:t>
            </w:r>
          </w:p>
        </w:tc>
      </w:tr>
      <w:bookmarkEnd w:id="1"/>
    </w:tbl>
    <w:p w14:paraId="4EAFD3C7" w14:textId="77777777" w:rsidR="00FA5AA6" w:rsidRDefault="00FA5AA6">
      <w:pPr>
        <w:spacing w:before="240" w:after="240" w:line="360" w:lineRule="auto"/>
        <w:jc w:val="both"/>
        <w:rPr>
          <w:rFonts w:ascii="Palatino Linotype" w:eastAsia="Palatino Linotype" w:hAnsi="Palatino Linotype" w:cs="Palatino Linotype"/>
        </w:rPr>
      </w:pPr>
    </w:p>
    <w:p w14:paraId="3AAF2338" w14:textId="0D6E2F69" w:rsidR="00CB1FD9" w:rsidRPr="00DE645D" w:rsidRDefault="0089705E">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Sujeto Obligado</w:t>
      </w:r>
      <w:r w:rsidR="00FA5AA6">
        <w:rPr>
          <w:rFonts w:ascii="Palatino Linotype" w:eastAsia="Palatino Linotype" w:hAnsi="Palatino Linotype" w:cs="Palatino Linotype"/>
        </w:rPr>
        <w:t xml:space="preserve"> remitió documentación que </w:t>
      </w:r>
      <w:r w:rsidR="00521A58">
        <w:rPr>
          <w:rFonts w:ascii="Palatino Linotype" w:eastAsia="Palatino Linotype" w:hAnsi="Palatino Linotype" w:cs="Palatino Linotype"/>
        </w:rPr>
        <w:t>integra los expedientes laborales de diversos servidores públicos</w:t>
      </w:r>
      <w:r w:rsidR="009D5AF9" w:rsidRPr="00DE645D">
        <w:rPr>
          <w:rFonts w:ascii="Palatino Linotype" w:eastAsia="Palatino Linotype" w:hAnsi="Palatino Linotype" w:cs="Palatino Linotype"/>
          <w:color w:val="000000"/>
        </w:rPr>
        <w:t>; una vez conocida la respuesta,</w:t>
      </w:r>
      <w:r w:rsidR="00A01C7B" w:rsidRPr="00DE645D">
        <w:rPr>
          <w:rFonts w:ascii="Palatino Linotype" w:eastAsia="Palatino Linotype" w:hAnsi="Palatino Linotype" w:cs="Palatino Linotype"/>
          <w:color w:val="000000"/>
        </w:rPr>
        <w:t xml:space="preserve"> </w:t>
      </w:r>
      <w:r w:rsidRPr="00DE645D">
        <w:rPr>
          <w:rFonts w:ascii="Palatino Linotype" w:eastAsia="Palatino Linotype" w:hAnsi="Palatino Linotype" w:cs="Palatino Linotype"/>
          <w:b/>
          <w:color w:val="000000"/>
        </w:rPr>
        <w:t>la parte Recurrente</w:t>
      </w:r>
      <w:r w:rsidRPr="00DE645D">
        <w:rPr>
          <w:rFonts w:ascii="Palatino Linotype" w:eastAsia="Palatino Linotype" w:hAnsi="Palatino Linotype" w:cs="Palatino Linotype"/>
          <w:color w:val="000000"/>
        </w:rPr>
        <w:t xml:space="preserve"> se inconformó </w:t>
      </w:r>
      <w:r w:rsidR="00521A58">
        <w:rPr>
          <w:rFonts w:ascii="Palatino Linotype" w:eastAsia="Palatino Linotype" w:hAnsi="Palatino Linotype" w:cs="Palatino Linotype"/>
          <w:color w:val="000000"/>
        </w:rPr>
        <w:t xml:space="preserve">de manera sustantiva por la entrega de información incompleta. </w:t>
      </w:r>
      <w:r w:rsidR="00CF61CF">
        <w:rPr>
          <w:rFonts w:ascii="Palatino Linotype" w:eastAsia="Palatino Linotype" w:hAnsi="Palatino Linotype" w:cs="Palatino Linotype"/>
          <w:color w:val="000000"/>
        </w:rPr>
        <w:t xml:space="preserve"> </w:t>
      </w:r>
    </w:p>
    <w:p w14:paraId="16D73398" w14:textId="58E305D0" w:rsidR="00521A58" w:rsidRDefault="0089705E" w:rsidP="00521A5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Durante la etapa de manifestaciones, el </w:t>
      </w:r>
      <w:r>
        <w:rPr>
          <w:rFonts w:ascii="Palatino Linotype" w:eastAsia="Palatino Linotype" w:hAnsi="Palatino Linotype" w:cs="Palatino Linotype"/>
          <w:b/>
        </w:rPr>
        <w:t>Sujeto Obligado</w:t>
      </w:r>
      <w:r w:rsidR="00CF61CF">
        <w:rPr>
          <w:rFonts w:ascii="Palatino Linotype" w:eastAsia="Palatino Linotype" w:hAnsi="Palatino Linotype" w:cs="Palatino Linotype"/>
          <w:b/>
        </w:rPr>
        <w:t xml:space="preserve"> </w:t>
      </w:r>
      <w:bookmarkStart w:id="2" w:name="_heading=h.3znysh7" w:colFirst="0" w:colLast="0"/>
      <w:bookmarkEnd w:id="2"/>
      <w:r w:rsidR="00521A58" w:rsidRPr="00552EAB">
        <w:rPr>
          <w:rFonts w:ascii="Palatino Linotype" w:hAnsi="Palatino Linotype" w:cs="Arial"/>
          <w:sz w:val="24"/>
          <w:szCs w:val="24"/>
        </w:rPr>
        <w:t xml:space="preserve">fue omiso en rendir su informe justificado; </w:t>
      </w:r>
      <w:r w:rsidR="00521A58">
        <w:rPr>
          <w:rFonts w:ascii="Palatino Linotype" w:hAnsi="Palatino Linotype" w:cs="Arial"/>
          <w:sz w:val="24"/>
          <w:szCs w:val="24"/>
        </w:rPr>
        <w:t>p</w:t>
      </w:r>
      <w:r w:rsidR="00521A58" w:rsidRPr="00552EAB">
        <w:rPr>
          <w:rFonts w:ascii="Palatino Linotype" w:hAnsi="Palatino Linotype" w:cs="Arial"/>
          <w:sz w:val="24"/>
          <w:szCs w:val="24"/>
        </w:rPr>
        <w:t xml:space="preserve">or su parte, </w:t>
      </w:r>
      <w:r w:rsidR="00521A58">
        <w:rPr>
          <w:rFonts w:ascii="Palatino Linotype" w:hAnsi="Palatino Linotype" w:cs="Arial"/>
          <w:sz w:val="24"/>
          <w:szCs w:val="24"/>
        </w:rPr>
        <w:t>la persona</w:t>
      </w:r>
      <w:r w:rsidR="00521A58" w:rsidRPr="00552EAB">
        <w:rPr>
          <w:rFonts w:ascii="Palatino Linotype" w:hAnsi="Palatino Linotype" w:cs="Arial"/>
          <w:b/>
          <w:bCs/>
          <w:sz w:val="24"/>
          <w:szCs w:val="24"/>
        </w:rPr>
        <w:t xml:space="preserve"> Recurrente</w:t>
      </w:r>
      <w:r w:rsidR="00521A58" w:rsidRPr="00552EAB">
        <w:rPr>
          <w:rFonts w:ascii="Palatino Linotype" w:hAnsi="Palatino Linotype" w:cs="Arial"/>
          <w:sz w:val="24"/>
          <w:szCs w:val="24"/>
        </w:rPr>
        <w:t xml:space="preserve"> no realizó alegatos ni presentó pruebas que a su derecho convinieran dentro del término previsto</w:t>
      </w:r>
      <w:r w:rsidR="00521A58">
        <w:rPr>
          <w:rFonts w:ascii="Palatino Linotype" w:hAnsi="Palatino Linotype" w:cs="Arial"/>
          <w:sz w:val="24"/>
          <w:szCs w:val="24"/>
        </w:rPr>
        <w:t>.</w:t>
      </w:r>
      <w:r w:rsidR="00521A58">
        <w:rPr>
          <w:rFonts w:ascii="Palatino Linotype" w:eastAsia="Palatino Linotype" w:hAnsi="Palatino Linotype" w:cs="Palatino Linotype"/>
        </w:rPr>
        <w:t xml:space="preserve"> </w:t>
      </w:r>
    </w:p>
    <w:p w14:paraId="148732B3" w14:textId="3F146453" w:rsidR="008B324B" w:rsidRDefault="0089705E" w:rsidP="00521A5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Así las cosas, el Instituto consideró que las razones o motivos de inconformidad hechos valer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resultan fundados, y determinó </w:t>
      </w:r>
      <w:r w:rsidR="00521A58">
        <w:rPr>
          <w:rFonts w:ascii="Palatino Linotype" w:eastAsia="Palatino Linotype" w:hAnsi="Palatino Linotype" w:cs="Palatino Linotype"/>
          <w:b/>
        </w:rPr>
        <w:t>modific</w:t>
      </w:r>
      <w:r w:rsidR="00823F1C">
        <w:rPr>
          <w:rFonts w:ascii="Palatino Linotype" w:eastAsia="Palatino Linotype" w:hAnsi="Palatino Linotype" w:cs="Palatino Linotype"/>
          <w:b/>
        </w:rPr>
        <w:t>ar</w:t>
      </w:r>
      <w:r>
        <w:rPr>
          <w:rFonts w:ascii="Palatino Linotype" w:eastAsia="Palatino Linotype" w:hAnsi="Palatino Linotype" w:cs="Palatino Linotype"/>
        </w:rPr>
        <w:t xml:space="preserve">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para ordenar la entrega de</w:t>
      </w:r>
      <w:r w:rsidR="008B324B">
        <w:rPr>
          <w:rFonts w:ascii="Palatino Linotype" w:eastAsia="Palatino Linotype" w:hAnsi="Palatino Linotype" w:cs="Palatino Linotype"/>
        </w:rPr>
        <w:t xml:space="preserve"> la siguiente información:</w:t>
      </w:r>
    </w:p>
    <w:p w14:paraId="7A63CBC4" w14:textId="77777777" w:rsidR="00521A58" w:rsidRPr="00521A58" w:rsidRDefault="008B324B" w:rsidP="00521A58">
      <w:pPr>
        <w:spacing w:after="0" w:line="276" w:lineRule="auto"/>
        <w:ind w:left="851" w:right="616"/>
        <w:jc w:val="both"/>
        <w:rPr>
          <w:rFonts w:ascii="Palatino Linotype" w:hAnsi="Palatino Linotype" w:cs="Arial"/>
          <w:i/>
        </w:rPr>
      </w:pPr>
      <w:r w:rsidRPr="00521A58">
        <w:rPr>
          <w:rFonts w:ascii="Palatino Linotype" w:eastAsia="Palatino Linotype" w:hAnsi="Palatino Linotype" w:cs="Palatino Linotype"/>
          <w:b/>
          <w:i/>
          <w:lang w:val="it-IT"/>
        </w:rPr>
        <w:t>“</w:t>
      </w:r>
      <w:r w:rsidR="00521A58" w:rsidRPr="00521A58">
        <w:rPr>
          <w:rFonts w:ascii="Palatino Linotype" w:hAnsi="Palatino Linotype" w:cs="Arial"/>
          <w:b/>
          <w:i/>
          <w:lang w:val="es-ES_tradnl"/>
        </w:rPr>
        <w:t>PRIMERO.</w:t>
      </w:r>
      <w:r w:rsidR="00521A58" w:rsidRPr="00521A58">
        <w:rPr>
          <w:rFonts w:ascii="Palatino Linotype" w:hAnsi="Palatino Linotype" w:cs="Arial"/>
          <w:i/>
          <w:lang w:val="es-ES_tradnl"/>
        </w:rPr>
        <w:t xml:space="preserve"> </w:t>
      </w:r>
      <w:r w:rsidR="00521A58" w:rsidRPr="00521A58">
        <w:rPr>
          <w:rFonts w:ascii="Palatino Linotype" w:hAnsi="Palatino Linotype" w:cs="Arial"/>
          <w:i/>
        </w:rPr>
        <w:t xml:space="preserve">Se </w:t>
      </w:r>
      <w:r w:rsidR="00521A58" w:rsidRPr="00521A58">
        <w:rPr>
          <w:rFonts w:ascii="Palatino Linotype" w:hAnsi="Palatino Linotype" w:cs="Arial"/>
          <w:b/>
          <w:i/>
        </w:rPr>
        <w:t xml:space="preserve">MODIFICAN </w:t>
      </w:r>
      <w:r w:rsidR="00521A58" w:rsidRPr="00521A58">
        <w:rPr>
          <w:rFonts w:ascii="Palatino Linotype" w:hAnsi="Palatino Linotype" w:cs="Arial"/>
          <w:i/>
        </w:rPr>
        <w:t xml:space="preserve">las respuestas entregadas por </w:t>
      </w:r>
      <w:r w:rsidR="00521A58" w:rsidRPr="00521A58">
        <w:rPr>
          <w:rFonts w:ascii="Palatino Linotype" w:hAnsi="Palatino Linotype" w:cs="Arial"/>
          <w:b/>
          <w:i/>
        </w:rPr>
        <w:t xml:space="preserve">El Sujeto Obligado, </w:t>
      </w:r>
      <w:r w:rsidR="00521A58" w:rsidRPr="00521A58">
        <w:rPr>
          <w:rFonts w:ascii="Palatino Linotype" w:hAnsi="Palatino Linotype" w:cs="Arial"/>
          <w:i/>
        </w:rPr>
        <w:t xml:space="preserve">a las solicitudes de información números </w:t>
      </w:r>
      <w:r w:rsidR="00521A58" w:rsidRPr="00521A58">
        <w:rPr>
          <w:rFonts w:ascii="Palatino Linotype" w:hAnsi="Palatino Linotype" w:cs="Arial"/>
          <w:b/>
          <w:bCs/>
          <w:i/>
        </w:rPr>
        <w:t xml:space="preserve">00015/CHICOLOA/IP/2025 y 00007/CHICOLOA/IP/2025, </w:t>
      </w:r>
      <w:r w:rsidR="00521A58" w:rsidRPr="00521A58">
        <w:rPr>
          <w:rFonts w:ascii="Palatino Linotype" w:hAnsi="Palatino Linotype" w:cs="Arial"/>
          <w:i/>
        </w:rPr>
        <w:t xml:space="preserve">por resultar parcialmente fundados los motivos de inconformidad que arguye </w:t>
      </w:r>
      <w:r w:rsidR="00521A58" w:rsidRPr="00521A58">
        <w:rPr>
          <w:rFonts w:ascii="Palatino Linotype" w:hAnsi="Palatino Linotype" w:cs="Arial"/>
          <w:b/>
          <w:i/>
        </w:rPr>
        <w:t xml:space="preserve">el Recurrente, </w:t>
      </w:r>
      <w:r w:rsidR="00521A58" w:rsidRPr="00521A58">
        <w:rPr>
          <w:rFonts w:ascii="Palatino Linotype" w:hAnsi="Palatino Linotype" w:cs="Arial"/>
          <w:i/>
        </w:rPr>
        <w:t xml:space="preserve">en términos del </w:t>
      </w:r>
      <w:r w:rsidR="00521A58" w:rsidRPr="00521A58">
        <w:rPr>
          <w:rFonts w:ascii="Palatino Linotype" w:hAnsi="Palatino Linotype" w:cs="Arial"/>
          <w:b/>
          <w:i/>
        </w:rPr>
        <w:t xml:space="preserve">Considerando QUINTO </w:t>
      </w:r>
      <w:r w:rsidR="00521A58" w:rsidRPr="00521A58">
        <w:rPr>
          <w:rFonts w:ascii="Palatino Linotype" w:hAnsi="Palatino Linotype" w:cs="Arial"/>
          <w:i/>
        </w:rPr>
        <w:t>de la presente resolución.</w:t>
      </w:r>
    </w:p>
    <w:p w14:paraId="618D0E85" w14:textId="77777777" w:rsidR="00521A58" w:rsidRPr="00521A58" w:rsidRDefault="00521A58" w:rsidP="00521A58">
      <w:pPr>
        <w:spacing w:after="0" w:line="276" w:lineRule="auto"/>
        <w:ind w:left="851" w:right="616"/>
        <w:jc w:val="both"/>
        <w:rPr>
          <w:rFonts w:ascii="Palatino Linotype" w:hAnsi="Palatino Linotype" w:cs="Arial"/>
          <w:i/>
        </w:rPr>
      </w:pPr>
      <w:r w:rsidRPr="00521A58">
        <w:rPr>
          <w:rFonts w:ascii="Palatino Linotype" w:hAnsi="Palatino Linotype" w:cs="Arial"/>
          <w:i/>
        </w:rPr>
        <w:t xml:space="preserve"> </w:t>
      </w:r>
    </w:p>
    <w:p w14:paraId="7B72E8F1" w14:textId="77777777" w:rsidR="00521A58" w:rsidRPr="00521A58" w:rsidRDefault="00521A58" w:rsidP="00521A58">
      <w:pPr>
        <w:autoSpaceDE w:val="0"/>
        <w:autoSpaceDN w:val="0"/>
        <w:adjustRightInd w:val="0"/>
        <w:spacing w:after="0" w:line="276" w:lineRule="auto"/>
        <w:ind w:left="851" w:right="616"/>
        <w:jc w:val="both"/>
        <w:rPr>
          <w:rFonts w:ascii="Palatino Linotype" w:hAnsi="Palatino Linotype" w:cs="Arial"/>
          <w:i/>
        </w:rPr>
      </w:pPr>
      <w:r w:rsidRPr="00521A58">
        <w:rPr>
          <w:rFonts w:ascii="Palatino Linotype" w:hAnsi="Palatino Linotype" w:cs="Arial"/>
          <w:b/>
          <w:i/>
          <w:lang w:val="es-ES_tradnl"/>
        </w:rPr>
        <w:t>SEGUNDO.</w:t>
      </w:r>
      <w:r w:rsidRPr="00521A58">
        <w:rPr>
          <w:rFonts w:ascii="Palatino Linotype" w:hAnsi="Palatino Linotype" w:cs="Arial"/>
          <w:i/>
        </w:rPr>
        <w:t xml:space="preserve"> </w:t>
      </w:r>
      <w:r w:rsidRPr="00521A58">
        <w:rPr>
          <w:rFonts w:ascii="Palatino Linotype" w:eastAsia="Times New Roman" w:hAnsi="Palatino Linotype" w:cs="Arial"/>
          <w:i/>
          <w:lang w:val="es-ES" w:eastAsia="es-ES"/>
        </w:rPr>
        <w:t xml:space="preserve">Se </w:t>
      </w:r>
      <w:r w:rsidRPr="00521A58">
        <w:rPr>
          <w:rFonts w:ascii="Palatino Linotype" w:eastAsia="Times New Roman" w:hAnsi="Palatino Linotype" w:cs="Arial"/>
          <w:b/>
          <w:i/>
          <w:lang w:val="es-ES" w:eastAsia="es-ES"/>
        </w:rPr>
        <w:t>ORDENA</w:t>
      </w:r>
      <w:r w:rsidRPr="00521A58">
        <w:rPr>
          <w:rFonts w:ascii="Palatino Linotype" w:eastAsia="Times New Roman" w:hAnsi="Palatino Linotype" w:cs="Arial"/>
          <w:i/>
          <w:lang w:val="es-ES" w:eastAsia="es-ES"/>
        </w:rPr>
        <w:t xml:space="preserve"> al </w:t>
      </w:r>
      <w:r w:rsidRPr="00521A58">
        <w:rPr>
          <w:rFonts w:ascii="Palatino Linotype" w:eastAsia="Times New Roman" w:hAnsi="Palatino Linotype" w:cs="Arial"/>
          <w:b/>
          <w:i/>
          <w:lang w:val="es-ES" w:eastAsia="es-ES"/>
        </w:rPr>
        <w:t>Sujeto Obligado</w:t>
      </w:r>
      <w:r w:rsidRPr="00521A58">
        <w:rPr>
          <w:rFonts w:ascii="Palatino Linotype" w:eastAsia="Times New Roman" w:hAnsi="Palatino Linotype" w:cs="Arial"/>
          <w:i/>
          <w:lang w:val="es-ES" w:eastAsia="es-ES"/>
        </w:rPr>
        <w:t xml:space="preserve"> haga entrega al </w:t>
      </w:r>
      <w:r w:rsidRPr="00521A58">
        <w:rPr>
          <w:rFonts w:ascii="Palatino Linotype" w:eastAsia="Times New Roman" w:hAnsi="Palatino Linotype" w:cs="Arial"/>
          <w:b/>
          <w:i/>
          <w:lang w:val="es-ES" w:eastAsia="es-ES"/>
        </w:rPr>
        <w:t xml:space="preserve">Recurrente </w:t>
      </w:r>
      <w:r w:rsidRPr="00521A58">
        <w:rPr>
          <w:rFonts w:ascii="Palatino Linotype" w:eastAsia="Times New Roman" w:hAnsi="Palatino Linotype" w:cs="Arial"/>
          <w:i/>
          <w:lang w:val="es-ES" w:eastAsia="es-ES"/>
        </w:rPr>
        <w:t xml:space="preserve">en términos del Considerando </w:t>
      </w:r>
      <w:r w:rsidRPr="00521A58">
        <w:rPr>
          <w:rFonts w:ascii="Palatino Linotype" w:eastAsia="Times New Roman" w:hAnsi="Palatino Linotype" w:cs="Arial"/>
          <w:b/>
          <w:i/>
          <w:lang w:val="es-ES" w:eastAsia="es-ES"/>
        </w:rPr>
        <w:t xml:space="preserve">QUINTO </w:t>
      </w:r>
      <w:r w:rsidRPr="00521A58">
        <w:rPr>
          <w:rFonts w:ascii="Palatino Linotype" w:eastAsia="Times New Roman" w:hAnsi="Palatino Linotype" w:cs="Arial"/>
          <w:i/>
          <w:lang w:val="es-ES" w:eastAsia="es-ES"/>
        </w:rPr>
        <w:t xml:space="preserve">de esta resolución, a través del </w:t>
      </w:r>
      <w:r w:rsidRPr="00521A58">
        <w:rPr>
          <w:rFonts w:ascii="Palatino Linotype" w:eastAsia="Times New Roman" w:hAnsi="Palatino Linotype" w:cs="Times New Roman"/>
          <w:i/>
          <w:lang w:val="es-ES" w:eastAsia="es-ES"/>
        </w:rPr>
        <w:t>Sistema de Acceso a la Información Mexiquense</w:t>
      </w:r>
      <w:r w:rsidRPr="00521A58">
        <w:rPr>
          <w:rFonts w:ascii="Palatino Linotype" w:eastAsia="Times New Roman" w:hAnsi="Palatino Linotype" w:cs="Arial"/>
          <w:i/>
          <w:lang w:val="es-ES" w:eastAsia="es-ES"/>
        </w:rPr>
        <w:t xml:space="preserve"> </w:t>
      </w:r>
      <w:r w:rsidRPr="00521A58">
        <w:rPr>
          <w:rFonts w:ascii="Palatino Linotype" w:eastAsia="Times New Roman" w:hAnsi="Palatino Linotype" w:cs="Arial"/>
          <w:b/>
          <w:i/>
          <w:lang w:val="es-ES" w:eastAsia="es-ES"/>
        </w:rPr>
        <w:t>(SAIMEX)</w:t>
      </w:r>
      <w:r w:rsidRPr="00521A58">
        <w:rPr>
          <w:rFonts w:ascii="Palatino Linotype" w:eastAsia="Times New Roman" w:hAnsi="Palatino Linotype" w:cs="Arial"/>
          <w:i/>
          <w:lang w:val="es-ES" w:eastAsia="es-ES"/>
        </w:rPr>
        <w:t>, en versión pública de ser procedente, de lo siguiente</w:t>
      </w:r>
      <w:r w:rsidRPr="00521A58">
        <w:rPr>
          <w:rFonts w:ascii="Palatino Linotype" w:hAnsi="Palatino Linotype" w:cs="Arial"/>
          <w:i/>
        </w:rPr>
        <w:t xml:space="preserve">: </w:t>
      </w:r>
    </w:p>
    <w:p w14:paraId="025F6396" w14:textId="77777777" w:rsidR="00521A58" w:rsidRPr="00521A58" w:rsidRDefault="00521A58" w:rsidP="00521A58">
      <w:pPr>
        <w:autoSpaceDE w:val="0"/>
        <w:autoSpaceDN w:val="0"/>
        <w:adjustRightInd w:val="0"/>
        <w:spacing w:after="0" w:line="276" w:lineRule="auto"/>
        <w:ind w:left="851" w:right="616"/>
        <w:jc w:val="both"/>
        <w:rPr>
          <w:rFonts w:ascii="Palatino Linotype" w:hAnsi="Palatino Linotype" w:cs="Arial"/>
          <w:b/>
          <w:i/>
        </w:rPr>
      </w:pPr>
    </w:p>
    <w:p w14:paraId="207C12B0" w14:textId="77777777" w:rsidR="00521A58" w:rsidRPr="00521A58" w:rsidRDefault="00521A58" w:rsidP="00521A58">
      <w:pPr>
        <w:numPr>
          <w:ilvl w:val="0"/>
          <w:numId w:val="7"/>
        </w:numPr>
        <w:autoSpaceDE w:val="0"/>
        <w:autoSpaceDN w:val="0"/>
        <w:adjustRightInd w:val="0"/>
        <w:spacing w:after="0" w:line="276" w:lineRule="auto"/>
        <w:ind w:left="851" w:right="616" w:firstLine="0"/>
        <w:jc w:val="both"/>
        <w:rPr>
          <w:rFonts w:ascii="Palatino Linotype" w:hAnsi="Palatino Linotype" w:cs="Arial"/>
          <w:b/>
          <w:i/>
        </w:rPr>
      </w:pPr>
      <w:r w:rsidRPr="00521A58">
        <w:rPr>
          <w:rFonts w:ascii="Palatino Linotype" w:hAnsi="Palatino Linotype" w:cs="Arial"/>
          <w:i/>
        </w:rPr>
        <w:t>Certificación de competencia laboral del Secretario del Ayuntamiento adscrito al trece de enero de dos mil veinticinco.</w:t>
      </w:r>
    </w:p>
    <w:p w14:paraId="52E5AF53" w14:textId="77777777" w:rsidR="00521A58" w:rsidRPr="00521A58" w:rsidRDefault="00521A58" w:rsidP="00521A58">
      <w:pPr>
        <w:autoSpaceDE w:val="0"/>
        <w:autoSpaceDN w:val="0"/>
        <w:adjustRightInd w:val="0"/>
        <w:spacing w:after="0" w:line="276" w:lineRule="auto"/>
        <w:ind w:left="851" w:right="616"/>
        <w:jc w:val="both"/>
        <w:rPr>
          <w:rFonts w:ascii="Palatino Linotype" w:hAnsi="Palatino Linotype" w:cs="Arial"/>
          <w:b/>
          <w:i/>
        </w:rPr>
      </w:pPr>
    </w:p>
    <w:p w14:paraId="5083D546" w14:textId="77777777" w:rsidR="00521A58" w:rsidRPr="00521A58" w:rsidRDefault="00521A58" w:rsidP="00521A58">
      <w:pPr>
        <w:numPr>
          <w:ilvl w:val="0"/>
          <w:numId w:val="7"/>
        </w:numPr>
        <w:autoSpaceDE w:val="0"/>
        <w:autoSpaceDN w:val="0"/>
        <w:adjustRightInd w:val="0"/>
        <w:spacing w:after="0" w:line="276" w:lineRule="auto"/>
        <w:ind w:left="851" w:right="616" w:firstLine="0"/>
        <w:jc w:val="both"/>
        <w:rPr>
          <w:rFonts w:ascii="Palatino Linotype" w:hAnsi="Palatino Linotype" w:cs="Arial"/>
          <w:b/>
          <w:i/>
        </w:rPr>
      </w:pPr>
      <w:r w:rsidRPr="00521A58">
        <w:rPr>
          <w:rFonts w:ascii="Palatino Linotype" w:hAnsi="Palatino Linotype" w:cs="Arial"/>
          <w:i/>
        </w:rPr>
        <w:t>Documentos que acrediten la experiencia mínima de un año con anterioridad a la fecha de la designación del Director de Desarrollo Urbano en funciones</w:t>
      </w:r>
      <w:r w:rsidRPr="00521A58">
        <w:rPr>
          <w:i/>
        </w:rPr>
        <w:t xml:space="preserve"> </w:t>
      </w:r>
      <w:r w:rsidRPr="00521A58">
        <w:rPr>
          <w:rFonts w:ascii="Palatino Linotype" w:hAnsi="Palatino Linotype" w:cs="Arial"/>
          <w:i/>
        </w:rPr>
        <w:t>al trece de enero de dos mil veinticinco.</w:t>
      </w:r>
    </w:p>
    <w:p w14:paraId="6C99BB43" w14:textId="77777777" w:rsidR="00521A58" w:rsidRPr="00521A58" w:rsidRDefault="00521A58" w:rsidP="00521A58">
      <w:pPr>
        <w:pStyle w:val="Prrafodelista"/>
        <w:spacing w:line="276" w:lineRule="auto"/>
        <w:ind w:left="851" w:right="616"/>
        <w:rPr>
          <w:rFonts w:ascii="Palatino Linotype" w:hAnsi="Palatino Linotype" w:cs="Arial"/>
          <w:b/>
          <w:i/>
          <w:szCs w:val="22"/>
        </w:rPr>
      </w:pPr>
    </w:p>
    <w:p w14:paraId="60B1FB90" w14:textId="77777777" w:rsidR="00521A58" w:rsidRPr="00521A58" w:rsidRDefault="00521A58" w:rsidP="00521A58">
      <w:pPr>
        <w:numPr>
          <w:ilvl w:val="0"/>
          <w:numId w:val="7"/>
        </w:numPr>
        <w:autoSpaceDE w:val="0"/>
        <w:autoSpaceDN w:val="0"/>
        <w:adjustRightInd w:val="0"/>
        <w:spacing w:after="0" w:line="276" w:lineRule="auto"/>
        <w:ind w:left="851" w:right="616" w:firstLine="0"/>
        <w:jc w:val="both"/>
        <w:rPr>
          <w:rFonts w:ascii="Palatino Linotype" w:hAnsi="Palatino Linotype" w:cs="Arial"/>
          <w:i/>
        </w:rPr>
      </w:pPr>
      <w:r w:rsidRPr="00521A58">
        <w:rPr>
          <w:rFonts w:ascii="Palatino Linotype" w:hAnsi="Palatino Linotype" w:cs="Arial"/>
          <w:i/>
        </w:rPr>
        <w:t>Certificado de estudios legible del Coordinador de Desarrollo Agropecuario remitido en respuesta a la solicitud de información</w:t>
      </w:r>
      <w:r w:rsidRPr="00521A58">
        <w:rPr>
          <w:i/>
        </w:rPr>
        <w:t xml:space="preserve"> </w:t>
      </w:r>
      <w:r w:rsidRPr="00521A58">
        <w:rPr>
          <w:rFonts w:ascii="Palatino Linotype" w:hAnsi="Palatino Linotype" w:cs="Arial"/>
          <w:i/>
        </w:rPr>
        <w:t>00015/CHICOLOA/IP/2025.</w:t>
      </w:r>
    </w:p>
    <w:p w14:paraId="270CB7D4" w14:textId="77777777" w:rsidR="00521A58" w:rsidRPr="00521A58" w:rsidRDefault="00521A58" w:rsidP="00521A58">
      <w:pPr>
        <w:autoSpaceDE w:val="0"/>
        <w:autoSpaceDN w:val="0"/>
        <w:adjustRightInd w:val="0"/>
        <w:spacing w:after="0" w:line="276" w:lineRule="auto"/>
        <w:ind w:left="851" w:right="616"/>
        <w:jc w:val="both"/>
        <w:rPr>
          <w:rFonts w:ascii="Palatino Linotype" w:hAnsi="Palatino Linotype" w:cs="Arial"/>
          <w:b/>
          <w:i/>
        </w:rPr>
      </w:pPr>
    </w:p>
    <w:p w14:paraId="2DF504CD" w14:textId="77777777" w:rsidR="00521A58" w:rsidRPr="00521A58" w:rsidRDefault="00521A58" w:rsidP="00521A58">
      <w:pPr>
        <w:numPr>
          <w:ilvl w:val="0"/>
          <w:numId w:val="7"/>
        </w:numPr>
        <w:autoSpaceDE w:val="0"/>
        <w:autoSpaceDN w:val="0"/>
        <w:adjustRightInd w:val="0"/>
        <w:spacing w:after="0" w:line="276" w:lineRule="auto"/>
        <w:ind w:left="851" w:right="616" w:firstLine="0"/>
        <w:jc w:val="both"/>
        <w:rPr>
          <w:rFonts w:ascii="Palatino Linotype" w:hAnsi="Palatino Linotype" w:cs="Arial"/>
          <w:b/>
          <w:i/>
        </w:rPr>
      </w:pPr>
      <w:r w:rsidRPr="00521A58">
        <w:rPr>
          <w:rFonts w:ascii="Palatino Linotype" w:hAnsi="Palatino Linotype" w:cs="Arial"/>
          <w:i/>
        </w:rPr>
        <w:t xml:space="preserve">De los Titulares de la Secretaría Técnica del Consejo Municipal de Seguridad Pública; Órgano Interno de Control y Coordinación de Bienestar Animal en funciones al trece de enero de dos mil veinticinco, los documentos en donde conste lo siguiente: </w:t>
      </w:r>
    </w:p>
    <w:p w14:paraId="2BC5FC93" w14:textId="77777777" w:rsidR="00521A58" w:rsidRPr="00521A58" w:rsidRDefault="00521A58" w:rsidP="00521A58">
      <w:pPr>
        <w:pStyle w:val="Prrafodelista"/>
        <w:spacing w:line="276" w:lineRule="auto"/>
        <w:ind w:left="851" w:right="616"/>
        <w:rPr>
          <w:rFonts w:ascii="Palatino Linotype" w:hAnsi="Palatino Linotype" w:cs="Arial"/>
          <w:b/>
          <w:i/>
          <w:szCs w:val="22"/>
        </w:rPr>
      </w:pPr>
    </w:p>
    <w:p w14:paraId="65774D8B" w14:textId="77777777" w:rsidR="00521A58" w:rsidRPr="00521A58" w:rsidRDefault="00521A58" w:rsidP="00521A58">
      <w:pPr>
        <w:numPr>
          <w:ilvl w:val="1"/>
          <w:numId w:val="7"/>
        </w:numPr>
        <w:autoSpaceDE w:val="0"/>
        <w:autoSpaceDN w:val="0"/>
        <w:adjustRightInd w:val="0"/>
        <w:spacing w:after="0" w:line="276" w:lineRule="auto"/>
        <w:ind w:left="851" w:right="616" w:firstLine="0"/>
        <w:rPr>
          <w:rFonts w:ascii="Palatino Linotype" w:hAnsi="Palatino Linotype" w:cs="Arial"/>
          <w:i/>
        </w:rPr>
      </w:pPr>
      <w:r w:rsidRPr="00521A58">
        <w:rPr>
          <w:rFonts w:ascii="Palatino Linotype" w:hAnsi="Palatino Linotype" w:cs="Arial"/>
          <w:i/>
        </w:rPr>
        <w:lastRenderedPageBreak/>
        <w:t>Ser persona ciudadana del Estado, en pleno uso de sus derechos.</w:t>
      </w:r>
    </w:p>
    <w:p w14:paraId="2CE6CBE7" w14:textId="77777777" w:rsidR="00521A58" w:rsidRPr="00521A58" w:rsidRDefault="00521A58" w:rsidP="00521A58">
      <w:pPr>
        <w:numPr>
          <w:ilvl w:val="1"/>
          <w:numId w:val="7"/>
        </w:numPr>
        <w:autoSpaceDE w:val="0"/>
        <w:autoSpaceDN w:val="0"/>
        <w:adjustRightInd w:val="0"/>
        <w:spacing w:after="0" w:line="276" w:lineRule="auto"/>
        <w:ind w:left="851" w:right="616" w:firstLine="0"/>
        <w:rPr>
          <w:rFonts w:ascii="Palatino Linotype" w:hAnsi="Palatino Linotype" w:cs="Arial"/>
          <w:i/>
        </w:rPr>
      </w:pPr>
      <w:r w:rsidRPr="00521A58">
        <w:rPr>
          <w:rFonts w:ascii="Palatino Linotype" w:hAnsi="Palatino Linotype" w:cs="Arial"/>
          <w:i/>
        </w:rPr>
        <w:t xml:space="preserve">Constancia de no inhabilitación. </w:t>
      </w:r>
    </w:p>
    <w:p w14:paraId="2D2920CE" w14:textId="77777777" w:rsidR="00521A58" w:rsidRPr="00521A58" w:rsidRDefault="00521A58" w:rsidP="00521A58">
      <w:pPr>
        <w:numPr>
          <w:ilvl w:val="1"/>
          <w:numId w:val="7"/>
        </w:numPr>
        <w:autoSpaceDE w:val="0"/>
        <w:autoSpaceDN w:val="0"/>
        <w:adjustRightInd w:val="0"/>
        <w:spacing w:after="0" w:line="276" w:lineRule="auto"/>
        <w:ind w:left="851" w:right="616" w:firstLine="0"/>
        <w:rPr>
          <w:rFonts w:ascii="Palatino Linotype" w:hAnsi="Palatino Linotype" w:cs="Arial"/>
          <w:i/>
        </w:rPr>
      </w:pPr>
      <w:r w:rsidRPr="00521A58">
        <w:rPr>
          <w:rFonts w:ascii="Palatino Linotype" w:hAnsi="Palatino Linotype" w:cs="Arial"/>
          <w:i/>
        </w:rPr>
        <w:t>Título Profesional.</w:t>
      </w:r>
    </w:p>
    <w:p w14:paraId="1DDC480B" w14:textId="77777777" w:rsidR="00521A58" w:rsidRPr="00521A58" w:rsidRDefault="00521A58" w:rsidP="00521A58">
      <w:pPr>
        <w:numPr>
          <w:ilvl w:val="1"/>
          <w:numId w:val="7"/>
        </w:numPr>
        <w:autoSpaceDE w:val="0"/>
        <w:autoSpaceDN w:val="0"/>
        <w:adjustRightInd w:val="0"/>
        <w:spacing w:after="0" w:line="276" w:lineRule="auto"/>
        <w:ind w:left="851" w:right="616" w:firstLine="0"/>
        <w:rPr>
          <w:rFonts w:ascii="Palatino Linotype" w:hAnsi="Palatino Linotype" w:cs="Arial"/>
          <w:i/>
        </w:rPr>
      </w:pPr>
      <w:r w:rsidRPr="00521A58">
        <w:rPr>
          <w:rFonts w:ascii="Palatino Linotype" w:hAnsi="Palatino Linotype" w:cs="Arial"/>
          <w:i/>
        </w:rPr>
        <w:t>No estar condenada o condenado por sentencia ejecutoriada por el delito de violencia política contra las mujeres en razón de género; violencia familiar, contra la libertad sexual o de violencia de género.</w:t>
      </w:r>
    </w:p>
    <w:p w14:paraId="26C4933B" w14:textId="77777777" w:rsidR="00521A58" w:rsidRPr="00521A58" w:rsidRDefault="00521A58" w:rsidP="00521A58">
      <w:pPr>
        <w:numPr>
          <w:ilvl w:val="1"/>
          <w:numId w:val="7"/>
        </w:numPr>
        <w:autoSpaceDE w:val="0"/>
        <w:autoSpaceDN w:val="0"/>
        <w:adjustRightInd w:val="0"/>
        <w:spacing w:after="0" w:line="276" w:lineRule="auto"/>
        <w:ind w:left="851" w:right="616" w:firstLine="0"/>
        <w:rPr>
          <w:rFonts w:ascii="Palatino Linotype" w:hAnsi="Palatino Linotype" w:cs="Arial"/>
          <w:i/>
        </w:rPr>
      </w:pPr>
      <w:r w:rsidRPr="00521A58">
        <w:rPr>
          <w:rFonts w:ascii="Palatino Linotype" w:hAnsi="Palatino Linotype" w:cs="Arial"/>
          <w:i/>
        </w:rPr>
        <w:t>Certificado de No Deudor Alimentario Moroso.</w:t>
      </w:r>
    </w:p>
    <w:p w14:paraId="5E5111FA" w14:textId="77777777" w:rsidR="00521A58" w:rsidRPr="00521A58" w:rsidRDefault="00521A58" w:rsidP="00521A58">
      <w:pPr>
        <w:autoSpaceDE w:val="0"/>
        <w:autoSpaceDN w:val="0"/>
        <w:adjustRightInd w:val="0"/>
        <w:spacing w:after="0" w:line="276" w:lineRule="auto"/>
        <w:ind w:left="851" w:right="616"/>
        <w:rPr>
          <w:rFonts w:ascii="Palatino Linotype" w:hAnsi="Palatino Linotype" w:cs="Arial"/>
          <w:i/>
        </w:rPr>
      </w:pPr>
    </w:p>
    <w:p w14:paraId="672B91F6" w14:textId="77777777" w:rsidR="00521A58" w:rsidRPr="00521A58" w:rsidRDefault="00521A58" w:rsidP="00521A58">
      <w:pPr>
        <w:numPr>
          <w:ilvl w:val="0"/>
          <w:numId w:val="7"/>
        </w:numPr>
        <w:autoSpaceDE w:val="0"/>
        <w:autoSpaceDN w:val="0"/>
        <w:adjustRightInd w:val="0"/>
        <w:spacing w:after="0" w:line="276" w:lineRule="auto"/>
        <w:ind w:left="851" w:right="616" w:firstLine="0"/>
        <w:jc w:val="both"/>
        <w:rPr>
          <w:rFonts w:ascii="Palatino Linotype" w:hAnsi="Palatino Linotype" w:cs="Arial"/>
          <w:i/>
        </w:rPr>
      </w:pPr>
      <w:r w:rsidRPr="00521A58">
        <w:rPr>
          <w:rFonts w:ascii="Palatino Linotype" w:hAnsi="Palatino Linotype" w:cs="Arial"/>
          <w:i/>
        </w:rPr>
        <w:t>De los Titulares la Dirección de Gobierno Municipal; Dirección de Servicios Públicos; Consejería Jurídica; Dirección de Planeación (UIPPE); Dirección de Bienestar; Dirección de Seguridad Pública y Movilidad; Dirección de Administración; Dirección de Educación; Coordinación de Finanzas; Coordinación de Limpia; Coordinación de Panteones; Coordinación de Alumbrado Público; Coordinación de Imagen Urbana; Centro de Control, Comando, Comunicación y Computo (C4); Coordinación de Adquisiciones; Coordinación de Desarrollo de Personal; Coordinación de Control Vehicular; Comunicación Social; Gobierno Digital e Informática; Defensoría Municipal de Derechos Humanos; Departamento de Control Patrimonial y Archivo; Cronista Municipal; Departamento de Egresos; Departamento de Ingresos; Departamento de Catastro Municipal; Departamento de Mantenimiento; Unidad de Transparencia; Departamento de Diversidad Sexual; Departamento de la Juventud; Casa Amiga y; Departamento de Cultura en funciones al trece de enero de dos mil veinticinco, los documentos en donde conste lo siguiente:</w:t>
      </w:r>
    </w:p>
    <w:p w14:paraId="0D8B8B06" w14:textId="77777777" w:rsidR="00521A58" w:rsidRPr="00521A58" w:rsidRDefault="00521A58" w:rsidP="00521A58">
      <w:pPr>
        <w:autoSpaceDE w:val="0"/>
        <w:autoSpaceDN w:val="0"/>
        <w:adjustRightInd w:val="0"/>
        <w:spacing w:after="0" w:line="276" w:lineRule="auto"/>
        <w:ind w:left="851" w:right="616"/>
        <w:jc w:val="both"/>
        <w:rPr>
          <w:rFonts w:ascii="Palatino Linotype" w:hAnsi="Palatino Linotype" w:cs="Arial"/>
          <w:i/>
        </w:rPr>
      </w:pPr>
    </w:p>
    <w:p w14:paraId="3D6113EF" w14:textId="77777777" w:rsidR="00521A58" w:rsidRPr="00521A58" w:rsidRDefault="00521A58" w:rsidP="00521A58">
      <w:pPr>
        <w:numPr>
          <w:ilvl w:val="1"/>
          <w:numId w:val="7"/>
        </w:numPr>
        <w:autoSpaceDE w:val="0"/>
        <w:autoSpaceDN w:val="0"/>
        <w:adjustRightInd w:val="0"/>
        <w:spacing w:after="0" w:line="276" w:lineRule="auto"/>
        <w:ind w:left="851" w:right="616" w:firstLine="0"/>
        <w:rPr>
          <w:rFonts w:ascii="Palatino Linotype" w:hAnsi="Palatino Linotype" w:cs="Arial"/>
          <w:i/>
        </w:rPr>
      </w:pPr>
      <w:r w:rsidRPr="00521A58">
        <w:rPr>
          <w:rFonts w:ascii="Palatino Linotype" w:hAnsi="Palatino Linotype" w:cs="Arial"/>
          <w:i/>
        </w:rPr>
        <w:t>Ser persona ciudadana del Estado, en pleno uso de sus derechos.</w:t>
      </w:r>
    </w:p>
    <w:p w14:paraId="50469EDA" w14:textId="77777777" w:rsidR="00521A58" w:rsidRPr="00521A58" w:rsidRDefault="00521A58" w:rsidP="00521A58">
      <w:pPr>
        <w:numPr>
          <w:ilvl w:val="1"/>
          <w:numId w:val="7"/>
        </w:numPr>
        <w:autoSpaceDE w:val="0"/>
        <w:autoSpaceDN w:val="0"/>
        <w:adjustRightInd w:val="0"/>
        <w:spacing w:after="0" w:line="276" w:lineRule="auto"/>
        <w:ind w:left="851" w:right="616" w:firstLine="0"/>
        <w:rPr>
          <w:rFonts w:ascii="Palatino Linotype" w:hAnsi="Palatino Linotype" w:cs="Arial"/>
          <w:i/>
        </w:rPr>
      </w:pPr>
      <w:r w:rsidRPr="00521A58">
        <w:rPr>
          <w:rFonts w:ascii="Palatino Linotype" w:hAnsi="Palatino Linotype" w:cs="Arial"/>
          <w:i/>
        </w:rPr>
        <w:t xml:space="preserve">Constancia de no inhabilitación. </w:t>
      </w:r>
    </w:p>
    <w:p w14:paraId="4048E1AB" w14:textId="77777777" w:rsidR="00521A58" w:rsidRPr="00521A58" w:rsidRDefault="00521A58" w:rsidP="00521A58">
      <w:pPr>
        <w:numPr>
          <w:ilvl w:val="1"/>
          <w:numId w:val="7"/>
        </w:numPr>
        <w:autoSpaceDE w:val="0"/>
        <w:autoSpaceDN w:val="0"/>
        <w:adjustRightInd w:val="0"/>
        <w:spacing w:after="0" w:line="276" w:lineRule="auto"/>
        <w:ind w:left="851" w:right="616" w:firstLine="0"/>
        <w:rPr>
          <w:rFonts w:ascii="Palatino Linotype" w:hAnsi="Palatino Linotype" w:cs="Arial"/>
          <w:i/>
        </w:rPr>
      </w:pPr>
      <w:r w:rsidRPr="00521A58">
        <w:rPr>
          <w:rFonts w:ascii="Palatino Linotype" w:hAnsi="Palatino Linotype" w:cs="Arial"/>
          <w:i/>
        </w:rPr>
        <w:t>Contar con título profesional o acreditar experiencia mínima de un año en la materia.</w:t>
      </w:r>
    </w:p>
    <w:p w14:paraId="47063A1B" w14:textId="77777777" w:rsidR="00521A58" w:rsidRPr="00521A58" w:rsidRDefault="00521A58" w:rsidP="00521A58">
      <w:pPr>
        <w:numPr>
          <w:ilvl w:val="1"/>
          <w:numId w:val="7"/>
        </w:numPr>
        <w:autoSpaceDE w:val="0"/>
        <w:autoSpaceDN w:val="0"/>
        <w:adjustRightInd w:val="0"/>
        <w:spacing w:after="0" w:line="276" w:lineRule="auto"/>
        <w:ind w:left="851" w:right="616" w:firstLine="0"/>
        <w:rPr>
          <w:rFonts w:ascii="Palatino Linotype" w:hAnsi="Palatino Linotype" w:cs="Arial"/>
          <w:i/>
        </w:rPr>
      </w:pPr>
      <w:r w:rsidRPr="00521A58">
        <w:rPr>
          <w:rFonts w:ascii="Palatino Linotype" w:hAnsi="Palatino Linotype" w:cs="Arial"/>
          <w:i/>
        </w:rPr>
        <w:lastRenderedPageBreak/>
        <w:t>No estar condenada o condenado por sentencia ejecutoriada por el delito de violencia política contra las mujeres en razón de género; violencia familiar, contra la libertad sexual o de violencia de género.</w:t>
      </w:r>
    </w:p>
    <w:p w14:paraId="54F0079B" w14:textId="77777777" w:rsidR="00521A58" w:rsidRPr="00521A58" w:rsidRDefault="00521A58" w:rsidP="00521A58">
      <w:pPr>
        <w:numPr>
          <w:ilvl w:val="1"/>
          <w:numId w:val="7"/>
        </w:numPr>
        <w:autoSpaceDE w:val="0"/>
        <w:autoSpaceDN w:val="0"/>
        <w:adjustRightInd w:val="0"/>
        <w:spacing w:after="0" w:line="276" w:lineRule="auto"/>
        <w:ind w:left="851" w:right="616" w:firstLine="0"/>
        <w:rPr>
          <w:rFonts w:ascii="Palatino Linotype" w:hAnsi="Palatino Linotype" w:cs="Arial"/>
          <w:i/>
        </w:rPr>
      </w:pPr>
      <w:r w:rsidRPr="00521A58">
        <w:rPr>
          <w:rFonts w:ascii="Palatino Linotype" w:hAnsi="Palatino Linotype" w:cs="Arial"/>
          <w:i/>
        </w:rPr>
        <w:t>Certificado de No Deudor Alimentario Moroso</w:t>
      </w:r>
    </w:p>
    <w:p w14:paraId="1760B16F" w14:textId="77777777" w:rsidR="00521A58" w:rsidRPr="00521A58" w:rsidRDefault="00521A58" w:rsidP="00521A58">
      <w:pPr>
        <w:autoSpaceDE w:val="0"/>
        <w:autoSpaceDN w:val="0"/>
        <w:adjustRightInd w:val="0"/>
        <w:spacing w:after="0" w:line="276" w:lineRule="auto"/>
        <w:ind w:left="851" w:right="616"/>
        <w:jc w:val="both"/>
        <w:rPr>
          <w:rFonts w:ascii="Palatino Linotype" w:hAnsi="Palatino Linotype" w:cs="Arial"/>
          <w:i/>
        </w:rPr>
      </w:pPr>
    </w:p>
    <w:p w14:paraId="7383A6EB" w14:textId="77777777" w:rsidR="00521A58" w:rsidRPr="00521A58" w:rsidRDefault="00521A58" w:rsidP="00521A58">
      <w:pPr>
        <w:tabs>
          <w:tab w:val="left" w:pos="720"/>
        </w:tabs>
        <w:spacing w:after="0" w:line="276" w:lineRule="auto"/>
        <w:ind w:left="851" w:right="616"/>
        <w:jc w:val="both"/>
        <w:rPr>
          <w:rFonts w:ascii="Palatino Linotype" w:hAnsi="Palatino Linotype"/>
          <w:i/>
        </w:rPr>
      </w:pPr>
      <w:r w:rsidRPr="00521A58">
        <w:rPr>
          <w:rFonts w:ascii="Palatino Linotype" w:hAnsi="Palatino Linotype"/>
          <w:i/>
        </w:rPr>
        <w:t xml:space="preserve">Como sustento de la versión pública de los documentos que se ordenan, </w:t>
      </w:r>
      <w:r w:rsidRPr="00521A58">
        <w:rPr>
          <w:rFonts w:ascii="Palatino Linotype" w:hAnsi="Palatino Linotype"/>
          <w:b/>
          <w:bCs/>
          <w:i/>
          <w:u w:val="single"/>
        </w:rPr>
        <w:t>así como de los remitidos en respuesta</w:t>
      </w:r>
      <w:r w:rsidRPr="00521A58">
        <w:rPr>
          <w:rFonts w:ascii="Palatino Linotype" w:hAnsi="Palatino Linotype"/>
          <w:i/>
        </w:rPr>
        <w:t xml:space="preserve">,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del </w:t>
      </w:r>
      <w:r w:rsidRPr="00521A58">
        <w:rPr>
          <w:rFonts w:ascii="Palatino Linotype" w:hAnsi="Palatino Linotype"/>
          <w:b/>
          <w:i/>
        </w:rPr>
        <w:t>Recurrente</w:t>
      </w:r>
      <w:r w:rsidRPr="00521A58">
        <w:rPr>
          <w:rFonts w:ascii="Palatino Linotype" w:hAnsi="Palatino Linotype"/>
          <w:i/>
        </w:rPr>
        <w:t>.</w:t>
      </w:r>
    </w:p>
    <w:p w14:paraId="1CA77D09" w14:textId="77777777" w:rsidR="00521A58" w:rsidRPr="00521A58" w:rsidRDefault="00521A58" w:rsidP="00521A58">
      <w:pPr>
        <w:tabs>
          <w:tab w:val="left" w:pos="720"/>
        </w:tabs>
        <w:spacing w:after="0" w:line="276" w:lineRule="auto"/>
        <w:ind w:left="851" w:right="616"/>
        <w:jc w:val="both"/>
        <w:rPr>
          <w:rFonts w:ascii="Palatino Linotype" w:hAnsi="Palatino Linotype"/>
          <w:i/>
        </w:rPr>
      </w:pPr>
    </w:p>
    <w:p w14:paraId="1CE16074" w14:textId="6EEAEDEE" w:rsidR="008B324B" w:rsidRPr="00521A58" w:rsidRDefault="00521A58" w:rsidP="00521A58">
      <w:pPr>
        <w:tabs>
          <w:tab w:val="left" w:pos="720"/>
        </w:tabs>
        <w:spacing w:after="0" w:line="276" w:lineRule="auto"/>
        <w:ind w:left="851" w:right="616"/>
        <w:jc w:val="both"/>
        <w:rPr>
          <w:rFonts w:ascii="Palatino Linotype" w:hAnsi="Palatino Linotype"/>
          <w:i/>
        </w:rPr>
      </w:pPr>
      <w:r w:rsidRPr="00521A58">
        <w:rPr>
          <w:rFonts w:ascii="Palatino Linotype" w:hAnsi="Palatino Linotype"/>
          <w:i/>
        </w:rPr>
        <w:t xml:space="preserve">Para el caso de que El Sujeto Obligado no haya generado la información que se ordena en el punto </w:t>
      </w:r>
      <w:r w:rsidRPr="00521A58">
        <w:rPr>
          <w:rFonts w:ascii="Palatino Linotype" w:hAnsi="Palatino Linotype"/>
          <w:b/>
          <w:i/>
        </w:rPr>
        <w:t xml:space="preserve">1) </w:t>
      </w:r>
      <w:r w:rsidRPr="00521A58">
        <w:rPr>
          <w:rFonts w:ascii="Palatino Linotype" w:hAnsi="Palatino Linotype"/>
          <w:i/>
        </w:rPr>
        <w:t>del presente Resolutivo, bastará con que lo haga del conocimiento de la Recurrente al momento de dar cumplimiento a la presente resolución</w:t>
      </w:r>
      <w:r w:rsidR="0079531D" w:rsidRPr="00521A58">
        <w:rPr>
          <w:rFonts w:ascii="Palatino Linotype" w:hAnsi="Palatino Linotype"/>
          <w:i/>
          <w:color w:val="000000"/>
        </w:rPr>
        <w:t>.</w:t>
      </w:r>
      <w:r w:rsidR="008B324B" w:rsidRPr="00521A58">
        <w:rPr>
          <w:rFonts w:ascii="Palatino Linotype" w:eastAsia="Palatino Linotype" w:hAnsi="Palatino Linotype" w:cs="Palatino Linotype"/>
          <w:i/>
        </w:rPr>
        <w:t>”</w:t>
      </w:r>
    </w:p>
    <w:p w14:paraId="0D3DF253" w14:textId="26D578A4" w:rsidR="0079531D" w:rsidRDefault="00823F1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Resolutivos de los cuales se desprende</w:t>
      </w:r>
      <w:r w:rsidR="0079531D">
        <w:rPr>
          <w:rFonts w:ascii="Palatino Linotype" w:eastAsia="Palatino Linotype" w:hAnsi="Palatino Linotype" w:cs="Palatino Linotype"/>
        </w:rPr>
        <w:t xml:space="preserve"> que, el </w:t>
      </w:r>
      <w:r w:rsidR="0079531D">
        <w:rPr>
          <w:rFonts w:ascii="Palatino Linotype" w:eastAsia="Palatino Linotype" w:hAnsi="Palatino Linotype" w:cs="Palatino Linotype"/>
          <w:b/>
        </w:rPr>
        <w:t>Sujeto Obligado</w:t>
      </w:r>
      <w:r w:rsidR="008B324B">
        <w:rPr>
          <w:rFonts w:ascii="Palatino Linotype" w:eastAsia="Palatino Linotype" w:hAnsi="Palatino Linotype" w:cs="Palatino Linotype"/>
        </w:rPr>
        <w:t xml:space="preserve"> deberá entregarse</w:t>
      </w:r>
      <w:r w:rsidR="0089705E">
        <w:rPr>
          <w:rFonts w:ascii="Palatino Linotype" w:eastAsia="Palatino Linotype" w:hAnsi="Palatino Linotype" w:cs="Palatino Linotype"/>
        </w:rPr>
        <w:t xml:space="preserve"> el Certifica</w:t>
      </w:r>
      <w:r w:rsidR="0079531D">
        <w:rPr>
          <w:rFonts w:ascii="Palatino Linotype" w:eastAsia="Palatino Linotype" w:hAnsi="Palatino Linotype" w:cs="Palatino Linotype"/>
        </w:rPr>
        <w:t xml:space="preserve">do de Deudor Alimentario Moroso. </w:t>
      </w:r>
    </w:p>
    <w:p w14:paraId="5C97D8BD" w14:textId="77777777" w:rsidR="00CB1FD9" w:rsidRPr="009D5AF9" w:rsidRDefault="0089705E" w:rsidP="009D5AF9">
      <w:pPr>
        <w:numPr>
          <w:ilvl w:val="0"/>
          <w:numId w:val="1"/>
        </w:numPr>
        <w:pBdr>
          <w:top w:val="nil"/>
          <w:left w:val="nil"/>
          <w:bottom w:val="nil"/>
          <w:right w:val="nil"/>
          <w:between w:val="nil"/>
        </w:pBdr>
        <w:spacing w:before="240" w:after="240" w:line="360" w:lineRule="auto"/>
        <w:ind w:left="567" w:right="139" w:hanging="425"/>
        <w:jc w:val="both"/>
        <w:rPr>
          <w:rFonts w:ascii="Palatino Linotype" w:eastAsia="Palatino Linotype" w:hAnsi="Palatino Linotype" w:cs="Palatino Linotype"/>
          <w:szCs w:val="24"/>
        </w:rPr>
      </w:pPr>
      <w:r w:rsidRPr="009D5AF9">
        <w:rPr>
          <w:rFonts w:ascii="Palatino Linotype" w:eastAsia="Palatino Linotype" w:hAnsi="Palatino Linotype" w:cs="Palatino Linotype"/>
          <w:b/>
          <w:szCs w:val="24"/>
        </w:rPr>
        <w:t xml:space="preserve">Razones del Voto Particular. </w:t>
      </w:r>
    </w:p>
    <w:p w14:paraId="4862AEC4" w14:textId="77777777" w:rsidR="00CB1FD9" w:rsidRDefault="0089705E">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Derivado de lo anterior, la emisión del voto se centrará en que, si bien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la rendición de cuentas, no se coincide con los argumentos señalados en la misma particularmente respecto a lo siguiente:</w:t>
      </w:r>
    </w:p>
    <w:p w14:paraId="0CD76275" w14:textId="77777777" w:rsidR="0079531D" w:rsidRPr="0079531D" w:rsidRDefault="0079531D" w:rsidP="0079531D">
      <w:pPr>
        <w:pStyle w:val="Prrafodelista"/>
        <w:numPr>
          <w:ilvl w:val="0"/>
          <w:numId w:val="5"/>
        </w:numPr>
        <w:spacing w:before="240" w:after="240" w:line="360" w:lineRule="auto"/>
        <w:ind w:right="142"/>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Certificado de no deudor alimentario moroso</w:t>
      </w:r>
    </w:p>
    <w:p w14:paraId="3DE8E065" w14:textId="77777777" w:rsidR="00CB1FD9" w:rsidRDefault="0089705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Por lo que hace los certificados de no deudor alimentario moroso la suscrita considera que deben ser protegidos mediante su clasificación como confidencial en su totalidad, ello derivado a que el estar inscrito en dicho registro tiene un impacto en la imagen de un servidor público y se trata de un tema estrictamente de carácter personal e incluso de tipo familiar.</w:t>
      </w:r>
    </w:p>
    <w:p w14:paraId="29F55DE1" w14:textId="77777777" w:rsidR="00CB1FD9" w:rsidRDefault="0089705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Se considera que la información que se ordena, en efecto, da certeza que determinado servidor público cumplió con los requisitos señalados en el artículo 32 de la Ley Orgánica Municipal del Estado de México, pero también lo es que dar a conocer esta información podría vulnerar la vida privada de los servidores públicos. </w:t>
      </w:r>
    </w:p>
    <w:p w14:paraId="451F5CC0" w14:textId="77777777" w:rsidR="00CB1FD9" w:rsidRDefault="0089705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Más aún cuando en el  Proyecto de Decreto por el que se Reforman y Adicionan Diversas Disposiciones para crear el Registro de Deudores Alimentarios del Estado de México, disponible en la dirección electrónica </w:t>
      </w:r>
      <w:hyperlink r:id="rId8" w:anchor=":~:text=La%20inscripci%C3%B3n%20con%20el%20car%C3%A1cter,del%20Estado%20de%20M%C3%A9xico%20e">
        <w:r>
          <w:rPr>
            <w:rFonts w:ascii="Palatino Linotype" w:eastAsia="Palatino Linotype" w:hAnsi="Palatino Linotype" w:cs="Palatino Linotype"/>
            <w:color w:val="0000FF"/>
            <w:u w:val="single"/>
          </w:rPr>
          <w:t>https://www.ipomex.org.mx/recursos/ipo/files_ipo/2014/8/11/630bc7787b59af912a96a9e1bca1c770.pdf#:~:text=La%20inscripci%C3%B3n%20con%20el%20car%C3%A1cter,del%20Estado%20de%20M%C3%A9xico%20e</w:t>
        </w:r>
      </w:hyperlink>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 pueden advertirse los objetivos de crear dicho registro: </w:t>
      </w:r>
    </w:p>
    <w:p w14:paraId="5F360DAF" w14:textId="77777777" w:rsidR="00CB1FD9" w:rsidRDefault="0089705E">
      <w:pPr>
        <w:spacing w:before="120" w:after="120" w:line="240" w:lineRule="auto"/>
        <w:ind w:left="851" w:right="992"/>
        <w:jc w:val="both"/>
        <w:rPr>
          <w:rFonts w:ascii="Times New Roman" w:eastAsia="Times New Roman" w:hAnsi="Times New Roman" w:cs="Times New Roman"/>
          <w:sz w:val="24"/>
          <w:szCs w:val="24"/>
        </w:rPr>
      </w:pPr>
      <w:r>
        <w:rPr>
          <w:rFonts w:ascii="Palatino Linotype" w:eastAsia="Palatino Linotype" w:hAnsi="Palatino Linotype" w:cs="Palatino Linotype"/>
          <w:i/>
          <w:color w:val="000000"/>
        </w:rPr>
        <w:t>“El interés superior del menor debe prevalecer en cualquier controversia de derecho familiar, situación que obliga a las autoridades a establecer las medidas necesarias para asegurar el cumplimiento del pago de la pensión alimenticia decretada a su favor.</w:t>
      </w:r>
    </w:p>
    <w:p w14:paraId="37B7EDE8" w14:textId="77777777" w:rsidR="00CB1FD9" w:rsidRDefault="0089705E">
      <w:pPr>
        <w:spacing w:before="120" w:after="120" w:line="240" w:lineRule="auto"/>
        <w:ind w:left="851" w:right="992"/>
        <w:jc w:val="both"/>
        <w:rPr>
          <w:rFonts w:ascii="Times New Roman" w:eastAsia="Times New Roman" w:hAnsi="Times New Roman" w:cs="Times New Roman"/>
          <w:sz w:val="24"/>
          <w:szCs w:val="24"/>
        </w:rPr>
      </w:pPr>
      <w:r>
        <w:rPr>
          <w:rFonts w:ascii="Palatino Linotype" w:eastAsia="Palatino Linotype" w:hAnsi="Palatino Linotype" w:cs="Palatino Linotype"/>
          <w:i/>
          <w:color w:val="000000"/>
        </w:rPr>
        <w:t>De acuerdo a nuestra legislación, el derecho a los alimentos no sólo se comprende el acceso a los productos para la nutrición y alimentación sino también lo relativo a la educación, vivienda, vestido, asistencia médica, recreación, entre otros; aspectos todos que permiten o posibilitan el desarrollo integral de las personas.</w:t>
      </w:r>
    </w:p>
    <w:p w14:paraId="262EB65F" w14:textId="77777777" w:rsidR="00CB1FD9" w:rsidRDefault="0089705E">
      <w:pPr>
        <w:spacing w:before="120" w:after="120" w:line="240" w:lineRule="auto"/>
        <w:ind w:left="851" w:right="992"/>
        <w:jc w:val="both"/>
        <w:rPr>
          <w:rFonts w:ascii="Times New Roman" w:eastAsia="Times New Roman" w:hAnsi="Times New Roman" w:cs="Times New Roman"/>
          <w:sz w:val="24"/>
          <w:szCs w:val="24"/>
        </w:rPr>
      </w:pPr>
      <w:r>
        <w:rPr>
          <w:rFonts w:ascii="Palatino Linotype" w:eastAsia="Palatino Linotype" w:hAnsi="Palatino Linotype" w:cs="Palatino Linotype"/>
          <w:i/>
          <w:color w:val="000000"/>
        </w:rPr>
        <w:lastRenderedPageBreak/>
        <w:t>En nuestra Entidad, las demandas de alimentos son presentadas en su gran mayoría por mujeres madres de familia que demandan, por su propio derecho y/o en representación de sus menores hijos, de su cónyuge, concubino o ex pareja el cumplimiento de esta obligación. Esto debido a que en ocasiones los obligados a proporcionar alimentos eluden su responsabilidad, con la errónea idea de que será en perjuicio de su pareja o ex pareja, sin entender que son los menores hijos los que resultan más afectados. Así que, al acudir al sistema de justicia se pretende que la pensión alimenticia correspondiente quede fijada definitivamente y se garantice el cumplimiento de la obligación alimentaria.</w:t>
      </w:r>
    </w:p>
    <w:p w14:paraId="6917333A" w14:textId="77777777" w:rsidR="00CB1FD9" w:rsidRDefault="0089705E">
      <w:pPr>
        <w:spacing w:before="120" w:after="120" w:line="240" w:lineRule="auto"/>
        <w:ind w:left="851" w:right="992"/>
        <w:jc w:val="both"/>
        <w:rPr>
          <w:rFonts w:ascii="Times New Roman" w:eastAsia="Times New Roman" w:hAnsi="Times New Roman" w:cs="Times New Roman"/>
          <w:sz w:val="24"/>
          <w:szCs w:val="24"/>
        </w:rPr>
      </w:pPr>
      <w:r>
        <w:rPr>
          <w:rFonts w:ascii="Palatino Linotype" w:eastAsia="Palatino Linotype" w:hAnsi="Palatino Linotype" w:cs="Palatino Linotype"/>
          <w:i/>
          <w:color w:val="000000"/>
        </w:rPr>
        <w:t>Los alimentos tienen carácter preferente a favor de los hijos, sin que pueda eximirse el deudor alimentario de su cumplimiento cuando esté en posibilidades de hacerlo. En el Estado de México,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diversos son los instrumentos legales que se tienen para obligar al deudor al pago de alimentos, cuando éstos no se enteran de manera voluntaria, como debe ser el ideal, entre los que destacan: el embargo de bienes, incluyendo, la del salario, así como la pérdida de la patria potestad, contempladas en la legislación civil, sustantiva y adjetiva. También podemos citar, la imposición de la pena de prisión hasta por siete años, por el delito de incumplimiento de obligaciones, previsto en las fracciones II y III, del artículo 217, del Código Penal del Estado de México. Pese a los alcances de estas medidas legales, éstas no han sido suficientes para hacer cumplir a los deudores con sus obligaciones alimentarias.</w:t>
      </w:r>
    </w:p>
    <w:p w14:paraId="3A15144F" w14:textId="77777777" w:rsidR="00CB1FD9" w:rsidRDefault="0089705E">
      <w:pPr>
        <w:spacing w:before="120" w:after="120" w:line="240" w:lineRule="auto"/>
        <w:ind w:left="851" w:right="992"/>
        <w:jc w:val="both"/>
        <w:rPr>
          <w:rFonts w:ascii="Times New Roman" w:eastAsia="Times New Roman" w:hAnsi="Times New Roman" w:cs="Times New Roman"/>
          <w:sz w:val="24"/>
          <w:szCs w:val="24"/>
        </w:rPr>
      </w:pPr>
      <w:r>
        <w:rPr>
          <w:rFonts w:ascii="Palatino Linotype" w:eastAsia="Palatino Linotype" w:hAnsi="Palatino Linotype" w:cs="Palatino Linotype"/>
          <w:i/>
          <w:color w:val="000000"/>
        </w:rPr>
        <w:t xml:space="preserve">Por ello, creemos necesario establecer nuevos y diferentes mecanismos que aseguren el pago de los alimentos, para que sean satisfechas las necesidades más básicas, principalmente de los menores, que no pueden allegarse por sí mismos los recursos económicos para la subsistencia. Lo anterior, porque cuando una persona ha logrado satisfacer sus necesidades básicas, entonces está en mejores condiciones para crecer y superarse. En ese sentido, el presente Proyecto de Decreto propone la creación del Registro de Deudores Alimentarios del Estado de México (REDAEM), </w:t>
      </w:r>
      <w:r>
        <w:rPr>
          <w:rFonts w:ascii="Palatino Linotype" w:eastAsia="Palatino Linotype" w:hAnsi="Palatino Linotype" w:cs="Palatino Linotype"/>
          <w:b/>
          <w:i/>
          <w:color w:val="000000"/>
          <w:u w:val="single"/>
        </w:rPr>
        <w:t xml:space="preserve">con la finalidad de asegurar el cumplimiento de las obligaciones alimentarias que tienen los padres para con sus menores hijos.” </w:t>
      </w:r>
    </w:p>
    <w:p w14:paraId="55B8E52D" w14:textId="77777777" w:rsidR="00CB1FD9" w:rsidRDefault="0089705E">
      <w:pPr>
        <w:spacing w:before="240" w:after="240" w:line="360" w:lineRule="auto"/>
        <w:jc w:val="both"/>
        <w:rPr>
          <w:rFonts w:ascii="Times New Roman" w:eastAsia="Times New Roman" w:hAnsi="Times New Roman" w:cs="Times New Roman"/>
          <w:sz w:val="24"/>
          <w:szCs w:val="24"/>
        </w:rPr>
      </w:pPr>
      <w:r>
        <w:rPr>
          <w:rFonts w:ascii="Palatino Linotype" w:eastAsia="Palatino Linotype" w:hAnsi="Palatino Linotype" w:cs="Palatino Linotype"/>
          <w:color w:val="000000"/>
        </w:rPr>
        <w:t xml:space="preserve">De lo anterior se desprende que el registro de deudores alimentarios morosos no tiene por objeto su publicidad, sino por el contrario que sea un mecanismo para garantizar que los </w:t>
      </w:r>
      <w:r>
        <w:rPr>
          <w:rFonts w:ascii="Palatino Linotype" w:eastAsia="Palatino Linotype" w:hAnsi="Palatino Linotype" w:cs="Palatino Linotype"/>
          <w:color w:val="000000"/>
        </w:rPr>
        <w:lastRenderedPageBreak/>
        <w:t xml:space="preserve">padres cumplan con su obligación de dar alimentos a los hijos en razón de su protección (interés superior del menor), en este sentido si bien dicho registro no es público, para el caso de proporcionar los que no están inscritos como deudores morosos y se clasifiquen los que sí se encuentran inscritos se puede arribar a la conclusión de quiénes sí se encuentran como deudores alimentarios morosos, por lo tanto, no es procedente entrega esta información ni de quienes están ni de quienes no están, por lo que resulta procedente clasificar la información solicitada de manera general como </w:t>
      </w:r>
      <w:r>
        <w:rPr>
          <w:rFonts w:ascii="Palatino Linotype" w:eastAsia="Palatino Linotype" w:hAnsi="Palatino Linotype" w:cs="Palatino Linotype"/>
          <w:b/>
          <w:color w:val="000000"/>
        </w:rPr>
        <w:t>información confidencial en su totalidad</w:t>
      </w:r>
      <w:r>
        <w:rPr>
          <w:rFonts w:ascii="Palatino Linotype" w:eastAsia="Palatino Linotype" w:hAnsi="Palatino Linotype" w:cs="Palatino Linotype"/>
          <w:color w:val="000000"/>
        </w:rPr>
        <w:t xml:space="preserve"> en términos del artículo 143, fracción I, de la Ley de Transparencia y Acceso a la Información Pública del Estado de México y Municipios. </w:t>
      </w:r>
    </w:p>
    <w:p w14:paraId="313CDE51" w14:textId="77777777" w:rsidR="00CB1FD9" w:rsidRDefault="0089705E">
      <w:pPr>
        <w:spacing w:before="240" w:after="240" w:line="360" w:lineRule="auto"/>
        <w:jc w:val="both"/>
        <w:rPr>
          <w:rFonts w:ascii="Times New Roman" w:eastAsia="Times New Roman" w:hAnsi="Times New Roman" w:cs="Times New Roman"/>
          <w:sz w:val="24"/>
          <w:szCs w:val="24"/>
        </w:rPr>
      </w:pPr>
      <w:r>
        <w:rPr>
          <w:rFonts w:ascii="Palatino Linotype" w:eastAsia="Palatino Linotype" w:hAnsi="Palatino Linotype" w:cs="Palatino Linotype"/>
          <w:color w:val="000000"/>
        </w:rPr>
        <w:t>Por otro lado, clasificar en su totalidad esa información de igual forma, da certeza del cumplimiento del requisito, toda vez que la clasificación y la inexistencia no pueden coexistir. A efecto de robustecer lo anterior, sirve de sustento el criterio orientador 29/10 emitido por el Instituto Nacional de Transparencia, Acceso a la Información y Protección de Datos Personales, INAI, el cual refiere lo siguiente: </w:t>
      </w:r>
    </w:p>
    <w:p w14:paraId="0729A3A5" w14:textId="77777777" w:rsidR="00CB1FD9" w:rsidRDefault="0089705E">
      <w:pPr>
        <w:spacing w:before="120" w:after="120" w:line="240" w:lineRule="auto"/>
        <w:ind w:left="851" w:right="902"/>
        <w:jc w:val="both"/>
        <w:rPr>
          <w:rFonts w:ascii="Times New Roman" w:eastAsia="Times New Roman" w:hAnsi="Times New Roman" w:cs="Times New Roman"/>
          <w:sz w:val="24"/>
          <w:szCs w:val="24"/>
        </w:rPr>
      </w:pPr>
      <w:r>
        <w:rPr>
          <w:rFonts w:ascii="Palatino Linotype" w:eastAsia="Palatino Linotype" w:hAnsi="Palatino Linotype" w:cs="Palatino Linotype"/>
          <w:i/>
          <w:color w:val="000000"/>
        </w:rPr>
        <w:t> “</w:t>
      </w:r>
      <w:r>
        <w:rPr>
          <w:rFonts w:ascii="Palatino Linotype" w:eastAsia="Palatino Linotype" w:hAnsi="Palatino Linotype" w:cs="Palatino Linotype"/>
          <w:b/>
          <w:i/>
          <w:color w:val="000000"/>
        </w:rPr>
        <w:t>La clasificación y la inexistencia de información son conceptos que no pueden coexistir</w:t>
      </w:r>
      <w:r>
        <w:rPr>
          <w:rFonts w:ascii="Palatino Linotype" w:eastAsia="Palatino Linotype" w:hAnsi="Palatino Linotype" w:cs="Palatino Linotype"/>
          <w:i/>
          <w:color w:val="000000"/>
        </w:rPr>
        <w:t xml:space="preserve">. 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documento o documentos determinados mientras que la </w:t>
      </w:r>
      <w:r>
        <w:rPr>
          <w:rFonts w:ascii="Palatino Linotype" w:eastAsia="Palatino Linotype" w:hAnsi="Palatino Linotype" w:cs="Palatino Linotype"/>
          <w:i/>
          <w:color w:val="000000"/>
        </w:rPr>
        <w:lastRenderedPageBreak/>
        <w:t>inexistencia conlleva la ausencia de los mismos en los archivos de la dependencia o entidad de que se trate." </w:t>
      </w:r>
    </w:p>
    <w:p w14:paraId="637798BA" w14:textId="77777777" w:rsidR="00CB1FD9" w:rsidRDefault="0089705E">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color w:val="000000"/>
        </w:rPr>
        <w:t xml:space="preserve">Es por las razones antes expuestas que no comparto, que se ordene el </w:t>
      </w:r>
      <w:r>
        <w:rPr>
          <w:rFonts w:ascii="Palatino Linotype" w:eastAsia="Palatino Linotype" w:hAnsi="Palatino Linotype" w:cs="Palatino Linotype"/>
          <w:b/>
          <w:color w:val="000000"/>
          <w:u w:val="single"/>
        </w:rPr>
        <w:t>certificado de no deudor alimentario</w:t>
      </w:r>
      <w:r>
        <w:rPr>
          <w:rFonts w:ascii="Palatino Linotype" w:eastAsia="Palatino Linotype" w:hAnsi="Palatino Linotype" w:cs="Palatino Linotype"/>
          <w:color w:val="000000"/>
        </w:rPr>
        <w:t xml:space="preserve">, pues se estima que se actualiza la causal de clasificación establecida en el artículo 143, fracción I, de la Ley de la Ley de Transparencia y Acceso a la Información Pública del Estado de México y Municipios, y, por ende se emite el presente </w:t>
      </w:r>
      <w:r>
        <w:rPr>
          <w:rFonts w:ascii="Palatino Linotype" w:eastAsia="Palatino Linotype" w:hAnsi="Palatino Linotype" w:cs="Palatino Linotype"/>
          <w:b/>
        </w:rPr>
        <w:t>Voto Particular.</w:t>
      </w:r>
    </w:p>
    <w:p w14:paraId="7E2B02B7" w14:textId="77777777" w:rsidR="0079531D" w:rsidRDefault="0079531D" w:rsidP="0079531D">
      <w:pPr>
        <w:pStyle w:val="Prrafodelista"/>
        <w:numPr>
          <w:ilvl w:val="0"/>
          <w:numId w:val="5"/>
        </w:num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Publicidad de la fotografía de los servidores públicos </w:t>
      </w:r>
    </w:p>
    <w:p w14:paraId="53141CF1" w14:textId="77777777" w:rsidR="0079531D" w:rsidRPr="0079531D" w:rsidRDefault="0079531D" w:rsidP="0079531D">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rPr>
        <w:t>E</w:t>
      </w:r>
      <w:r w:rsidRPr="0079531D">
        <w:rPr>
          <w:rFonts w:ascii="Palatino Linotype" w:eastAsia="Palatino Linotype" w:hAnsi="Palatino Linotype" w:cs="Palatino Linotype"/>
        </w:rPr>
        <w:t>s preciso mencionar que, el presente voto se formula en relación con la fotografía de los servidores públicos sin importar el nivel o cargo y en cualquier documento que se encuentre vinculado con el cumplimiento de disposiciones legales debe ser pública, siendo que en la resolución se consideró lo siguiente</w:t>
      </w:r>
      <w:r w:rsidRPr="0079531D">
        <w:rPr>
          <w:rFonts w:ascii="Palatino Linotype" w:eastAsia="Palatino Linotype" w:hAnsi="Palatino Linotype" w:cs="Palatino Linotype"/>
          <w:i/>
        </w:rPr>
        <w:t>:</w:t>
      </w:r>
    </w:p>
    <w:p w14:paraId="38942A0F" w14:textId="77777777" w:rsidR="00521A58" w:rsidRPr="00521A58" w:rsidRDefault="00AF22C0" w:rsidP="00521A58">
      <w:pPr>
        <w:spacing w:after="0" w:line="276" w:lineRule="auto"/>
        <w:ind w:left="851" w:right="616"/>
        <w:jc w:val="both"/>
        <w:rPr>
          <w:rFonts w:ascii="Palatino Linotype" w:eastAsia="Times New Roman" w:hAnsi="Palatino Linotype" w:cs="Times New Roman"/>
          <w:i/>
          <w:sz w:val="24"/>
          <w:szCs w:val="24"/>
          <w:lang w:val="es-ES_tradnl" w:eastAsia="es-ES"/>
        </w:rPr>
      </w:pPr>
      <w:bookmarkStart w:id="3" w:name="_heading=h.seznk0v3kwdp" w:colFirst="0" w:colLast="0"/>
      <w:bookmarkEnd w:id="3"/>
      <w:r w:rsidRPr="00521A58">
        <w:rPr>
          <w:rFonts w:ascii="Palatino Linotype" w:hAnsi="Palatino Linotype"/>
          <w:b/>
          <w:i/>
          <w:sz w:val="24"/>
          <w:szCs w:val="24"/>
        </w:rPr>
        <w:t>“</w:t>
      </w:r>
      <w:r w:rsidR="00521A58" w:rsidRPr="00521A58">
        <w:rPr>
          <w:rFonts w:ascii="Palatino Linotype" w:eastAsia="Times New Roman" w:hAnsi="Palatino Linotype" w:cs="Times New Roman"/>
          <w:i/>
          <w:sz w:val="24"/>
          <w:szCs w:val="24"/>
          <w:lang w:val="es-ES_tradnl" w:eastAsia="es-ES"/>
        </w:rPr>
        <w:t xml:space="preserve">Por lo que hace a la </w:t>
      </w:r>
      <w:r w:rsidR="00521A58" w:rsidRPr="00521A58">
        <w:rPr>
          <w:rFonts w:ascii="Palatino Linotype" w:eastAsia="Times New Roman" w:hAnsi="Palatino Linotype" w:cs="Times New Roman"/>
          <w:b/>
          <w:bCs/>
          <w:i/>
          <w:sz w:val="24"/>
          <w:szCs w:val="24"/>
          <w:u w:val="single"/>
          <w:lang w:val="es-ES_tradnl" w:eastAsia="es-ES"/>
        </w:rPr>
        <w:t>fotografía de los servidores públicos</w:t>
      </w:r>
      <w:r w:rsidR="00521A58" w:rsidRPr="00521A58">
        <w:rPr>
          <w:rFonts w:ascii="Palatino Linotype" w:eastAsia="Times New Roman" w:hAnsi="Palatino Linotype" w:cs="Times New Roman"/>
          <w:i/>
          <w:sz w:val="24"/>
          <w:szCs w:val="24"/>
          <w:lang w:val="es-ES_tradnl" w:eastAsia="es-ES"/>
        </w:rPr>
        <w:t>, debe señalar que los servidores públicos tienen un espectro menor de protección a sus datos personales en comparación con cualquier otra persona física. Esto debido al interés público que revisten sus funciones, por lo que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14:paraId="271E44A9" w14:textId="77777777" w:rsidR="00521A58" w:rsidRPr="00521A58" w:rsidRDefault="00521A58" w:rsidP="00521A58">
      <w:pPr>
        <w:spacing w:after="0" w:line="276" w:lineRule="auto"/>
        <w:ind w:left="851" w:right="616"/>
        <w:jc w:val="both"/>
        <w:rPr>
          <w:rFonts w:ascii="Palatino Linotype" w:eastAsia="Times New Roman" w:hAnsi="Palatino Linotype" w:cs="Times New Roman"/>
          <w:i/>
          <w:sz w:val="24"/>
          <w:szCs w:val="24"/>
          <w:lang w:val="es-ES_tradnl" w:eastAsia="es-ES"/>
        </w:rPr>
      </w:pPr>
    </w:p>
    <w:p w14:paraId="4F3CDE9C" w14:textId="77777777" w:rsidR="00521A58" w:rsidRPr="00521A58" w:rsidRDefault="00521A58" w:rsidP="00521A58">
      <w:pPr>
        <w:spacing w:after="0" w:line="276" w:lineRule="auto"/>
        <w:ind w:left="851" w:right="616"/>
        <w:jc w:val="both"/>
        <w:rPr>
          <w:rFonts w:ascii="Palatino Linotype" w:eastAsia="Times New Roman" w:hAnsi="Palatino Linotype" w:cs="Times New Roman"/>
          <w:i/>
          <w:sz w:val="24"/>
          <w:szCs w:val="24"/>
          <w:lang w:val="es-ES_tradnl" w:eastAsia="es-ES"/>
        </w:rPr>
      </w:pPr>
      <w:r w:rsidRPr="00521A58">
        <w:rPr>
          <w:rFonts w:ascii="Palatino Linotype" w:eastAsia="Times New Roman" w:hAnsi="Palatino Linotype" w:cs="Times New Roman"/>
          <w:i/>
          <w:sz w:val="24"/>
          <w:szCs w:val="24"/>
          <w:lang w:val="es-ES_tradnl" w:eastAsia="es-ES"/>
        </w:rPr>
        <w:t xml:space="preserve">Conforme a lo anterior, resulta necesario señalar que el Pleno de este Instituto emitió el criterio 03/2019 cuyo rubro dispone lo siguiente: </w:t>
      </w:r>
      <w:r w:rsidRPr="00521A58">
        <w:rPr>
          <w:rFonts w:ascii="Palatino Linotype" w:eastAsia="Times New Roman" w:hAnsi="Palatino Linotype" w:cs="Times New Roman"/>
          <w:b/>
          <w:bCs/>
          <w:i/>
          <w:sz w:val="24"/>
          <w:szCs w:val="24"/>
          <w:lang w:val="es-ES_tradnl" w:eastAsia="es-ES"/>
        </w:rPr>
        <w:t>“Servidores públicos con categoría de mando medio y superior. La fotografía de aquellos es de carácter público”</w:t>
      </w:r>
      <w:r w:rsidRPr="00521A58">
        <w:rPr>
          <w:rFonts w:ascii="Palatino Linotype" w:eastAsia="Times New Roman" w:hAnsi="Palatino Linotype" w:cs="Times New Roman"/>
          <w:i/>
          <w:sz w:val="24"/>
          <w:szCs w:val="24"/>
          <w:lang w:val="es-ES_tradnl" w:eastAsia="es-ES"/>
        </w:rPr>
        <w:t xml:space="preserve">; no obstante, dicho criterio fue </w:t>
      </w:r>
      <w:r w:rsidRPr="00521A58">
        <w:rPr>
          <w:rFonts w:ascii="Palatino Linotype" w:eastAsia="Times New Roman" w:hAnsi="Palatino Linotype" w:cs="Times New Roman"/>
          <w:i/>
          <w:sz w:val="24"/>
          <w:szCs w:val="24"/>
          <w:lang w:val="es-ES_tradnl" w:eastAsia="es-ES"/>
        </w:rPr>
        <w:lastRenderedPageBreak/>
        <w:t>interrumpido en términos del artículo 9, fracción XXVII del Reglamento Interior del Instituto de Transparencia, Acceso a la Información Pública y Protección de Datos Personales del Estado de México y Municipios.</w:t>
      </w:r>
    </w:p>
    <w:p w14:paraId="6D34F0FE" w14:textId="77777777" w:rsidR="00521A58" w:rsidRPr="00521A58" w:rsidRDefault="00521A58" w:rsidP="00521A58">
      <w:pPr>
        <w:spacing w:after="0" w:line="276" w:lineRule="auto"/>
        <w:ind w:left="851" w:right="616"/>
        <w:jc w:val="both"/>
        <w:rPr>
          <w:rFonts w:ascii="Palatino Linotype" w:eastAsia="Times New Roman" w:hAnsi="Palatino Linotype" w:cs="Times New Roman"/>
          <w:i/>
          <w:sz w:val="24"/>
          <w:szCs w:val="24"/>
          <w:lang w:val="es-ES_tradnl" w:eastAsia="es-ES"/>
        </w:rPr>
      </w:pPr>
    </w:p>
    <w:p w14:paraId="4B96492E" w14:textId="3B368D13" w:rsidR="0079531D" w:rsidRPr="00521A58" w:rsidRDefault="00521A58" w:rsidP="00521A58">
      <w:pPr>
        <w:spacing w:after="0" w:line="276" w:lineRule="auto"/>
        <w:ind w:left="851" w:right="616"/>
        <w:jc w:val="both"/>
        <w:rPr>
          <w:rFonts w:ascii="Palatino Linotype" w:eastAsia="Times New Roman" w:hAnsi="Palatino Linotype" w:cs="Times New Roman"/>
          <w:i/>
          <w:sz w:val="24"/>
          <w:szCs w:val="24"/>
          <w:lang w:val="es-ES_tradnl" w:eastAsia="es-ES"/>
        </w:rPr>
      </w:pPr>
      <w:r w:rsidRPr="00521A58">
        <w:rPr>
          <w:rFonts w:ascii="Palatino Linotype" w:eastAsia="Times New Roman" w:hAnsi="Palatino Linotype" w:cs="Times New Roman"/>
          <w:i/>
          <w:sz w:val="24"/>
          <w:szCs w:val="24"/>
          <w:lang w:val="es-ES_tradnl" w:eastAsia="es-ES"/>
        </w:rPr>
        <w:t xml:space="preserve">Debido a lo anterior, </w:t>
      </w:r>
      <w:r w:rsidRPr="00521A58">
        <w:rPr>
          <w:rFonts w:ascii="Palatino Linotype" w:eastAsia="Times New Roman" w:hAnsi="Palatino Linotype" w:cs="Times New Roman"/>
          <w:b/>
          <w:bCs/>
          <w:i/>
          <w:sz w:val="24"/>
          <w:szCs w:val="24"/>
          <w:lang w:val="es-ES_tradnl" w:eastAsia="es-ES"/>
        </w:rPr>
        <w:t>las fotografías de servidores públicos sin importar el nivel o rango guardan la naturaleza de públicas</w:t>
      </w:r>
      <w:r w:rsidRPr="00521A58">
        <w:rPr>
          <w:rFonts w:ascii="Palatino Linotype" w:eastAsia="Times New Roman" w:hAnsi="Palatino Linotype" w:cs="Times New Roman"/>
          <w:i/>
          <w:sz w:val="24"/>
          <w:szCs w:val="24"/>
          <w:lang w:val="es-ES_tradnl" w:eastAsia="es-ES"/>
        </w:rPr>
        <w:t xml:space="preserve"> (con excepción del personal operativo en materia de seguridad) y no procede su clasificación, en términos del artículo 143, fracción I, de la Ley de Transparencia y Acceso a la Información Pública del Estado de México y Municipios</w:t>
      </w:r>
      <w:r w:rsidR="0079531D" w:rsidRPr="00521A58">
        <w:rPr>
          <w:rFonts w:ascii="Palatino Linotype" w:hAnsi="Palatino Linotype"/>
          <w:i/>
          <w:sz w:val="24"/>
          <w:szCs w:val="24"/>
        </w:rPr>
        <w:t>.</w:t>
      </w:r>
    </w:p>
    <w:p w14:paraId="5F82559B" w14:textId="77777777" w:rsidR="0079531D" w:rsidRDefault="0079531D" w:rsidP="0079531D">
      <w:pPr>
        <w:pBdr>
          <w:top w:val="nil"/>
          <w:left w:val="nil"/>
          <w:bottom w:val="nil"/>
          <w:right w:val="nil"/>
          <w:between w:val="nil"/>
        </w:pBdr>
        <w:spacing w:after="0" w:line="240" w:lineRule="auto"/>
        <w:ind w:left="708"/>
        <w:rPr>
          <w:rFonts w:ascii="Times New Roman" w:eastAsia="Times New Roman" w:hAnsi="Times New Roman" w:cs="Times New Roman"/>
          <w:color w:val="000000"/>
          <w:sz w:val="24"/>
          <w:szCs w:val="24"/>
        </w:rPr>
      </w:pPr>
    </w:p>
    <w:p w14:paraId="261B0ABB" w14:textId="77777777" w:rsidR="0079531D" w:rsidRDefault="0079531D" w:rsidP="0079531D">
      <w:pPr>
        <w:spacing w:after="0" w:line="360" w:lineRule="auto"/>
        <w:jc w:val="both"/>
        <w:rPr>
          <w:rFonts w:ascii="Palatino Linotype" w:eastAsia="Palatino Linotype" w:hAnsi="Palatino Linotype" w:cs="Palatino Linotype"/>
        </w:rPr>
      </w:pPr>
    </w:p>
    <w:p w14:paraId="3065EFD1" w14:textId="4EB5A23B" w:rsidR="0079531D" w:rsidRDefault="0079531D" w:rsidP="0079531D">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Como se puede advertir, en el criterio de la mayoría no se distingue el nivel o cargo que ostente el servidor público</w:t>
      </w:r>
      <w:r w:rsidR="00521A58">
        <w:rPr>
          <w:rFonts w:ascii="Palatino Linotype" w:eastAsia="Palatino Linotype" w:hAnsi="Palatino Linotype" w:cs="Palatino Linotype"/>
        </w:rPr>
        <w:t>; s</w:t>
      </w:r>
      <w:r>
        <w:rPr>
          <w:rFonts w:ascii="Palatino Linotype" w:eastAsia="Palatino Linotype" w:hAnsi="Palatino Linotype" w:cs="Palatino Linotype"/>
        </w:rPr>
        <w:t>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51ADE6DD" w14:textId="77777777" w:rsidR="0079531D" w:rsidRDefault="0079531D" w:rsidP="0079531D">
      <w:pPr>
        <w:spacing w:after="0" w:line="360" w:lineRule="auto"/>
        <w:jc w:val="both"/>
        <w:rPr>
          <w:rFonts w:ascii="Palatino Linotype" w:eastAsia="Palatino Linotype" w:hAnsi="Palatino Linotype" w:cs="Palatino Linotype"/>
        </w:rPr>
      </w:pPr>
    </w:p>
    <w:p w14:paraId="177E8022" w14:textId="77777777" w:rsidR="0079531D" w:rsidRDefault="0079531D" w:rsidP="0079531D">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w:t>
      </w:r>
      <w:r>
        <w:rPr>
          <w:rFonts w:ascii="Palatino Linotype" w:eastAsia="Palatino Linotype" w:hAnsi="Palatino Linotype" w:cs="Palatino Linotype"/>
        </w:rPr>
        <w:lastRenderedPageBreak/>
        <w:t>posición de poder que deba estar sujeta al escrutinio y rendición de cuentas ante la sociedad, la administración de recursos públicos, la implementación de políticas públicas, la prestación de servicios públicos, entre otras.</w:t>
      </w:r>
    </w:p>
    <w:p w14:paraId="6B0655A4" w14:textId="77777777" w:rsidR="0079531D" w:rsidRDefault="0079531D" w:rsidP="0079531D">
      <w:pPr>
        <w:spacing w:after="0" w:line="360" w:lineRule="auto"/>
        <w:jc w:val="both"/>
        <w:rPr>
          <w:rFonts w:ascii="Palatino Linotype" w:eastAsia="Palatino Linotype" w:hAnsi="Palatino Linotype" w:cs="Palatino Linotype"/>
        </w:rPr>
      </w:pPr>
    </w:p>
    <w:p w14:paraId="6D1064BE" w14:textId="77777777" w:rsidR="0079531D" w:rsidRDefault="0079531D" w:rsidP="0079531D">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14:paraId="28F5CA15" w14:textId="77777777" w:rsidR="0079531D" w:rsidRDefault="0079531D" w:rsidP="0079531D">
      <w:pPr>
        <w:spacing w:after="0" w:line="360" w:lineRule="auto"/>
        <w:ind w:right="140"/>
        <w:jc w:val="both"/>
        <w:rPr>
          <w:rFonts w:ascii="Palatino Linotype" w:eastAsia="Palatino Linotype" w:hAnsi="Palatino Linotype" w:cs="Palatino Linotype"/>
        </w:rPr>
      </w:pPr>
    </w:p>
    <w:p w14:paraId="7856413F" w14:textId="77777777" w:rsidR="0079531D" w:rsidRDefault="0079531D" w:rsidP="0079531D">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14:paraId="201201E1" w14:textId="77777777" w:rsidR="0079531D" w:rsidRDefault="0079531D" w:rsidP="0079531D">
      <w:pPr>
        <w:tabs>
          <w:tab w:val="left" w:pos="4962"/>
        </w:tabs>
        <w:spacing w:after="0" w:line="360" w:lineRule="auto"/>
        <w:jc w:val="both"/>
        <w:rPr>
          <w:rFonts w:ascii="Palatino Linotype" w:eastAsia="Palatino Linotype" w:hAnsi="Palatino Linotype" w:cs="Palatino Linotype"/>
        </w:rPr>
      </w:pPr>
    </w:p>
    <w:p w14:paraId="6DDECF1B" w14:textId="77777777" w:rsidR="0079531D" w:rsidRDefault="0079531D" w:rsidP="0079531D">
      <w:pPr>
        <w:spacing w:after="0" w:line="360" w:lineRule="auto"/>
        <w:jc w:val="both"/>
        <w:rPr>
          <w:rFonts w:ascii="Palatino Linotype" w:eastAsia="Palatino Linotype" w:hAnsi="Palatino Linotype" w:cs="Palatino Linotype"/>
        </w:rPr>
      </w:pPr>
      <w:bookmarkStart w:id="4" w:name="_heading=h.xezr0okd57tn" w:colFirst="0" w:colLast="0"/>
      <w:bookmarkEnd w:id="4"/>
      <w:r>
        <w:rPr>
          <w:rFonts w:ascii="Palatino Linotype" w:eastAsia="Palatino Linotype" w:hAnsi="Palatino Linotype" w:cs="Palatino Linotype"/>
        </w:rPr>
        <w:t xml:space="preserve">Dado que el acceso a los documentos que contengan el dato materia de análisis, aun clasificándolo, sí daría cuenta de lo que en realidad se pretende transparentar, como es, por </w:t>
      </w:r>
      <w:r>
        <w:rPr>
          <w:rFonts w:ascii="Palatino Linotype" w:eastAsia="Palatino Linotype" w:hAnsi="Palatino Linotype" w:cs="Palatino Linotype"/>
        </w:rPr>
        <w:lastRenderedPageBreak/>
        <w:t>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14:paraId="17BC2BC2" w14:textId="77777777" w:rsidR="0079531D" w:rsidRDefault="0079531D" w:rsidP="0079531D">
      <w:pPr>
        <w:spacing w:after="0" w:line="360" w:lineRule="auto"/>
        <w:jc w:val="both"/>
        <w:rPr>
          <w:rFonts w:ascii="Palatino Linotype" w:eastAsia="Palatino Linotype" w:hAnsi="Palatino Linotype" w:cs="Palatino Linotype"/>
        </w:rPr>
      </w:pPr>
    </w:p>
    <w:p w14:paraId="28E76926" w14:textId="77777777" w:rsidR="0079531D" w:rsidRDefault="0079531D" w:rsidP="0079531D">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14:paraId="50B9AF12" w14:textId="77777777" w:rsidR="0079531D" w:rsidRDefault="0079531D" w:rsidP="0079531D">
      <w:pPr>
        <w:spacing w:after="0" w:line="360" w:lineRule="auto"/>
        <w:jc w:val="both"/>
        <w:rPr>
          <w:rFonts w:ascii="Palatino Linotype" w:eastAsia="Palatino Linotype" w:hAnsi="Palatino Linotype" w:cs="Palatino Linotype"/>
        </w:rPr>
      </w:pPr>
    </w:p>
    <w:p w14:paraId="7E7E1E53" w14:textId="77777777" w:rsidR="0079531D" w:rsidRDefault="0079531D" w:rsidP="0079531D">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14:paraId="475E5FB8" w14:textId="77777777" w:rsidR="0079531D" w:rsidRPr="0079531D" w:rsidRDefault="0079531D" w:rsidP="0079531D">
      <w:pPr>
        <w:spacing w:before="240" w:after="240" w:line="360" w:lineRule="auto"/>
        <w:jc w:val="both"/>
        <w:rPr>
          <w:rFonts w:ascii="Palatino Linotype" w:eastAsia="Palatino Linotype" w:hAnsi="Palatino Linotype" w:cs="Palatino Linotype"/>
          <w:b/>
        </w:rPr>
      </w:pPr>
    </w:p>
    <w:p w14:paraId="0A8B0291" w14:textId="77777777" w:rsidR="0079531D" w:rsidRDefault="0079531D">
      <w:pPr>
        <w:spacing w:before="240" w:after="240" w:line="360" w:lineRule="auto"/>
        <w:jc w:val="both"/>
        <w:rPr>
          <w:rFonts w:ascii="Palatino Linotype" w:eastAsia="Palatino Linotype" w:hAnsi="Palatino Linotype" w:cs="Palatino Linotype"/>
          <w:b/>
        </w:rPr>
      </w:pPr>
    </w:p>
    <w:p w14:paraId="11EE3DA9" w14:textId="77777777" w:rsidR="0079531D" w:rsidRPr="0079531D" w:rsidRDefault="0079531D" w:rsidP="0079531D">
      <w:pPr>
        <w:pStyle w:val="Prrafodelista"/>
        <w:numPr>
          <w:ilvl w:val="0"/>
          <w:numId w:val="5"/>
        </w:numPr>
        <w:spacing w:before="240" w:after="240" w:line="360" w:lineRule="auto"/>
        <w:jc w:val="both"/>
        <w:rPr>
          <w:rFonts w:ascii="Palatino Linotype" w:eastAsia="Palatino Linotype" w:hAnsi="Palatino Linotype" w:cs="Palatino Linotype"/>
        </w:rPr>
        <w:sectPr w:rsidR="0079531D" w:rsidRPr="0079531D">
          <w:headerReference w:type="default" r:id="rId9"/>
          <w:footerReference w:type="default" r:id="rId10"/>
          <w:pgSz w:w="12240" w:h="15840"/>
          <w:pgMar w:top="2438" w:right="1701" w:bottom="2778" w:left="1701" w:header="1134" w:footer="1134" w:gutter="0"/>
          <w:pgNumType w:start="1"/>
          <w:cols w:space="720"/>
        </w:sectPr>
      </w:pPr>
    </w:p>
    <w:p w14:paraId="7BC02CB8" w14:textId="77777777" w:rsidR="00CB1FD9" w:rsidRDefault="00CB1FD9">
      <w:pPr>
        <w:spacing w:before="240" w:after="240" w:line="360" w:lineRule="auto"/>
        <w:ind w:right="139"/>
        <w:jc w:val="both"/>
        <w:rPr>
          <w:rFonts w:ascii="Palatino Linotype" w:eastAsia="Palatino Linotype" w:hAnsi="Palatino Linotype" w:cs="Palatino Linotype"/>
          <w:sz w:val="24"/>
          <w:szCs w:val="24"/>
        </w:rPr>
      </w:pPr>
      <w:bookmarkStart w:id="5" w:name="_heading=h.1fob9te" w:colFirst="0" w:colLast="0"/>
      <w:bookmarkEnd w:id="5"/>
    </w:p>
    <w:p w14:paraId="1680951E" w14:textId="77777777" w:rsidR="00CB1FD9" w:rsidRDefault="00CB1FD9">
      <w:pPr>
        <w:spacing w:before="240" w:after="240" w:line="360" w:lineRule="auto"/>
        <w:ind w:right="139"/>
        <w:jc w:val="both"/>
        <w:rPr>
          <w:rFonts w:ascii="Palatino Linotype" w:eastAsia="Palatino Linotype" w:hAnsi="Palatino Linotype" w:cs="Palatino Linotype"/>
          <w:sz w:val="24"/>
          <w:szCs w:val="24"/>
        </w:rPr>
      </w:pPr>
    </w:p>
    <w:p w14:paraId="5DE5668E" w14:textId="77777777" w:rsidR="00CB1FD9" w:rsidRDefault="00CB1FD9">
      <w:pPr>
        <w:spacing w:before="240" w:after="240" w:line="360" w:lineRule="auto"/>
        <w:ind w:right="139"/>
        <w:jc w:val="both"/>
        <w:rPr>
          <w:rFonts w:ascii="Palatino Linotype" w:eastAsia="Palatino Linotype" w:hAnsi="Palatino Linotype" w:cs="Palatino Linotype"/>
          <w:sz w:val="24"/>
          <w:szCs w:val="24"/>
        </w:rPr>
      </w:pPr>
    </w:p>
    <w:p w14:paraId="449C3A71" w14:textId="77777777" w:rsidR="00CB1FD9" w:rsidRDefault="00CB1FD9">
      <w:pPr>
        <w:spacing w:before="240" w:after="240" w:line="360" w:lineRule="auto"/>
        <w:ind w:right="139"/>
        <w:jc w:val="both"/>
        <w:rPr>
          <w:rFonts w:ascii="Palatino Linotype" w:eastAsia="Palatino Linotype" w:hAnsi="Palatino Linotype" w:cs="Palatino Linotype"/>
          <w:sz w:val="24"/>
          <w:szCs w:val="24"/>
        </w:rPr>
      </w:pPr>
    </w:p>
    <w:p w14:paraId="387AC742" w14:textId="77777777" w:rsidR="00CB1FD9" w:rsidRDefault="00CB1FD9">
      <w:pPr>
        <w:spacing w:before="240" w:after="240" w:line="360" w:lineRule="auto"/>
        <w:ind w:right="139"/>
        <w:jc w:val="both"/>
        <w:rPr>
          <w:rFonts w:ascii="Palatino Linotype" w:eastAsia="Palatino Linotype" w:hAnsi="Palatino Linotype" w:cs="Palatino Linotype"/>
          <w:sz w:val="24"/>
          <w:szCs w:val="24"/>
        </w:rPr>
      </w:pPr>
    </w:p>
    <w:p w14:paraId="593B1062" w14:textId="77777777" w:rsidR="00CB1FD9" w:rsidRDefault="00CB1FD9">
      <w:pPr>
        <w:spacing w:before="240" w:after="240" w:line="360" w:lineRule="auto"/>
        <w:ind w:right="139"/>
        <w:jc w:val="both"/>
        <w:rPr>
          <w:rFonts w:ascii="Palatino Linotype" w:eastAsia="Palatino Linotype" w:hAnsi="Palatino Linotype" w:cs="Palatino Linotype"/>
          <w:sz w:val="24"/>
          <w:szCs w:val="24"/>
        </w:rPr>
      </w:pPr>
    </w:p>
    <w:p w14:paraId="49F05E89" w14:textId="77777777" w:rsidR="00CB1FD9" w:rsidRDefault="00CB1FD9">
      <w:pPr>
        <w:spacing w:before="240" w:after="240" w:line="360" w:lineRule="auto"/>
        <w:ind w:right="139"/>
        <w:jc w:val="both"/>
        <w:rPr>
          <w:rFonts w:ascii="Palatino Linotype" w:eastAsia="Palatino Linotype" w:hAnsi="Palatino Linotype" w:cs="Palatino Linotype"/>
          <w:sz w:val="24"/>
          <w:szCs w:val="24"/>
        </w:rPr>
      </w:pPr>
    </w:p>
    <w:sectPr w:rsidR="00CB1FD9">
      <w:headerReference w:type="default" r:id="rId11"/>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DA0D2" w14:textId="77777777" w:rsidR="00682C72" w:rsidRDefault="00682C72">
      <w:pPr>
        <w:spacing w:after="0" w:line="240" w:lineRule="auto"/>
      </w:pPr>
      <w:r>
        <w:separator/>
      </w:r>
    </w:p>
  </w:endnote>
  <w:endnote w:type="continuationSeparator" w:id="0">
    <w:p w14:paraId="33B2DC01" w14:textId="77777777" w:rsidR="00682C72" w:rsidRDefault="0068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028B" w14:textId="77777777" w:rsidR="00CB1FD9" w:rsidRDefault="0089705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93996">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93996">
      <w:rPr>
        <w:rFonts w:ascii="Palatino Linotype" w:eastAsia="Palatino Linotype" w:hAnsi="Palatino Linotype" w:cs="Palatino Linotype"/>
        <w:b/>
        <w:noProof/>
        <w:color w:val="000000"/>
        <w:sz w:val="20"/>
        <w:szCs w:val="20"/>
      </w:rPr>
      <w:t>13</w:t>
    </w:r>
    <w:r>
      <w:rPr>
        <w:rFonts w:ascii="Palatino Linotype" w:eastAsia="Palatino Linotype" w:hAnsi="Palatino Linotype" w:cs="Palatino Linotype"/>
        <w:b/>
        <w:color w:val="000000"/>
        <w:sz w:val="20"/>
        <w:szCs w:val="20"/>
      </w:rPr>
      <w:fldChar w:fldCharType="end"/>
    </w:r>
  </w:p>
  <w:p w14:paraId="79547645" w14:textId="77777777" w:rsidR="00CB1FD9" w:rsidRDefault="00CB1FD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C487" w14:textId="77777777" w:rsidR="00682C72" w:rsidRDefault="00682C72">
      <w:pPr>
        <w:spacing w:after="0" w:line="240" w:lineRule="auto"/>
      </w:pPr>
      <w:r>
        <w:separator/>
      </w:r>
    </w:p>
  </w:footnote>
  <w:footnote w:type="continuationSeparator" w:id="0">
    <w:p w14:paraId="1B6D67DE" w14:textId="77777777" w:rsidR="00682C72" w:rsidRDefault="00682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90C1" w14:textId="77777777" w:rsidR="00CB1FD9" w:rsidRDefault="0089705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r>
      <w:rPr>
        <w:noProof/>
      </w:rPr>
      <w:drawing>
        <wp:anchor distT="0" distB="0" distL="0" distR="0" simplePos="0" relativeHeight="251658240" behindDoc="1" locked="0" layoutInCell="1" hidden="0" allowOverlap="1" wp14:anchorId="11CD78CC" wp14:editId="129FDB27">
          <wp:simplePos x="0" y="0"/>
          <wp:positionH relativeFrom="column">
            <wp:posOffset>-1080132</wp:posOffset>
          </wp:positionH>
          <wp:positionV relativeFrom="paragraph">
            <wp:posOffset>-631822</wp:posOffset>
          </wp:positionV>
          <wp:extent cx="7510628" cy="9883775"/>
          <wp:effectExtent l="0" t="0" r="0" b="0"/>
          <wp:wrapNone/>
          <wp:docPr id="2716407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6FE0FBE0" w14:textId="1E01C609" w:rsidR="00CB1FD9" w:rsidRDefault="00BB43F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w:t>
    </w:r>
    <w:r w:rsidR="0089705E">
      <w:rPr>
        <w:rFonts w:ascii="Palatino Linotype" w:eastAsia="Palatino Linotype" w:hAnsi="Palatino Linotype" w:cs="Palatino Linotype"/>
        <w:b/>
        <w:color w:val="000000"/>
        <w:sz w:val="20"/>
        <w:szCs w:val="20"/>
      </w:rPr>
      <w:t xml:space="preserve"> DE REVISIÓN: </w:t>
    </w:r>
    <w:r w:rsidR="009D5AF9" w:rsidRPr="009D5AF9">
      <w:rPr>
        <w:rFonts w:ascii="Palatino Linotype" w:eastAsia="Palatino Linotype" w:hAnsi="Palatino Linotype" w:cs="Palatino Linotype"/>
        <w:b/>
        <w:color w:val="000000"/>
        <w:sz w:val="20"/>
        <w:szCs w:val="20"/>
      </w:rPr>
      <w:t>0</w:t>
    </w:r>
    <w:r w:rsidR="00DE645D">
      <w:rPr>
        <w:rFonts w:ascii="Palatino Linotype" w:eastAsia="Palatino Linotype" w:hAnsi="Palatino Linotype" w:cs="Palatino Linotype"/>
        <w:b/>
        <w:color w:val="000000"/>
        <w:sz w:val="20"/>
        <w:szCs w:val="20"/>
      </w:rPr>
      <w:t>0</w:t>
    </w:r>
    <w:r w:rsidR="00FA5AA6">
      <w:rPr>
        <w:rFonts w:ascii="Palatino Linotype" w:eastAsia="Palatino Linotype" w:hAnsi="Palatino Linotype" w:cs="Palatino Linotype"/>
        <w:b/>
        <w:color w:val="000000"/>
        <w:sz w:val="20"/>
        <w:szCs w:val="20"/>
      </w:rPr>
      <w:t>450</w:t>
    </w:r>
    <w:r w:rsidR="009D5AF9" w:rsidRPr="009D5AF9">
      <w:rPr>
        <w:rFonts w:ascii="Palatino Linotype" w:eastAsia="Palatino Linotype" w:hAnsi="Palatino Linotype" w:cs="Palatino Linotype"/>
        <w:b/>
        <w:color w:val="000000"/>
        <w:sz w:val="20"/>
        <w:szCs w:val="20"/>
      </w:rPr>
      <w:t>/INFOEM/IP/RR/202</w:t>
    </w:r>
    <w:r w:rsidR="00DE645D">
      <w:rPr>
        <w:rFonts w:ascii="Palatino Linotype" w:eastAsia="Palatino Linotype" w:hAnsi="Palatino Linotype" w:cs="Palatino Linotype"/>
        <w:b/>
        <w:color w:val="000000"/>
        <w:sz w:val="20"/>
        <w:szCs w:val="20"/>
      </w:rPr>
      <w:t>5</w:t>
    </w:r>
  </w:p>
  <w:p w14:paraId="451711AC" w14:textId="4502362F" w:rsidR="00FA5AA6" w:rsidRDefault="00FA5AA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 xml:space="preserve">y acumulado. </w:t>
    </w:r>
  </w:p>
  <w:p w14:paraId="252BB052" w14:textId="77777777" w:rsidR="00CB1FD9" w:rsidRDefault="00CB1FD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C602" w14:textId="77777777" w:rsidR="00CB1FD9" w:rsidRDefault="00CB1FD9">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FD4"/>
    <w:multiLevelType w:val="multilevel"/>
    <w:tmpl w:val="399A34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353" w:hanging="359"/>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BD16A5"/>
    <w:multiLevelType w:val="hybridMultilevel"/>
    <w:tmpl w:val="C5CCDD28"/>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15:restartNumberingAfterBreak="0">
    <w:nsid w:val="0A7130F5"/>
    <w:multiLevelType w:val="hybridMultilevel"/>
    <w:tmpl w:val="E9121A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51471B"/>
    <w:multiLevelType w:val="hybridMultilevel"/>
    <w:tmpl w:val="430ECC9A"/>
    <w:lvl w:ilvl="0" w:tplc="1B50234A">
      <w:start w:val="1"/>
      <w:numFmt w:val="decimal"/>
      <w:lvlText w:val="%1)"/>
      <w:lvlJc w:val="left"/>
      <w:pPr>
        <w:ind w:left="1080" w:hanging="360"/>
      </w:pPr>
      <w:rPr>
        <w:b/>
        <w:bCs/>
        <w:sz w:val="24"/>
        <w:szCs w:val="24"/>
      </w:rPr>
    </w:lvl>
    <w:lvl w:ilvl="1" w:tplc="E2D25550">
      <w:start w:val="1"/>
      <w:numFmt w:val="upperRoman"/>
      <w:lvlText w:val="%2."/>
      <w:lvlJc w:val="left"/>
      <w:pPr>
        <w:ind w:left="1800" w:hanging="360"/>
      </w:pPr>
      <w:rPr>
        <w:rFonts w:hint="default"/>
        <w:b/>
        <w:sz w:val="24"/>
        <w:szCs w:val="24"/>
      </w:r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2B022F7"/>
    <w:multiLevelType w:val="multilevel"/>
    <w:tmpl w:val="2AF8E7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A61248"/>
    <w:multiLevelType w:val="multilevel"/>
    <w:tmpl w:val="02C8F9A2"/>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746A5DAB"/>
    <w:multiLevelType w:val="multilevel"/>
    <w:tmpl w:val="7E2E2B5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0078144">
    <w:abstractNumId w:val="6"/>
  </w:num>
  <w:num w:numId="2" w16cid:durableId="832374070">
    <w:abstractNumId w:val="1"/>
  </w:num>
  <w:num w:numId="3" w16cid:durableId="2006931030">
    <w:abstractNumId w:val="5"/>
  </w:num>
  <w:num w:numId="4" w16cid:durableId="1229876350">
    <w:abstractNumId w:val="4"/>
  </w:num>
  <w:num w:numId="5" w16cid:durableId="1380275642">
    <w:abstractNumId w:val="2"/>
  </w:num>
  <w:num w:numId="6" w16cid:durableId="492842810">
    <w:abstractNumId w:val="0"/>
  </w:num>
  <w:num w:numId="7" w16cid:durableId="1615483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D9"/>
    <w:rsid w:val="0001351B"/>
    <w:rsid w:val="00113D94"/>
    <w:rsid w:val="001F4818"/>
    <w:rsid w:val="00313FE8"/>
    <w:rsid w:val="0047504F"/>
    <w:rsid w:val="00521A58"/>
    <w:rsid w:val="00661C5A"/>
    <w:rsid w:val="00682C72"/>
    <w:rsid w:val="00726B3B"/>
    <w:rsid w:val="00733C1B"/>
    <w:rsid w:val="0079531D"/>
    <w:rsid w:val="0081710A"/>
    <w:rsid w:val="00823F1C"/>
    <w:rsid w:val="0089705E"/>
    <w:rsid w:val="008B324B"/>
    <w:rsid w:val="00926E76"/>
    <w:rsid w:val="009D5AF9"/>
    <w:rsid w:val="00A01C7B"/>
    <w:rsid w:val="00A16018"/>
    <w:rsid w:val="00A815DF"/>
    <w:rsid w:val="00AC7256"/>
    <w:rsid w:val="00AF22C0"/>
    <w:rsid w:val="00B90306"/>
    <w:rsid w:val="00BB43F7"/>
    <w:rsid w:val="00CB1FD9"/>
    <w:rsid w:val="00CF61CF"/>
    <w:rsid w:val="00DE645D"/>
    <w:rsid w:val="00E93996"/>
    <w:rsid w:val="00FA5A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D434"/>
  <w15:docId w15:val="{2174C602-F5C1-424F-B93A-FF07628C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F2C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2C28"/>
  </w:style>
  <w:style w:type="paragraph" w:styleId="Piedepgina">
    <w:name w:val="footer"/>
    <w:basedOn w:val="Normal"/>
    <w:link w:val="PiedepginaCar"/>
    <w:uiPriority w:val="99"/>
    <w:unhideWhenUsed/>
    <w:rsid w:val="00EF2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2C2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C54F93"/>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C54F93"/>
    <w:rPr>
      <w:rFonts w:ascii="Century Gothic" w:eastAsia="Times New Roman" w:hAnsi="Century Gothic" w:cs="Times New Roman"/>
      <w:szCs w:val="24"/>
      <w:lang w:eastAsia="es-ES"/>
    </w:rPr>
  </w:style>
  <w:style w:type="character" w:styleId="Hipervnculo">
    <w:name w:val="Hyperlink"/>
    <w:basedOn w:val="Fuentedeprrafopredeter"/>
    <w:uiPriority w:val="99"/>
    <w:unhideWhenUsed/>
    <w:rsid w:val="00E27FA4"/>
    <w:rPr>
      <w:color w:val="0000FF" w:themeColor="hyperlink"/>
      <w:u w:val="single"/>
    </w:rPr>
  </w:style>
  <w:style w:type="table" w:styleId="Tablaconcuadrcula">
    <w:name w:val="Table Grid"/>
    <w:basedOn w:val="Tablanormal"/>
    <w:uiPriority w:val="59"/>
    <w:rsid w:val="00FA5AA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pomex.org.mx/recursos/ipo/files_ipo/2014/8/11/630bc7787b59af912a96a9e1bca1c77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63LcHpaO/zSgOITEiagZUWZhTw==">CgMxLjAyCGguZ2pkZ3hzMgloLjN6bnlzaDcyCWguMWZvYjl0ZTgAciExS2R5eGFjRThxeWFQUFFrS1ZpWUE0MWN2TWdwTkt2MzM=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3282</Words>
  <Characters>18054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inf03m619@outlook.com</cp:lastModifiedBy>
  <cp:revision>2</cp:revision>
  <cp:lastPrinted>2025-03-18T16:36:00Z</cp:lastPrinted>
  <dcterms:created xsi:type="dcterms:W3CDTF">2025-03-18T18:53:00Z</dcterms:created>
  <dcterms:modified xsi:type="dcterms:W3CDTF">2025-03-18T18:53:00Z</dcterms:modified>
</cp:coreProperties>
</file>