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AD" w:rsidRDefault="006632F8">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E35C86">
        <w:rPr>
          <w:rFonts w:ascii="Palatino Linotype" w:eastAsia="Palatino Linotype" w:hAnsi="Palatino Linotype" w:cs="Palatino Linotype"/>
          <w:b/>
        </w:rPr>
        <w:t>VIGÉSIMA</w:t>
      </w:r>
      <w:r>
        <w:rPr>
          <w:rFonts w:ascii="Palatino Linotype" w:eastAsia="Palatino Linotype" w:hAnsi="Palatino Linotype" w:cs="Palatino Linotype"/>
          <w:b/>
        </w:rPr>
        <w:t xml:space="preserve"> SESIÓN ORDINARIA DEL </w:t>
      </w:r>
      <w:r w:rsidR="00E35C86">
        <w:rPr>
          <w:rFonts w:ascii="Palatino Linotype" w:eastAsia="Palatino Linotype" w:hAnsi="Palatino Linotype" w:cs="Palatino Linotype"/>
          <w:b/>
        </w:rPr>
        <w:t>CUATRO DE JUNIO</w:t>
      </w:r>
      <w:r>
        <w:rPr>
          <w:rFonts w:ascii="Palatino Linotype" w:eastAsia="Palatino Linotype" w:hAnsi="Palatino Linotype" w:cs="Palatino Linotype"/>
          <w:b/>
        </w:rPr>
        <w:t xml:space="preserve"> DE DOS MIL VEINTICINCO EN EL RECURSO DE REVISIÓN </w:t>
      </w:r>
      <w:r>
        <w:rPr>
          <w:rFonts w:ascii="Palatino Linotype" w:eastAsia="Palatino Linotype" w:hAnsi="Palatino Linotype" w:cs="Palatino Linotype"/>
          <w:b/>
          <w:color w:val="000000"/>
        </w:rPr>
        <w:t>0</w:t>
      </w:r>
      <w:r w:rsidR="0031074D">
        <w:rPr>
          <w:rFonts w:ascii="Palatino Linotype" w:eastAsia="Palatino Linotype" w:hAnsi="Palatino Linotype" w:cs="Palatino Linotype"/>
          <w:b/>
          <w:color w:val="000000"/>
        </w:rPr>
        <w:t>2244</w:t>
      </w:r>
      <w:r>
        <w:rPr>
          <w:rFonts w:ascii="Palatino Linotype" w:eastAsia="Palatino Linotype" w:hAnsi="Palatino Linotype" w:cs="Palatino Linotype"/>
          <w:b/>
          <w:color w:val="000000"/>
        </w:rPr>
        <w:t>/INFOEM/IP/RR/2025.</w:t>
      </w:r>
    </w:p>
    <w:p w:rsidR="00E70FAD" w:rsidRDefault="00E70FAD">
      <w:pPr>
        <w:spacing w:after="0" w:line="360" w:lineRule="auto"/>
        <w:jc w:val="both"/>
        <w:rPr>
          <w:rFonts w:ascii="Palatino Linotype" w:eastAsia="Palatino Linotype" w:hAnsi="Palatino Linotype" w:cs="Palatino Linotype"/>
          <w:b/>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31074D">
        <w:rPr>
          <w:rFonts w:ascii="Palatino Linotype" w:eastAsia="Palatino Linotype" w:hAnsi="Palatino Linotype" w:cs="Palatino Linotype"/>
          <w:b/>
          <w:color w:val="000000"/>
        </w:rPr>
        <w:t>2244</w:t>
      </w:r>
      <w:r>
        <w:rPr>
          <w:rFonts w:ascii="Palatino Linotype" w:eastAsia="Palatino Linotype" w:hAnsi="Palatino Linotype" w:cs="Palatino Linotype"/>
          <w:b/>
          <w:color w:val="000000"/>
        </w:rPr>
        <w:t>/INFOEM/IP/RR/2025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70FAD" w:rsidRDefault="00E70FAD">
      <w:pPr>
        <w:spacing w:after="0" w:line="360" w:lineRule="auto"/>
        <w:ind w:right="-93"/>
        <w:jc w:val="both"/>
        <w:rPr>
          <w:rFonts w:ascii="Palatino Linotype" w:eastAsia="Palatino Linotype" w:hAnsi="Palatino Linotype" w:cs="Palatino Linotype"/>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preciso señalar que se comparte el sentido de la resolución, </w:t>
      </w:r>
      <w:r w:rsidR="0031074D">
        <w:rPr>
          <w:rFonts w:ascii="Palatino Linotype" w:eastAsia="Palatino Linotype" w:hAnsi="Palatino Linotype" w:cs="Palatino Linotype"/>
        </w:rPr>
        <w:t xml:space="preserve">misma que fue engrosada conforme el criterio mayoritario, </w:t>
      </w:r>
      <w:r>
        <w:rPr>
          <w:rFonts w:ascii="Palatino Linotype" w:eastAsia="Palatino Linotype" w:hAnsi="Palatino Linotype" w:cs="Palatino Linotype"/>
        </w:rPr>
        <w:t>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E70FAD" w:rsidRDefault="006632F8">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E70FAD" w:rsidRDefault="00E70FAD">
      <w:pPr>
        <w:spacing w:after="0" w:line="276" w:lineRule="auto"/>
        <w:ind w:right="706"/>
        <w:jc w:val="both"/>
        <w:rPr>
          <w:rFonts w:ascii="Palatino Linotype" w:eastAsia="Palatino Linotype" w:hAnsi="Palatino Linotype" w:cs="Palatino Linotype"/>
          <w:i/>
        </w:rPr>
      </w:pPr>
    </w:p>
    <w:p w:rsidR="00AB3342" w:rsidRPr="00AB3342" w:rsidRDefault="00A32C84" w:rsidP="00AB3342">
      <w:pPr>
        <w:spacing w:line="276" w:lineRule="auto"/>
        <w:ind w:left="720" w:right="706"/>
        <w:jc w:val="both"/>
        <w:rPr>
          <w:rFonts w:ascii="Palatino Linotype" w:eastAsia="Palatino Linotype" w:hAnsi="Palatino Linotype" w:cs="Palatino Linotype"/>
          <w:bCs/>
          <w:i/>
          <w:lang w:val="es-MX"/>
        </w:rPr>
      </w:pPr>
      <w:bookmarkStart w:id="1" w:name="_heading=h.45hwe8mv0ra7" w:colFirst="0" w:colLast="0"/>
      <w:bookmarkEnd w:id="1"/>
      <w:r>
        <w:rPr>
          <w:rFonts w:ascii="Palatino Linotype" w:eastAsia="Palatino Linotype" w:hAnsi="Palatino Linotype" w:cs="Palatino Linotype"/>
          <w:bCs/>
          <w:i/>
        </w:rPr>
        <w:t>“</w:t>
      </w:r>
      <w:r w:rsidR="00AB3342">
        <w:rPr>
          <w:rFonts w:ascii="Palatino Linotype" w:eastAsia="Palatino Linotype" w:hAnsi="Palatino Linotype" w:cs="Palatino Linotype"/>
          <w:bCs/>
          <w:i/>
        </w:rPr>
        <w:t>-</w:t>
      </w:r>
      <w:r w:rsidR="00AB3342" w:rsidRPr="00AB3342">
        <w:rPr>
          <w:rFonts w:ascii="Palatino Linotype" w:eastAsia="Palatino Linotype" w:hAnsi="Palatino Linotype" w:cs="Palatino Linotype"/>
          <w:b/>
          <w:bCs/>
          <w:i/>
          <w:lang w:val="es-MX"/>
        </w:rPr>
        <w:t>Fotografía de servidores públicos</w:t>
      </w:r>
      <w:r w:rsidR="00AB3342" w:rsidRPr="00AB3342">
        <w:rPr>
          <w:rFonts w:ascii="Palatino Linotype" w:eastAsia="Palatino Linotype" w:hAnsi="Palatino Linotype" w:cs="Palatino Linotype"/>
          <w:bCs/>
          <w:i/>
          <w:lang w:val="es-MX"/>
        </w:rPr>
        <w:t xml:space="preserve">: </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AB3342">
        <w:rPr>
          <w:rFonts w:ascii="Palatino Linotype" w:eastAsia="Palatino Linotype" w:hAnsi="Palatino Linotype" w:cs="Palatino Linotype"/>
          <w:b/>
          <w:bCs/>
          <w:i/>
          <w:lang w:val="es-MX"/>
        </w:rPr>
        <w:t xml:space="preserve">con excepción del personal operativo en materia de </w:t>
      </w:r>
      <w:r w:rsidRPr="00AB3342">
        <w:rPr>
          <w:rFonts w:ascii="Palatino Linotype" w:eastAsia="Palatino Linotype" w:hAnsi="Palatino Linotype" w:cs="Palatino Linotype"/>
          <w:b/>
          <w:bCs/>
          <w:i/>
          <w:lang w:val="es-MX"/>
        </w:rPr>
        <w:lastRenderedPageBreak/>
        <w:t>seguridad, respecto del cual el Pleno de este Instituto ya se ha pronunciado en el sentido de que la información que los haga identificados o identificables debe clasificarse como reservada</w:t>
      </w:r>
      <w:r w:rsidRPr="00AB3342">
        <w:rPr>
          <w:rFonts w:ascii="Palatino Linotype" w:eastAsia="Palatino Linotype" w:hAnsi="Palatino Linotype" w:cs="Palatino Linotype"/>
          <w:bCs/>
          <w:i/>
          <w:lang w:val="es-MX"/>
        </w:rPr>
        <w:t>).</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En este sentido, resultan aplicables por analogía, los Criterios orientadores SO/015/2017 y SO/001/2013 del entonces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AB3342" w:rsidRPr="00AB3342" w:rsidRDefault="00AB3342" w:rsidP="00AB3342">
      <w:pPr>
        <w:spacing w:line="276" w:lineRule="auto"/>
        <w:ind w:left="709" w:right="706" w:hanging="10"/>
        <w:jc w:val="both"/>
        <w:rPr>
          <w:rFonts w:ascii="Palatino Linotype" w:eastAsia="Palatino Linotype" w:hAnsi="Palatino Linotype" w:cs="Palatino Linotype"/>
          <w:bCs/>
          <w:i/>
          <w:lang w:val="es-MX"/>
        </w:rPr>
      </w:pPr>
      <w:r w:rsidRPr="00AB3342">
        <w:rPr>
          <w:rFonts w:ascii="Palatino Linotype" w:eastAsia="Palatino Linotype" w:hAnsi="Palatino Linotype" w:cs="Palatino Linotype"/>
          <w:bCs/>
          <w:i/>
          <w:lang w:val="es-MX"/>
        </w:rPr>
        <w:t xml:space="preserve">De acuerdo con el argumento planteado, la determinación de esta resolución deja sin efectos el criterio adoptado anteriormente por el Pleno de este Instituto, con número </w:t>
      </w:r>
      <w:r w:rsidRPr="00AB3342">
        <w:rPr>
          <w:rFonts w:ascii="Palatino Linotype" w:eastAsia="Palatino Linotype" w:hAnsi="Palatino Linotype" w:cs="Palatino Linotype"/>
          <w:bCs/>
          <w:i/>
          <w:lang w:val="es-MX"/>
        </w:rPr>
        <w:lastRenderedPageBreak/>
        <w:t>03/2019, en el que solo se consideraban como públicas las fotografías de mandos medios y/o superiores.</w:t>
      </w:r>
    </w:p>
    <w:p w:rsidR="00E70FAD" w:rsidRPr="00A32C84" w:rsidRDefault="00AB3342" w:rsidP="00A32C84">
      <w:pPr>
        <w:spacing w:line="276" w:lineRule="auto"/>
        <w:ind w:left="709" w:right="706" w:hanging="10"/>
        <w:jc w:val="both"/>
        <w:rPr>
          <w:rFonts w:ascii="Palatino Linotype" w:eastAsia="Palatino Linotype" w:hAnsi="Palatino Linotype" w:cs="Palatino Linotype"/>
          <w:bCs/>
          <w:i/>
        </w:rPr>
      </w:pPr>
      <w:r w:rsidRPr="00AB3342">
        <w:rPr>
          <w:rFonts w:ascii="Palatino Linotype" w:eastAsia="Palatino Linotype" w:hAnsi="Palatino Linotype" w:cs="Palatino Linotype"/>
          <w:bCs/>
          <w:i/>
          <w:lang w:val="es-MX"/>
        </w:rPr>
        <w:t>Conforme a lo anterior, las fotografías de servidores públicos sin importar el nivel o rango guardan la naturaleza de públicas (</w:t>
      </w:r>
      <w:r w:rsidRPr="00AB3342">
        <w:rPr>
          <w:rFonts w:ascii="Palatino Linotype" w:eastAsia="Palatino Linotype" w:hAnsi="Palatino Linotype" w:cs="Palatino Linotype"/>
          <w:b/>
          <w:bCs/>
          <w:i/>
          <w:lang w:val="es-MX"/>
        </w:rPr>
        <w:t>con excepción del personal operativo en materia de seguridad</w:t>
      </w:r>
      <w:r w:rsidRPr="00AB3342">
        <w:rPr>
          <w:rFonts w:ascii="Palatino Linotype" w:eastAsia="Palatino Linotype" w:hAnsi="Palatino Linotype" w:cs="Palatino Linotype"/>
          <w:bCs/>
          <w:i/>
          <w:lang w:val="es-MX"/>
        </w:rPr>
        <w:t>)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6632F8">
        <w:rPr>
          <w:rFonts w:ascii="Palatino Linotype" w:eastAsia="Palatino Linotype" w:hAnsi="Palatino Linotype" w:cs="Palatino Linotype"/>
          <w:i/>
          <w:color w:val="000000"/>
        </w:rPr>
        <w:t>”</w:t>
      </w:r>
    </w:p>
    <w:p w:rsidR="00E70FAD" w:rsidRDefault="00E70FAD">
      <w:pPr>
        <w:spacing w:after="0" w:line="276" w:lineRule="auto"/>
        <w:ind w:left="567" w:right="706"/>
        <w:jc w:val="both"/>
        <w:rPr>
          <w:rFonts w:ascii="Palatino Linotype" w:eastAsia="Palatino Linotype" w:hAnsi="Palatino Linotype" w:cs="Palatino Linotype"/>
          <w:i/>
        </w:rPr>
      </w:pPr>
    </w:p>
    <w:p w:rsidR="00E70FAD" w:rsidRDefault="006632F8">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lastRenderedPageBreak/>
        <w:t>posición de poder que deba estar sujeta al escrutinio y rendición de cuentas ante la sociedad, la administración de recursos públicos, la implementación de políticas públicas, la prestación de servicios públicos, entre otras.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E70FAD" w:rsidRDefault="00E70FAD">
      <w:pPr>
        <w:spacing w:after="0" w:line="360" w:lineRule="auto"/>
        <w:ind w:right="140"/>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E70FAD" w:rsidRDefault="00E70FAD">
      <w:pPr>
        <w:tabs>
          <w:tab w:val="left" w:pos="4962"/>
        </w:tabs>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E70FAD" w:rsidRDefault="00E70FAD">
      <w:pPr>
        <w:spacing w:after="0" w:line="360" w:lineRule="auto"/>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E70FAD">
      <w:pPr>
        <w:spacing w:after="0" w:line="360" w:lineRule="auto"/>
        <w:jc w:val="both"/>
        <w:rPr>
          <w:rFonts w:ascii="Palatino Linotype" w:eastAsia="Palatino Linotype" w:hAnsi="Palatino Linotype" w:cs="Palatino Linotype"/>
        </w:rPr>
      </w:pPr>
    </w:p>
    <w:p w:rsidR="00E70FAD" w:rsidRDefault="00E70FAD">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E70FAD" w:rsidRDefault="00E70FAD">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spacing w:after="0" w:line="360" w:lineRule="auto"/>
        <w:ind w:right="423"/>
        <w:jc w:val="both"/>
        <w:rPr>
          <w:rFonts w:ascii="Palatino Linotype" w:eastAsia="Palatino Linotype" w:hAnsi="Palatino Linotype" w:cs="Palatino Linotype"/>
        </w:rPr>
      </w:pPr>
    </w:p>
    <w:p w:rsidR="00E70FAD" w:rsidRDefault="00E70FAD">
      <w:pPr>
        <w:tabs>
          <w:tab w:val="left" w:pos="709"/>
        </w:tabs>
        <w:spacing w:after="0" w:line="360" w:lineRule="auto"/>
        <w:jc w:val="both"/>
        <w:rPr>
          <w:rFonts w:ascii="Palatino Linotype" w:eastAsia="Palatino Linotype" w:hAnsi="Palatino Linotype" w:cs="Palatino Linotype"/>
          <w:b/>
        </w:rPr>
      </w:pPr>
      <w:bookmarkStart w:id="6" w:name="_heading=h.1l00a1h6wr2b" w:colFirst="0" w:colLast="0"/>
      <w:bookmarkStart w:id="7" w:name="_GoBack"/>
      <w:bookmarkEnd w:id="6"/>
      <w:bookmarkEnd w:id="7"/>
    </w:p>
    <w:sectPr w:rsidR="00E70FAD">
      <w:headerReference w:type="default" r:id="rId8"/>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8D" w:rsidRDefault="00BF708D">
      <w:pPr>
        <w:spacing w:after="0" w:line="240" w:lineRule="auto"/>
      </w:pPr>
      <w:r>
        <w:separator/>
      </w:r>
    </w:p>
  </w:endnote>
  <w:endnote w:type="continuationSeparator" w:id="0">
    <w:p w:rsidR="00BF708D" w:rsidRDefault="00BF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8D" w:rsidRDefault="00BF708D">
      <w:pPr>
        <w:spacing w:after="0" w:line="240" w:lineRule="auto"/>
      </w:pPr>
      <w:r>
        <w:separator/>
      </w:r>
    </w:p>
  </w:footnote>
  <w:footnote w:type="continuationSeparator" w:id="0">
    <w:p w:rsidR="00BF708D" w:rsidRDefault="00BF7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AD" w:rsidRDefault="006632F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-1260471</wp:posOffset>
          </wp:positionH>
          <wp:positionV relativeFrom="paragraph">
            <wp:posOffset>-235580</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31074D">
      <w:rPr>
        <w:rFonts w:ascii="Palatino Linotype" w:eastAsia="Palatino Linotype" w:hAnsi="Palatino Linotype" w:cs="Palatino Linotype"/>
        <w:b/>
        <w:color w:val="000000"/>
        <w:sz w:val="20"/>
        <w:szCs w:val="20"/>
      </w:rPr>
      <w:t>2244</w:t>
    </w:r>
    <w:r>
      <w:rPr>
        <w:rFonts w:ascii="Palatino Linotype" w:eastAsia="Palatino Linotype" w:hAnsi="Palatino Linotype" w:cs="Palatino Linotype"/>
        <w:b/>
        <w:color w:val="000000"/>
        <w:sz w:val="20"/>
        <w:szCs w:val="20"/>
      </w:rPr>
      <w:t>/INFOEM/IP/RR/2025</w:t>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r w:rsidR="0031074D">
      <w:rPr>
        <w:rFonts w:ascii="Palatino Linotype" w:eastAsia="Palatino Linotype" w:hAnsi="Palatino Linotype" w:cs="Palatino Linotype"/>
        <w:b/>
        <w:color w:val="000000"/>
        <w:sz w:val="20"/>
        <w:szCs w:val="20"/>
      </w:rPr>
      <w:t>Ixtapaluca</w:t>
    </w:r>
  </w:p>
  <w:p w:rsidR="00E70FAD" w:rsidRDefault="006632F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w:t>
    </w:r>
    <w:r w:rsidR="0031074D">
      <w:rPr>
        <w:rFonts w:ascii="Palatino Linotype" w:eastAsia="Palatino Linotype" w:hAnsi="Palatino Linotype" w:cs="Palatino Linotype"/>
        <w:b/>
        <w:color w:val="000000"/>
        <w:sz w:val="20"/>
        <w:szCs w:val="20"/>
      </w:rPr>
      <w:t>a</w:t>
    </w:r>
    <w:r>
      <w:rPr>
        <w:rFonts w:ascii="Palatino Linotype" w:eastAsia="Palatino Linotype" w:hAnsi="Palatino Linotype" w:cs="Palatino Linotype"/>
        <w:b/>
        <w:color w:val="000000"/>
        <w:sz w:val="20"/>
        <w:szCs w:val="20"/>
      </w:rPr>
      <w:t xml:space="preserve"> Ponente: </w:t>
    </w:r>
    <w:r w:rsidR="0031074D">
      <w:rPr>
        <w:rFonts w:ascii="Palatino Linotype" w:eastAsia="Palatino Linotype" w:hAnsi="Palatino Linotype" w:cs="Palatino Linotype"/>
        <w:b/>
        <w:color w:val="000000"/>
        <w:sz w:val="20"/>
        <w:szCs w:val="20"/>
      </w:rPr>
      <w:t>Guadalupe Ramírez Peña</w:t>
    </w: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90FFE"/>
    <w:multiLevelType w:val="multilevel"/>
    <w:tmpl w:val="625E093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AD"/>
    <w:rsid w:val="0031074D"/>
    <w:rsid w:val="004B3C55"/>
    <w:rsid w:val="005049CB"/>
    <w:rsid w:val="006632F8"/>
    <w:rsid w:val="0094298C"/>
    <w:rsid w:val="00A32C84"/>
    <w:rsid w:val="00AB3342"/>
    <w:rsid w:val="00B0221E"/>
    <w:rsid w:val="00BF708D"/>
    <w:rsid w:val="00E35C86"/>
    <w:rsid w:val="00E70FAD"/>
    <w:rsid w:val="00EF5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EB323-DFEF-4100-98DA-261A3C6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6V9NaL/OknRWcxaA3lVHk619yQ==">CgMxLjAyCGguZ2pkZ3hzMg5oLjQ1aHdlOG12MHJhNzIOaC5zZXpuazB2M2t3ZHAyDmgueGV6cjBva2Q1N3RuMgloLjJldDkycDAyCWguMzBqMHpsbDIOaC4xbDAwYTFoNndyMmI4AHIhMU1LYkdBVmU2bzd6QmJOSVVEeVdoVHFhelBWeWwyT0ot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9007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2025-06-09T16:36:00Z</dcterms:created>
  <dcterms:modified xsi:type="dcterms:W3CDTF">2025-06-09T16:36:00Z</dcterms:modified>
</cp:coreProperties>
</file>