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F" w:rsidRDefault="0066533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F72F47">
        <w:rPr>
          <w:rFonts w:ascii="Palatino Linotype" w:eastAsia="Palatino Linotype" w:hAnsi="Palatino Linotype" w:cs="Palatino Linotype"/>
          <w:b/>
        </w:rPr>
        <w:t xml:space="preserve">DÉCIMA </w:t>
      </w:r>
      <w:r w:rsidR="00314402">
        <w:rPr>
          <w:rFonts w:ascii="Palatino Linotype" w:eastAsia="Palatino Linotype" w:hAnsi="Palatino Linotype" w:cs="Palatino Linotype"/>
          <w:b/>
        </w:rPr>
        <w:t>QUINTA</w:t>
      </w:r>
      <w:r w:rsidR="00F72F47">
        <w:rPr>
          <w:rFonts w:ascii="Palatino Linotype" w:eastAsia="Palatino Linotype" w:hAnsi="Palatino Linotype" w:cs="Palatino Linotype"/>
          <w:b/>
        </w:rPr>
        <w:t xml:space="preserve"> SESIÓN ORDINARIA DEL </w:t>
      </w:r>
      <w:r w:rsidR="00314402">
        <w:rPr>
          <w:rFonts w:ascii="Palatino Linotype" w:eastAsia="Palatino Linotype" w:hAnsi="Palatino Linotype" w:cs="Palatino Linotype"/>
          <w:b/>
        </w:rPr>
        <w:t>TREINTA</w:t>
      </w:r>
      <w:r w:rsidR="007176C3">
        <w:rPr>
          <w:rFonts w:ascii="Palatino Linotype" w:eastAsia="Palatino Linotype" w:hAnsi="Palatino Linotype" w:cs="Palatino Linotype"/>
          <w:b/>
        </w:rPr>
        <w:t xml:space="preserve"> DE ABRIL</w:t>
      </w:r>
      <w:r>
        <w:rPr>
          <w:rFonts w:ascii="Palatino Linotype" w:eastAsia="Palatino Linotype" w:hAnsi="Palatino Linotype" w:cs="Palatino Linotype"/>
          <w:b/>
        </w:rPr>
        <w:t xml:space="preserve"> DE DOS MIL VEINTICINCO, EN EL RECURSO DE REVISIÓN </w:t>
      </w:r>
      <w:r w:rsidR="00314402" w:rsidRPr="00314402">
        <w:rPr>
          <w:rFonts w:ascii="Palatino Linotype" w:eastAsia="Palatino Linotype" w:hAnsi="Palatino Linotype" w:cs="Palatino Linotype"/>
          <w:b/>
        </w:rPr>
        <w:t>00720/INFOEM/IP/RR/2025</w:t>
      </w:r>
      <w:r>
        <w:rPr>
          <w:rFonts w:ascii="Palatino Linotype" w:eastAsia="Palatino Linotype" w:hAnsi="Palatino Linotype" w:cs="Palatino Linotype"/>
          <w:b/>
        </w:rPr>
        <w:t xml:space="preserve">. </w:t>
      </w:r>
    </w:p>
    <w:p w:rsidR="00600D3F" w:rsidRDefault="00665336">
      <w:pPr>
        <w:spacing w:after="80" w:line="360" w:lineRule="auto"/>
        <w:ind w:left="-567" w:right="-93"/>
        <w:jc w:val="both"/>
        <w:rPr>
          <w:rFonts w:ascii="Palatino Linotype" w:eastAsia="Palatino Linotype" w:hAnsi="Palatino Linotype" w:cs="Palatino Linotype"/>
        </w:rPr>
      </w:pPr>
      <w:bookmarkStart w:id="2" w:name="_heading=h.tyjcwt"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314402" w:rsidRPr="00314402">
        <w:rPr>
          <w:rFonts w:ascii="Palatino Linotype" w:eastAsia="Palatino Linotype" w:hAnsi="Palatino Linotype" w:cs="Palatino Linotype"/>
          <w:b/>
        </w:rPr>
        <w:t>00720/INFOEM/IP/RR/2025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600D3F" w:rsidRDefault="00665336">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600D3F" w:rsidRDefault="0066533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600D3F" w:rsidRDefault="0066533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lastRenderedPageBreak/>
        <w:t>En efecto, al respecto en la resolución se consideró lo siguiente</w:t>
      </w:r>
      <w:r>
        <w:rPr>
          <w:rFonts w:ascii="Palatino Linotype" w:eastAsia="Palatino Linotype" w:hAnsi="Palatino Linotype" w:cs="Palatino Linotype"/>
          <w:i/>
        </w:rPr>
        <w:t>:</w:t>
      </w:r>
    </w:p>
    <w:p w:rsidR="00DD4F63" w:rsidRPr="00DD4F63" w:rsidRDefault="00665336" w:rsidP="00DD4F63">
      <w:pPr>
        <w:spacing w:line="276" w:lineRule="auto"/>
        <w:ind w:left="567" w:right="1417"/>
        <w:jc w:val="both"/>
        <w:rPr>
          <w:rFonts w:ascii="Palatino Linotype" w:eastAsia="Palatino Linotype" w:hAnsi="Palatino Linotype" w:cs="Palatino Linotype"/>
          <w:i/>
        </w:rPr>
      </w:pPr>
      <w:bookmarkStart w:id="4" w:name="_heading=h.1fob9te" w:colFirst="0" w:colLast="0"/>
      <w:bookmarkEnd w:id="4"/>
      <w:r>
        <w:rPr>
          <w:rFonts w:ascii="Palatino Linotype" w:eastAsia="Palatino Linotype" w:hAnsi="Palatino Linotype" w:cs="Palatino Linotype"/>
          <w:i/>
        </w:rPr>
        <w:t>“…</w:t>
      </w:r>
      <w:r w:rsidR="00DD4F63" w:rsidRPr="00DD4F63">
        <w:rPr>
          <w:rFonts w:ascii="Palatino Linotype" w:eastAsia="Palatino Linotype" w:hAnsi="Palatino Linotype" w:cs="Palatino Linotype"/>
          <w:i/>
        </w:rPr>
        <w:t xml:space="preserve"> </w:t>
      </w:r>
    </w:p>
    <w:p w:rsidR="00314402" w:rsidRPr="00314402" w:rsidRDefault="00314402" w:rsidP="00314402">
      <w:pPr>
        <w:spacing w:line="276" w:lineRule="auto"/>
        <w:ind w:left="567" w:right="1417"/>
        <w:jc w:val="both"/>
        <w:rPr>
          <w:rFonts w:ascii="Palatino Linotype" w:eastAsia="Palatino Linotype" w:hAnsi="Palatino Linotype" w:cs="Palatino Linotype"/>
          <w:i/>
        </w:rPr>
      </w:pPr>
      <w:r w:rsidRPr="00314402">
        <w:rPr>
          <w:rFonts w:ascii="Palatino Linotype" w:eastAsia="Palatino Linotype" w:hAnsi="Palatino Linotype" w:cs="Palatino Linotype"/>
          <w:i/>
        </w:rPr>
        <w:t>Por lo que hace a la fotografía de los servidores públicos,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w:t>
      </w:r>
      <w:r>
        <w:rPr>
          <w:rFonts w:ascii="Palatino Linotype" w:eastAsia="Palatino Linotype" w:hAnsi="Palatino Linotype" w:cs="Palatino Linotype"/>
          <w:i/>
        </w:rPr>
        <w:t xml:space="preserve"> personal que su clasificación.</w:t>
      </w:r>
    </w:p>
    <w:p w:rsidR="00314402" w:rsidRPr="00314402" w:rsidRDefault="00314402" w:rsidP="00314402">
      <w:pPr>
        <w:spacing w:line="276" w:lineRule="auto"/>
        <w:ind w:left="567" w:right="1417"/>
        <w:jc w:val="both"/>
        <w:rPr>
          <w:rFonts w:ascii="Palatino Linotype" w:eastAsia="Palatino Linotype" w:hAnsi="Palatino Linotype" w:cs="Palatino Linotype"/>
          <w:i/>
        </w:rPr>
      </w:pPr>
      <w:r w:rsidRPr="00314402">
        <w:rPr>
          <w:rFonts w:ascii="Palatino Linotype" w:eastAsia="Palatino Linotype" w:hAnsi="Palatino Linotype" w:cs="Palatino Linotype"/>
          <w:i/>
        </w:rPr>
        <w:t>Conforme a lo anterior, resulta necesario señalar que el Pleno de este Instituto emitió el criterio 03/2019 cuyo rubro dispone lo siguiente: “Servidores públicos con categoría de mando medio y superior. La fotografía de aquellos es de carácter público”; no obstante, dicho criterio fue interrumpido en términos del artículo 9, fracción XXVII del Reglamento Interior del Instituto de Transparencia, Acceso a la Información Pública y Protección de Datos Personales del</w:t>
      </w:r>
      <w:r>
        <w:rPr>
          <w:rFonts w:ascii="Palatino Linotype" w:eastAsia="Palatino Linotype" w:hAnsi="Palatino Linotype" w:cs="Palatino Linotype"/>
          <w:i/>
        </w:rPr>
        <w:t xml:space="preserve"> Estado de México y Municipios.</w:t>
      </w:r>
    </w:p>
    <w:p w:rsidR="00600D3F" w:rsidRDefault="00314402" w:rsidP="00314402">
      <w:pPr>
        <w:spacing w:line="276" w:lineRule="auto"/>
        <w:ind w:left="567" w:right="1417"/>
        <w:jc w:val="both"/>
        <w:rPr>
          <w:rFonts w:ascii="Palatino Linotype" w:eastAsia="Palatino Linotype" w:hAnsi="Palatino Linotype" w:cs="Palatino Linotype"/>
          <w:b/>
          <w:i/>
          <w:u w:val="single"/>
        </w:rPr>
      </w:pPr>
      <w:r w:rsidRPr="00314402">
        <w:rPr>
          <w:rFonts w:ascii="Palatino Linotype" w:eastAsia="Palatino Linotype" w:hAnsi="Palatino Linotype" w:cs="Palatino Linotype"/>
          <w:b/>
          <w:i/>
          <w:u w:val="single"/>
        </w:rPr>
        <w:t>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w:t>
      </w:r>
      <w:r w:rsidR="00F72F47">
        <w:rPr>
          <w:rFonts w:ascii="Palatino Linotype" w:eastAsia="Palatino Linotype" w:hAnsi="Palatino Linotype" w:cs="Palatino Linotype"/>
          <w:i/>
        </w:rPr>
        <w:t>…</w:t>
      </w:r>
      <w:r w:rsidR="00665336">
        <w:rPr>
          <w:rFonts w:ascii="Palatino Linotype" w:eastAsia="Palatino Linotype" w:hAnsi="Palatino Linotype" w:cs="Palatino Linotype"/>
          <w:i/>
          <w:color w:val="000000"/>
        </w:rPr>
        <w:t>” (Énfasis añadido)</w:t>
      </w:r>
    </w:p>
    <w:p w:rsidR="00600D3F" w:rsidRDefault="00600D3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600D3F" w:rsidRDefault="00665336">
      <w:pPr>
        <w:spacing w:after="0" w:line="360" w:lineRule="auto"/>
        <w:ind w:left="-426"/>
        <w:jc w:val="both"/>
        <w:rPr>
          <w:rFonts w:ascii="Palatino Linotype" w:eastAsia="Palatino Linotype" w:hAnsi="Palatino Linotype" w:cs="Palatino Linotype"/>
        </w:rPr>
      </w:pPr>
      <w:bookmarkStart w:id="5" w:name="_heading=h.seznk0v3kwdp" w:colFirst="0" w:colLast="0"/>
      <w:bookmarkEnd w:id="5"/>
      <w:r>
        <w:rPr>
          <w:rFonts w:ascii="Palatino Linotype" w:eastAsia="Palatino Linotype" w:hAnsi="Palatino Linotype" w:cs="Palatino Linotype"/>
        </w:rPr>
        <w:t xml:space="preserve">Como se puede advertir, en el criterio de la mayoría no se distingue </w:t>
      </w:r>
      <w:r w:rsidR="00983B10">
        <w:rPr>
          <w:rFonts w:ascii="Palatino Linotype" w:eastAsia="Palatino Linotype" w:hAnsi="Palatino Linotype" w:cs="Palatino Linotype"/>
        </w:rPr>
        <w:t xml:space="preserve">el nivel o cargo que ostente el </w:t>
      </w:r>
      <w:r>
        <w:rPr>
          <w:rFonts w:ascii="Palatino Linotype" w:eastAsia="Palatino Linotype" w:hAnsi="Palatino Linotype" w:cs="Palatino Linotype"/>
        </w:rPr>
        <w:t xml:space="preserve">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w:t>
      </w:r>
      <w:proofErr w:type="gramStart"/>
      <w:r>
        <w:rPr>
          <w:rFonts w:ascii="Palatino Linotype" w:eastAsia="Palatino Linotype" w:hAnsi="Palatino Linotype" w:cs="Palatino Linotype"/>
        </w:rPr>
        <w:t>factor</w:t>
      </w:r>
      <w:proofErr w:type="gramEnd"/>
      <w:r>
        <w:rPr>
          <w:rFonts w:ascii="Palatino Linotype" w:eastAsia="Palatino Linotype" w:hAnsi="Palatino Linotype" w:cs="Palatino Linotype"/>
        </w:rPr>
        <w:t xml:space="preserve"> imprescindible para su propio reconocimiento como sujeto individual; por tanto, es un dato personal confidencial que debe protegerse en los documentos que lo contengan, según lo dispuesto </w:t>
      </w:r>
      <w:r>
        <w:rPr>
          <w:rFonts w:ascii="Palatino Linotype" w:eastAsia="Palatino Linotype" w:hAnsi="Palatino Linotype" w:cs="Palatino Linotype"/>
        </w:rPr>
        <w:lastRenderedPageBreak/>
        <w:t>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600D3F" w:rsidRDefault="0066533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600D3F" w:rsidRDefault="0066533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600D3F" w:rsidRDefault="00665336">
      <w:pPr>
        <w:tabs>
          <w:tab w:val="left" w:pos="4962"/>
        </w:tabs>
        <w:spacing w:before="240" w:after="240" w:line="360" w:lineRule="auto"/>
        <w:ind w:left="-426"/>
        <w:jc w:val="both"/>
        <w:rPr>
          <w:rFonts w:ascii="Palatino Linotype" w:eastAsia="Palatino Linotype" w:hAnsi="Palatino Linotype" w:cs="Palatino Linotype"/>
        </w:rPr>
      </w:pPr>
      <w:bookmarkStart w:id="6" w:name="_heading=h.xezr0okd57tn" w:colFirst="0" w:colLast="0"/>
      <w:bookmarkEnd w:id="6"/>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lastRenderedPageBreak/>
        <w:t>Dado que el acceso a los documentos que contengan el dato materia de análisis, aun clasificándose, sí daría cuenta de lo que en realidad se pretende transparentar, cómo es, por ejemplo,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600D3F" w:rsidRDefault="00600D3F">
      <w:pPr>
        <w:spacing w:after="0" w:line="360" w:lineRule="auto"/>
        <w:ind w:left="-426"/>
        <w:jc w:val="both"/>
        <w:rPr>
          <w:rFonts w:ascii="Palatino Linotype" w:eastAsia="Palatino Linotype" w:hAnsi="Palatino Linotype" w:cs="Palatino Linotype"/>
        </w:rPr>
      </w:pPr>
    </w:p>
    <w:p w:rsidR="00600D3F" w:rsidRDefault="00665336">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600D3F" w:rsidRDefault="00600D3F">
      <w:pPr>
        <w:spacing w:after="0" w:line="360" w:lineRule="auto"/>
        <w:ind w:left="-426"/>
        <w:jc w:val="both"/>
        <w:rPr>
          <w:rFonts w:ascii="Palatino Linotype" w:eastAsia="Palatino Linotype" w:hAnsi="Palatino Linotype" w:cs="Palatino Linotype"/>
        </w:rPr>
      </w:pPr>
      <w:bookmarkStart w:id="7" w:name="_heading=h.3dy6vkm" w:colFirst="0" w:colLast="0"/>
      <w:bookmarkEnd w:id="7"/>
    </w:p>
    <w:p w:rsidR="00600D3F" w:rsidRDefault="00665336">
      <w:pPr>
        <w:spacing w:after="0" w:line="360" w:lineRule="auto"/>
        <w:ind w:left="-426"/>
        <w:jc w:val="both"/>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9" w:name="_heading=h.2et92p0" w:colFirst="0" w:colLast="0"/>
      <w:bookmarkEnd w:id="9"/>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600D3F" w:rsidRDefault="00600D3F">
      <w:pPr>
        <w:spacing w:after="0" w:line="360" w:lineRule="auto"/>
        <w:ind w:right="423"/>
        <w:jc w:val="both"/>
        <w:rPr>
          <w:rFonts w:ascii="Palatino Linotype" w:eastAsia="Palatino Linotype" w:hAnsi="Palatino Linotype" w:cs="Palatino Linotype"/>
          <w:sz w:val="24"/>
          <w:szCs w:val="24"/>
        </w:rPr>
      </w:pPr>
    </w:p>
    <w:sectPr w:rsidR="00600D3F">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D3" w:rsidRDefault="00665336">
      <w:pPr>
        <w:spacing w:after="0" w:line="240" w:lineRule="auto"/>
      </w:pPr>
      <w:r>
        <w:separator/>
      </w:r>
    </w:p>
  </w:endnote>
  <w:endnote w:type="continuationSeparator" w:id="0">
    <w:p w:rsidR="006728D3" w:rsidRDefault="006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31A57">
      <w:rPr>
        <w:rFonts w:ascii="Arial" w:eastAsia="Arial" w:hAnsi="Arial" w:cs="Arial"/>
        <w:b/>
        <w:noProof/>
        <w:color w:val="000000"/>
        <w:sz w:val="20"/>
        <w:szCs w:val="20"/>
      </w:rPr>
      <w:t>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31A57">
      <w:rPr>
        <w:rFonts w:ascii="Arial" w:eastAsia="Arial" w:hAnsi="Arial" w:cs="Arial"/>
        <w:b/>
        <w:noProof/>
        <w:color w:val="000000"/>
        <w:sz w:val="20"/>
        <w:szCs w:val="20"/>
      </w:rPr>
      <w:t>5</w:t>
    </w:r>
    <w:r>
      <w:rPr>
        <w:rFonts w:ascii="Arial" w:eastAsia="Arial" w:hAnsi="Arial" w:cs="Arial"/>
        <w:b/>
        <w:color w:val="000000"/>
        <w:sz w:val="20"/>
        <w:szCs w:val="20"/>
      </w:rPr>
      <w:fldChar w:fldCharType="end"/>
    </w:r>
  </w:p>
  <w:p w:rsidR="00600D3F" w:rsidRDefault="00600D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D3" w:rsidRDefault="00665336">
      <w:pPr>
        <w:spacing w:after="0" w:line="240" w:lineRule="auto"/>
      </w:pPr>
      <w:r>
        <w:separator/>
      </w:r>
    </w:p>
  </w:footnote>
  <w:footnote w:type="continuationSeparator" w:id="0">
    <w:p w:rsidR="006728D3" w:rsidRDefault="00665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3F" w:rsidRDefault="0066533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-1171561</wp:posOffset>
          </wp:positionH>
          <wp:positionV relativeFrom="paragraph">
            <wp:posOffset>-486393</wp:posOffset>
          </wp:positionV>
          <wp:extent cx="7510628"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600D3F" w:rsidRDefault="0066533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00D3F"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314402" w:rsidRPr="00314402">
      <w:rPr>
        <w:rFonts w:ascii="Palatino Linotype" w:eastAsia="Palatino Linotype" w:hAnsi="Palatino Linotype" w:cs="Palatino Linotype"/>
        <w:b/>
        <w:color w:val="000000"/>
        <w:sz w:val="20"/>
        <w:szCs w:val="20"/>
      </w:rPr>
      <w:t>00720/INFOEM/IP/RR/2025</w:t>
    </w:r>
  </w:p>
  <w:p w:rsidR="00F72F47" w:rsidRDefault="0066533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314402" w:rsidRPr="00314402">
      <w:rPr>
        <w:rFonts w:ascii="Palatino Linotype" w:eastAsia="Palatino Linotype" w:hAnsi="Palatino Linotype" w:cs="Palatino Linotype"/>
        <w:b/>
        <w:color w:val="000000"/>
        <w:sz w:val="20"/>
        <w:szCs w:val="20"/>
      </w:rPr>
      <w:t xml:space="preserve">Universidad Autónoma del Estado de México  </w:t>
    </w:r>
  </w:p>
  <w:p w:rsidR="00600D3F" w:rsidRDefault="00314402">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Comisionado</w:t>
    </w:r>
    <w:r w:rsidR="00665336">
      <w:rPr>
        <w:rFonts w:ascii="Palatino Linotype" w:eastAsia="Palatino Linotype" w:hAnsi="Palatino Linotype" w:cs="Palatino Linotype"/>
        <w:b/>
        <w:color w:val="000000"/>
        <w:sz w:val="20"/>
        <w:szCs w:val="20"/>
      </w:rPr>
      <w:t xml:space="preserve"> Ponente: </w:t>
    </w:r>
    <w:r w:rsidRPr="00314402">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F"/>
    <w:rsid w:val="00086534"/>
    <w:rsid w:val="000F351F"/>
    <w:rsid w:val="00205C30"/>
    <w:rsid w:val="00314402"/>
    <w:rsid w:val="00600D3F"/>
    <w:rsid w:val="00665336"/>
    <w:rsid w:val="006728D3"/>
    <w:rsid w:val="007176C3"/>
    <w:rsid w:val="007268FD"/>
    <w:rsid w:val="00731A57"/>
    <w:rsid w:val="00832C0D"/>
    <w:rsid w:val="00983B10"/>
    <w:rsid w:val="00983C34"/>
    <w:rsid w:val="009B6988"/>
    <w:rsid w:val="00B43A4F"/>
    <w:rsid w:val="00D446E0"/>
    <w:rsid w:val="00DD4F63"/>
    <w:rsid w:val="00EB1C34"/>
    <w:rsid w:val="00F72F47"/>
    <w:rsid w:val="00F77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875DA-D0D1-4E2F-93BE-08C2770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aDEjUatGLfWNKaQnGr9qO8Zw==">CgMxLjAyCGguZ2pkZ3hzMghoLnR5amN3dDIJaC4zMGowemxsMgloLjFmb2I5dGUyCWguMXQzaDVzZjIOaC5zZXpuazB2M2t3ZHAyDmgueGV6cjBva2Q1N3RuMgloLjNkeTZ2a20yCWguM3pueXNoNzIJaC4yZXQ5MnAwOAByITFfc1ZBVTk3di04Z3hoc01aT3hWamRxVFpqV1FsWnljNg==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2025-05-06T15:51:00Z</cp:lastPrinted>
  <dcterms:created xsi:type="dcterms:W3CDTF">2025-05-06T15:51:00Z</dcterms:created>
  <dcterms:modified xsi:type="dcterms:W3CDTF">2025-05-06T15:52:00Z</dcterms:modified>
</cp:coreProperties>
</file>