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D6F6" w14:textId="63CC1E13" w:rsidR="00342FF8" w:rsidRDefault="0041405C"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910095" w:rsidRPr="00910095">
        <w:rPr>
          <w:rFonts w:ascii="Palatino Linotype" w:eastAsia="Palatino Linotype" w:hAnsi="Palatino Linotype" w:cs="Palatino Linotype"/>
          <w:b/>
        </w:rPr>
        <w:t>01555/INFOEM/IP/RR/2025</w:t>
      </w:r>
      <w:r w:rsidRPr="00274A5F">
        <w:rPr>
          <w:rFonts w:ascii="Palatino Linotype" w:hAnsi="Palatino Linotype"/>
          <w:b/>
          <w:lang w:val="es-MX"/>
        </w:rPr>
        <w:t>,</w:t>
      </w:r>
      <w:r w:rsidRPr="00274A5F">
        <w:rPr>
          <w:rFonts w:ascii="Palatino Linotype" w:hAnsi="Palatino Linotype" w:cs="Tahoma"/>
          <w:b/>
        </w:rPr>
        <w:t xml:space="preserve"> PROMOVIDO EN CONTRA DEL </w:t>
      </w:r>
      <w:r w:rsidR="00910095" w:rsidRPr="00910095">
        <w:rPr>
          <w:rFonts w:ascii="Palatino Linotype" w:hAnsi="Palatino Linotype" w:cs="Tahoma"/>
          <w:b/>
        </w:rPr>
        <w:t>AYUNTAMIENTO DE TOLUCA</w:t>
      </w:r>
    </w:p>
    <w:p w14:paraId="28AAB584" w14:textId="77777777" w:rsidR="00910095" w:rsidRPr="00274A5F" w:rsidRDefault="00910095" w:rsidP="0041405C">
      <w:pPr>
        <w:tabs>
          <w:tab w:val="left" w:pos="1843"/>
        </w:tabs>
        <w:spacing w:after="0" w:line="360" w:lineRule="auto"/>
        <w:jc w:val="both"/>
        <w:rPr>
          <w:rFonts w:ascii="Palatino Linotype" w:hAnsi="Palatino Linotype" w:cs="Arial"/>
          <w:b/>
          <w:sz w:val="24"/>
          <w:szCs w:val="24"/>
        </w:rPr>
      </w:pPr>
    </w:p>
    <w:p w14:paraId="3F2A5958" w14:textId="1493D598"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910095" w:rsidRPr="00910095">
        <w:rPr>
          <w:rFonts w:ascii="Palatino Linotype" w:eastAsia="Palatino Linotype" w:hAnsi="Palatino Linotype" w:cs="Palatino Linotype"/>
          <w:b/>
        </w:rPr>
        <w:t>01555/INFOEM/IP/RR/2025</w:t>
      </w:r>
      <w:r w:rsidRPr="00274A5F">
        <w:rPr>
          <w:rFonts w:ascii="Palatino Linotype" w:hAnsi="Palatino Linotype"/>
          <w:b/>
          <w:lang w:val="es-MX"/>
        </w:rPr>
        <w:t>.</w:t>
      </w:r>
      <w:r w:rsidR="00FF5F5F">
        <w:rPr>
          <w:rFonts w:ascii="Palatino Linotype" w:hAnsi="Palatino Linotype"/>
          <w:b/>
          <w:lang w:val="es-MX"/>
        </w:rPr>
        <w:t xml:space="preserve"> </w:t>
      </w:r>
    </w:p>
    <w:p w14:paraId="3D998A3A"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410323DE" w14:textId="78972E64" w:rsidR="00342FF8" w:rsidRPr="009B315E" w:rsidRDefault="00342FF8" w:rsidP="009B315E">
      <w:pPr>
        <w:spacing w:line="360" w:lineRule="auto"/>
        <w:ind w:left="-45" w:right="176"/>
        <w:jc w:val="both"/>
        <w:rPr>
          <w:rFonts w:ascii="Palatino Linotype" w:eastAsia="Palatino Linotype" w:hAnsi="Palatino Linotype" w:cs="Palatino Linotype"/>
          <w:b/>
        </w:rPr>
      </w:pPr>
      <w:r w:rsidRPr="000C73AC">
        <w:rPr>
          <w:rFonts w:ascii="Palatino Linotype" w:hAnsi="Palatino Linotype" w:cs="Tahoma"/>
        </w:rPr>
        <w:t xml:space="preserve">Como se desprende de la Resolución en comento, </w:t>
      </w:r>
      <w:r w:rsidRPr="009B315E">
        <w:rPr>
          <w:rFonts w:ascii="Palatino Linotype" w:hAnsi="Palatino Linotype" w:cs="Tahoma"/>
          <w:bCs/>
        </w:rPr>
        <w:t>el Particular</w:t>
      </w:r>
      <w:r w:rsidRPr="001349E4">
        <w:rPr>
          <w:rFonts w:ascii="Palatino Linotype" w:hAnsi="Palatino Linotype" w:cs="Tahoma"/>
          <w:b/>
          <w:bCs/>
        </w:rPr>
        <w:t xml:space="preserve"> solicitó</w:t>
      </w:r>
      <w:r w:rsidR="00374FF0">
        <w:rPr>
          <w:rFonts w:ascii="Palatino Linotype" w:hAnsi="Palatino Linotype" w:cs="Tahoma"/>
          <w:b/>
          <w:bCs/>
        </w:rPr>
        <w:t xml:space="preserve"> </w:t>
      </w:r>
      <w:r w:rsidR="00E80E9B">
        <w:rPr>
          <w:rFonts w:ascii="Palatino Linotype" w:hAnsi="Palatino Linotype" w:cs="Tahoma"/>
          <w:b/>
          <w:bCs/>
        </w:rPr>
        <w:t>entre otras cosas,</w:t>
      </w:r>
      <w:r w:rsidR="00E80E9B" w:rsidRPr="001349E4">
        <w:rPr>
          <w:rFonts w:ascii="Palatino Linotype" w:hAnsi="Palatino Linotype" w:cs="Tahoma"/>
          <w:b/>
          <w:bCs/>
          <w:lang w:val="es-ES_tradnl"/>
        </w:rPr>
        <w:t xml:space="preserve"> </w:t>
      </w:r>
      <w:r w:rsidR="00C11678">
        <w:rPr>
          <w:rFonts w:ascii="Palatino Linotype" w:hAnsi="Palatino Linotype" w:cs="Tahoma"/>
          <w:b/>
          <w:bCs/>
          <w:lang w:val="es-ES_tradnl"/>
        </w:rPr>
        <w:t xml:space="preserve">los programas o asuntos tratados en la mesa de </w:t>
      </w:r>
      <w:r w:rsidR="00FF5F5F">
        <w:rPr>
          <w:rFonts w:ascii="Palatino Linotype" w:hAnsi="Palatino Linotype" w:cs="Tahoma"/>
          <w:b/>
          <w:bCs/>
        </w:rPr>
        <w:t>Construcción de la Paz</w:t>
      </w:r>
      <w:bookmarkStart w:id="0" w:name="_GoBack"/>
      <w:bookmarkEnd w:id="0"/>
      <w:r>
        <w:rPr>
          <w:rFonts w:ascii="Palatino Linotype" w:hAnsi="Palatino Linotype" w:cs="Tahoma"/>
        </w:rPr>
        <w:t>; al respecto,</w:t>
      </w:r>
      <w:r w:rsidRPr="009105B8">
        <w:rPr>
          <w:rFonts w:ascii="Palatino Linotype" w:hAnsi="Palatino Linotype" w:cs="Tahoma"/>
        </w:rPr>
        <w:t xml:space="preserve"> </w:t>
      </w:r>
      <w:r w:rsidR="00E7431D">
        <w:rPr>
          <w:rFonts w:ascii="Palatino Linotype" w:hAnsi="Palatino Linotype" w:cs="Tahoma"/>
        </w:rPr>
        <w:t>este Organismo Garante</w:t>
      </w:r>
      <w:r>
        <w:rPr>
          <w:rFonts w:ascii="Palatino Linotype" w:hAnsi="Palatino Linotype" w:cs="Tahoma"/>
        </w:rPr>
        <w:t xml:space="preserve"> ordenó la entrega de la información, no obstante, se precisó</w:t>
      </w:r>
      <w:r w:rsidR="00FF5F5F">
        <w:rPr>
          <w:rFonts w:ascii="Palatino Linotype" w:hAnsi="Palatino Linotype" w:cs="Tahoma"/>
        </w:rPr>
        <w:t xml:space="preserve"> al</w:t>
      </w:r>
      <w:r w:rsidR="009B315E">
        <w:rPr>
          <w:rFonts w:ascii="Palatino Linotype" w:hAnsi="Palatino Linotype" w:cs="Tahoma"/>
        </w:rPr>
        <w:t xml:space="preserve"> </w:t>
      </w:r>
      <w:r w:rsidR="00FF5F5F" w:rsidRPr="00E80E9B">
        <w:rPr>
          <w:rFonts w:ascii="Palatino Linotype" w:eastAsia="Palatino Linotype" w:hAnsi="Palatino Linotype" w:cs="Palatino Linotype"/>
          <w:bCs/>
        </w:rPr>
        <w:t xml:space="preserve">Ayuntamiento de </w:t>
      </w:r>
      <w:r w:rsidR="00910095">
        <w:rPr>
          <w:rFonts w:ascii="Palatino Linotype" w:eastAsia="Palatino Linotype" w:hAnsi="Palatino Linotype" w:cs="Palatino Linotype"/>
          <w:bCs/>
        </w:rPr>
        <w:t>Toluca</w:t>
      </w:r>
      <w:r w:rsidR="00FF5F5F" w:rsidRPr="00FF5F5F">
        <w:rPr>
          <w:rFonts w:ascii="Palatino Linotype" w:eastAsia="Palatino Linotype" w:hAnsi="Palatino Linotype" w:cs="Palatino Linotype"/>
          <w:b/>
        </w:rPr>
        <w:t xml:space="preserve"> </w:t>
      </w:r>
      <w:r>
        <w:rPr>
          <w:rFonts w:ascii="Palatino Linotype" w:hAnsi="Palatino Linotype" w:cs="Tahoma"/>
        </w:rPr>
        <w:t xml:space="preserve">que, para el caso que </w:t>
      </w:r>
      <w:r>
        <w:rPr>
          <w:rFonts w:ascii="Palatino Linotype" w:eastAsia="Palatino Linotype" w:hAnsi="Palatino Linotype" w:cs="Palatino Linotype"/>
        </w:rPr>
        <w:t xml:space="preserve">se actualice una causal de reserva prevista en el artículo 140 de la Ley de Transparencia </w:t>
      </w:r>
      <w:r w:rsidRPr="009105B8">
        <w:rPr>
          <w:rFonts w:ascii="Palatino Linotype" w:eastAsia="Palatino Linotype" w:hAnsi="Palatino Linotype" w:cs="Palatino Linotype"/>
        </w:rPr>
        <w:t>y Acceso a la Información pública del</w:t>
      </w:r>
      <w:r>
        <w:rPr>
          <w:rFonts w:ascii="Palatino Linotype" w:eastAsia="Palatino Linotype" w:hAnsi="Palatino Linotype" w:cs="Palatino Linotype"/>
        </w:rPr>
        <w:t xml:space="preserve"> Estado de México y Municipios, deberá hacer entrega del acuerdo del Comité de Transparencia, por el cual se funde y motive la clasificación de la información como reservada.</w:t>
      </w:r>
    </w:p>
    <w:p w14:paraId="118A984B" w14:textId="77777777" w:rsidR="0041405C" w:rsidRPr="00274A5F" w:rsidRDefault="0041405C" w:rsidP="0041405C">
      <w:pPr>
        <w:spacing w:after="0" w:line="360" w:lineRule="auto"/>
        <w:jc w:val="both"/>
        <w:rPr>
          <w:rFonts w:ascii="Palatino Linotype" w:hAnsi="Palatino Linotype" w:cs="Tahoma"/>
        </w:rPr>
      </w:pPr>
    </w:p>
    <w:p w14:paraId="0D011F96" w14:textId="0705E98E"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xml:space="preserve">; sin embargo, considero especialmente que el tema de la reserva </w:t>
      </w:r>
      <w:r w:rsidRPr="00274A5F">
        <w:rPr>
          <w:rFonts w:ascii="Palatino Linotype" w:hAnsi="Palatino Linotype" w:cs="Tahoma"/>
        </w:rPr>
        <w:lastRenderedPageBreak/>
        <w:t>de la información debe analizarse de forma tal que se plantee en el estudio la prueba de daño que permite a este Organismo Garante que realizar la entrega de la información causa un daño al interés público, que en ese caso particular supera el derecho de acceso a la información de un particular.</w:t>
      </w:r>
    </w:p>
    <w:p w14:paraId="7F2562A7" w14:textId="77777777" w:rsidR="0041405C" w:rsidRPr="00274A5F" w:rsidRDefault="0041405C" w:rsidP="0041405C">
      <w:pPr>
        <w:spacing w:after="0" w:line="360" w:lineRule="auto"/>
        <w:jc w:val="both"/>
        <w:rPr>
          <w:rFonts w:ascii="Palatino Linotype" w:hAnsi="Palatino Linotype" w:cs="Tahoma"/>
        </w:rPr>
      </w:pPr>
    </w:p>
    <w:p w14:paraId="5846A477" w14:textId="7EA5DD26"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41405C">
      <w:pPr>
        <w:spacing w:after="0" w:line="360" w:lineRule="auto"/>
        <w:jc w:val="both"/>
        <w:rPr>
          <w:rFonts w:ascii="Palatino Linotype" w:hAnsi="Palatino Linotype" w:cs="Tahoma"/>
        </w:rPr>
      </w:pPr>
    </w:p>
    <w:p w14:paraId="58A5399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41405C">
      <w:pPr>
        <w:spacing w:after="0" w:line="360" w:lineRule="auto"/>
        <w:jc w:val="both"/>
        <w:rPr>
          <w:rFonts w:ascii="Palatino Linotype" w:hAnsi="Palatino Linotype"/>
        </w:rPr>
      </w:pPr>
    </w:p>
    <w:p w14:paraId="518C0FAC" w14:textId="77777777" w:rsidR="0041405C" w:rsidRPr="00274A5F"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 xml:space="preserve">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05420A56" w14:textId="77777777" w:rsidR="0041405C" w:rsidRPr="00274A5F" w:rsidRDefault="0041405C" w:rsidP="0041405C">
      <w:pPr>
        <w:spacing w:after="0" w:line="360" w:lineRule="auto"/>
        <w:jc w:val="both"/>
        <w:rPr>
          <w:rFonts w:ascii="Palatino Linotype" w:hAnsi="Palatino Linotype" w:cs="Segoe UI"/>
        </w:rPr>
      </w:pPr>
    </w:p>
    <w:p w14:paraId="5193385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41405C">
      <w:pPr>
        <w:spacing w:after="0" w:line="360" w:lineRule="auto"/>
        <w:jc w:val="both"/>
        <w:rPr>
          <w:rFonts w:ascii="Palatino Linotype" w:hAnsi="Palatino Linotype" w:cs="Arial"/>
        </w:rPr>
      </w:pPr>
    </w:p>
    <w:p w14:paraId="0733701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41405C">
      <w:pPr>
        <w:spacing w:after="0" w:line="360" w:lineRule="auto"/>
        <w:jc w:val="both"/>
        <w:rPr>
          <w:rFonts w:ascii="Palatino Linotype" w:hAnsi="Palatino Linotype" w:cs="Tahoma"/>
        </w:rPr>
      </w:pPr>
    </w:p>
    <w:p w14:paraId="6BD69C3F" w14:textId="014A72DC"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3350F28" w14:textId="77777777" w:rsidR="00CA6576" w:rsidRPr="00274A5F" w:rsidRDefault="00CA6576" w:rsidP="00CA6576">
      <w:pPr>
        <w:spacing w:after="0" w:line="360" w:lineRule="auto"/>
        <w:jc w:val="both"/>
        <w:rPr>
          <w:rFonts w:ascii="Palatino Linotype" w:hAnsi="Palatino Linotype" w:cs="Tahoma"/>
        </w:rPr>
      </w:pPr>
    </w:p>
    <w:p w14:paraId="45932528"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CA6576">
      <w:pPr>
        <w:spacing w:after="0" w:line="360" w:lineRule="auto"/>
        <w:jc w:val="both"/>
        <w:rPr>
          <w:rFonts w:ascii="Palatino Linotype" w:hAnsi="Palatino Linotype" w:cs="Tahoma"/>
        </w:rPr>
      </w:pPr>
    </w:p>
    <w:p w14:paraId="1BB9E93A"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CA6576">
      <w:pPr>
        <w:spacing w:after="0" w:line="360" w:lineRule="auto"/>
        <w:jc w:val="both"/>
        <w:rPr>
          <w:rFonts w:ascii="Palatino Linotype" w:hAnsi="Palatino Linotype" w:cs="Tahoma"/>
        </w:rPr>
      </w:pPr>
    </w:p>
    <w:p w14:paraId="7FDB021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FEB35AC" w14:textId="77777777" w:rsidR="00CA6576" w:rsidRPr="00274A5F" w:rsidRDefault="00CA6576" w:rsidP="00CA6576">
      <w:pPr>
        <w:spacing w:after="0" w:line="360" w:lineRule="auto"/>
        <w:jc w:val="both"/>
        <w:rPr>
          <w:rFonts w:ascii="Palatino Linotype" w:hAnsi="Palatino Linotype" w:cs="Tahoma"/>
        </w:rPr>
      </w:pPr>
    </w:p>
    <w:p w14:paraId="608D2E6A" w14:textId="08DDA430"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33A8648"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CA6576">
      <w:pPr>
        <w:spacing w:after="0" w:line="360" w:lineRule="auto"/>
        <w:jc w:val="both"/>
        <w:rPr>
          <w:rFonts w:ascii="Palatino Linotype" w:hAnsi="Palatino Linotype" w:cs="Tahoma"/>
        </w:rPr>
      </w:pPr>
    </w:p>
    <w:p w14:paraId="47B510AB"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CA6576">
      <w:pPr>
        <w:spacing w:after="0" w:line="360" w:lineRule="auto"/>
        <w:jc w:val="both"/>
        <w:rPr>
          <w:rFonts w:ascii="Palatino Linotype" w:hAnsi="Palatino Linotype" w:cs="Tahoma"/>
        </w:rPr>
      </w:pPr>
    </w:p>
    <w:p w14:paraId="19CD408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230B282"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41405C">
      <w:pPr>
        <w:spacing w:after="0" w:line="360" w:lineRule="auto"/>
        <w:jc w:val="both"/>
        <w:rPr>
          <w:rFonts w:ascii="Palatino Linotype" w:hAnsi="Palatino Linotype" w:cs="Tahoma"/>
        </w:rPr>
      </w:pPr>
    </w:p>
    <w:p w14:paraId="1943C439" w14:textId="39F0705F"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41405C">
      <w:pPr>
        <w:spacing w:after="0" w:line="360" w:lineRule="auto"/>
        <w:jc w:val="both"/>
        <w:rPr>
          <w:rFonts w:ascii="Palatino Linotype" w:hAnsi="Palatino Linotype" w:cs="Tahoma"/>
        </w:rPr>
      </w:pPr>
    </w:p>
    <w:p w14:paraId="71795170" w14:textId="7DCD1DC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w:t>
      </w:r>
    </w:p>
    <w:p w14:paraId="56363BE2" w14:textId="77777777" w:rsidR="0041405C" w:rsidRPr="00274A5F" w:rsidRDefault="0041405C" w:rsidP="0041405C">
      <w:pPr>
        <w:spacing w:after="0" w:line="360" w:lineRule="auto"/>
        <w:jc w:val="both"/>
        <w:rPr>
          <w:rFonts w:ascii="Palatino Linotype" w:hAnsi="Palatino Linotype" w:cs="Tahoma"/>
        </w:rPr>
      </w:pPr>
    </w:p>
    <w:p w14:paraId="2B4E2804" w14:textId="0771FADB"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061E35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41405C">
      <w:pPr>
        <w:spacing w:after="0" w:line="360" w:lineRule="auto"/>
        <w:jc w:val="both"/>
        <w:rPr>
          <w:rFonts w:ascii="Palatino Linotype" w:hAnsi="Palatino Linotype" w:cs="Tahoma"/>
        </w:rPr>
      </w:pPr>
    </w:p>
    <w:p w14:paraId="0539DC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17DC3B00" w14:textId="77777777" w:rsidR="0041405C" w:rsidRPr="00274A5F" w:rsidRDefault="0041405C" w:rsidP="0041405C">
      <w:pPr>
        <w:spacing w:after="0" w:line="360" w:lineRule="auto"/>
        <w:jc w:val="both"/>
        <w:rPr>
          <w:rFonts w:ascii="Palatino Linotype" w:hAnsi="Palatino Linotype" w:cs="Tahoma"/>
        </w:rPr>
      </w:pPr>
    </w:p>
    <w:p w14:paraId="76D0218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p w14:paraId="118DB7CA" w14:textId="77777777" w:rsidR="0041405C" w:rsidRDefault="0041405C" w:rsidP="0041405C">
      <w:pPr>
        <w:spacing w:after="0" w:line="360" w:lineRule="auto"/>
        <w:jc w:val="both"/>
        <w:rPr>
          <w:rFonts w:ascii="Palatino Linotype" w:hAnsi="Palatino Linotype" w:cs="Tahoma"/>
        </w:rPr>
      </w:pPr>
    </w:p>
    <w:p w14:paraId="04D070CA" w14:textId="77777777" w:rsidR="0041405C" w:rsidRDefault="0041405C" w:rsidP="0041405C">
      <w:pPr>
        <w:spacing w:after="0" w:line="360" w:lineRule="auto"/>
        <w:jc w:val="both"/>
        <w:rPr>
          <w:rFonts w:ascii="Palatino Linotype" w:hAnsi="Palatino Linotype" w:cs="Tahoma"/>
        </w:rPr>
      </w:pPr>
    </w:p>
    <w:p w14:paraId="4B83B5E5" w14:textId="77777777" w:rsidR="0041405C" w:rsidRDefault="0041405C" w:rsidP="0041405C">
      <w:pPr>
        <w:spacing w:after="0" w:line="360" w:lineRule="auto"/>
        <w:jc w:val="both"/>
        <w:rPr>
          <w:rFonts w:ascii="Palatino Linotype" w:hAnsi="Palatino Linotype" w:cs="Tahoma"/>
        </w:rPr>
      </w:pPr>
    </w:p>
    <w:p w14:paraId="16E5FB18" w14:textId="77777777" w:rsidR="0041405C" w:rsidRDefault="0041405C" w:rsidP="0041405C">
      <w:pPr>
        <w:spacing w:after="0" w:line="360" w:lineRule="auto"/>
        <w:jc w:val="both"/>
        <w:rPr>
          <w:rFonts w:ascii="Palatino Linotype" w:hAnsi="Palatino Linotype" w:cs="Tahoma"/>
        </w:rPr>
      </w:pPr>
    </w:p>
    <w:p w14:paraId="0FDE8696" w14:textId="77777777" w:rsidR="0041405C" w:rsidRDefault="0041405C" w:rsidP="0041405C">
      <w:pPr>
        <w:spacing w:after="0" w:line="360" w:lineRule="auto"/>
        <w:jc w:val="both"/>
        <w:rPr>
          <w:rFonts w:ascii="Palatino Linotype" w:hAnsi="Palatino Linotype" w:cs="Tahoma"/>
        </w:rPr>
      </w:pPr>
    </w:p>
    <w:p w14:paraId="66DDEB2D" w14:textId="77777777" w:rsidR="0041405C" w:rsidRDefault="0041405C" w:rsidP="0041405C">
      <w:pPr>
        <w:spacing w:after="0" w:line="360" w:lineRule="auto"/>
        <w:jc w:val="both"/>
        <w:rPr>
          <w:rFonts w:ascii="Palatino Linotype" w:hAnsi="Palatino Linotype" w:cs="Tahoma"/>
        </w:rPr>
      </w:pPr>
    </w:p>
    <w:p w14:paraId="6A941083" w14:textId="77777777" w:rsidR="0041405C" w:rsidRDefault="0041405C" w:rsidP="0041405C">
      <w:pPr>
        <w:spacing w:after="0" w:line="360" w:lineRule="auto"/>
        <w:jc w:val="both"/>
        <w:rPr>
          <w:rFonts w:ascii="Palatino Linotype" w:hAnsi="Palatino Linotype" w:cs="Tahoma"/>
        </w:rPr>
      </w:pPr>
    </w:p>
    <w:p w14:paraId="4D4A5266" w14:textId="77777777" w:rsidR="0041405C" w:rsidRDefault="0041405C" w:rsidP="0041405C">
      <w:pPr>
        <w:spacing w:after="0" w:line="360" w:lineRule="auto"/>
        <w:jc w:val="both"/>
        <w:rPr>
          <w:rFonts w:ascii="Palatino Linotype" w:hAnsi="Palatino Linotype" w:cs="Tahoma"/>
        </w:rPr>
      </w:pPr>
    </w:p>
    <w:p w14:paraId="3747E09B" w14:textId="77777777" w:rsidR="0041405C" w:rsidRDefault="0041405C" w:rsidP="0041405C">
      <w:pPr>
        <w:spacing w:after="0" w:line="360" w:lineRule="auto"/>
        <w:jc w:val="both"/>
        <w:rPr>
          <w:rFonts w:ascii="Palatino Linotype" w:hAnsi="Palatino Linotype" w:cs="Tahoma"/>
        </w:rPr>
      </w:pPr>
    </w:p>
    <w:p w14:paraId="5B807412" w14:textId="77777777" w:rsidR="0041405C" w:rsidRDefault="0041405C" w:rsidP="0041405C">
      <w:pPr>
        <w:spacing w:after="0" w:line="360" w:lineRule="auto"/>
        <w:jc w:val="both"/>
        <w:rPr>
          <w:rFonts w:ascii="Palatino Linotype" w:hAnsi="Palatino Linotype" w:cs="Tahoma"/>
        </w:rPr>
      </w:pPr>
    </w:p>
    <w:p w14:paraId="69F1C79B" w14:textId="77777777" w:rsidR="0041405C" w:rsidRPr="00885189" w:rsidRDefault="0041405C" w:rsidP="0041405C">
      <w:pPr>
        <w:spacing w:after="0" w:line="360" w:lineRule="auto"/>
        <w:jc w:val="both"/>
        <w:rPr>
          <w:rFonts w:ascii="Palatino Linotype" w:hAnsi="Palatino Linotype" w:cs="Tahoma"/>
        </w:rPr>
      </w:pPr>
    </w:p>
    <w:p w14:paraId="7B8362D1" w14:textId="77777777" w:rsidR="0041405C" w:rsidRDefault="0041405C" w:rsidP="0041405C"/>
    <w:p w14:paraId="7A72E023" w14:textId="77777777" w:rsidR="0041405C" w:rsidRDefault="0041405C" w:rsidP="0041405C"/>
    <w:p w14:paraId="61AF03EC" w14:textId="77777777" w:rsidR="00CE7148" w:rsidRDefault="00CE7148"/>
    <w:sectPr w:rsidR="00CE7148"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96E2" w14:textId="77777777" w:rsidR="00751B57" w:rsidRDefault="00751B57" w:rsidP="0041405C">
      <w:pPr>
        <w:spacing w:after="0" w:line="240" w:lineRule="auto"/>
      </w:pPr>
      <w:r>
        <w:separator/>
      </w:r>
    </w:p>
  </w:endnote>
  <w:endnote w:type="continuationSeparator" w:id="0">
    <w:p w14:paraId="70D195D6" w14:textId="77777777" w:rsidR="00751B57" w:rsidRDefault="00751B57"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51B5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51B57">
              <w:rPr>
                <w:b/>
                <w:bCs/>
                <w:noProof/>
              </w:rPr>
              <w:t>1</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B52F" w14:textId="77777777" w:rsidR="00751B57" w:rsidRDefault="00751B57" w:rsidP="0041405C">
      <w:pPr>
        <w:spacing w:after="0" w:line="240" w:lineRule="auto"/>
      </w:pPr>
      <w:r>
        <w:separator/>
      </w:r>
    </w:p>
  </w:footnote>
  <w:footnote w:type="continuationSeparator" w:id="0">
    <w:p w14:paraId="08D9F3C2" w14:textId="77777777" w:rsidR="00751B57" w:rsidRDefault="00751B57" w:rsidP="0041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76672" behindDoc="0" locked="0" layoutInCell="1" allowOverlap="1" wp14:anchorId="101A2D89" wp14:editId="1DA30584">
                <wp:simplePos x="0" y="0"/>
                <wp:positionH relativeFrom="column">
                  <wp:posOffset>-110490</wp:posOffset>
                </wp:positionH>
                <wp:positionV relativeFrom="paragraph">
                  <wp:posOffset>-1029970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37D14B23" w:rsidR="00DF0541" w:rsidRPr="0041405C" w:rsidRDefault="002566C8" w:rsidP="008F16D1">
          <w:pPr>
            <w:pStyle w:val="Encabezado"/>
            <w:jc w:val="both"/>
            <w:rPr>
              <w:rFonts w:ascii="Palatino Linotype" w:eastAsia="Palatino Linotype" w:hAnsi="Palatino Linotype" w:cs="Palatino Linotype"/>
              <w:b/>
            </w:rPr>
          </w:pPr>
          <w:r w:rsidRPr="0041405C">
            <w:rPr>
              <w:rFonts w:ascii="Palatino Linotype" w:hAnsi="Palatino Linotype" w:cs="Tahoma"/>
              <w:b/>
            </w:rPr>
            <w:t xml:space="preserve">Recurso de Revisión: </w:t>
          </w:r>
          <w:r w:rsidR="00910095" w:rsidRPr="00910095">
            <w:rPr>
              <w:rFonts w:ascii="Palatino Linotype" w:eastAsia="Palatino Linotype" w:hAnsi="Palatino Linotype" w:cs="Palatino Linotype"/>
              <w:b/>
            </w:rPr>
            <w:t>01555/INFOEM/IP/RR/2025</w:t>
          </w:r>
        </w:p>
        <w:p w14:paraId="489A2219" w14:textId="579FBE86" w:rsidR="00DF0541" w:rsidRPr="0041405C" w:rsidRDefault="002566C8" w:rsidP="008F16D1">
          <w:pPr>
            <w:pStyle w:val="Encabezado"/>
            <w:jc w:val="both"/>
            <w:rPr>
              <w:rFonts w:ascii="Palatino Linotype" w:hAnsi="Palatino Linotype" w:cs="Tahoma"/>
              <w:b/>
            </w:rPr>
          </w:pPr>
          <w:r w:rsidRPr="0041405C">
            <w:rPr>
              <w:rFonts w:ascii="Palatino Linotype" w:hAnsi="Palatino Linotype" w:cs="Tahoma"/>
              <w:b/>
            </w:rPr>
            <w:t xml:space="preserve">Sujeto Obligado: </w:t>
          </w:r>
          <w:r w:rsidR="00910095" w:rsidRPr="00910095">
            <w:rPr>
              <w:rFonts w:ascii="Palatino Linotype" w:eastAsia="Palatino Linotype" w:hAnsi="Palatino Linotype" w:cs="Palatino Linotype"/>
              <w:b/>
            </w:rPr>
            <w:t>Ayuntamiento de Toluca</w:t>
          </w:r>
        </w:p>
        <w:p w14:paraId="5C1AE907" w14:textId="2D085FA3" w:rsidR="00DF0541" w:rsidRPr="0041405C" w:rsidRDefault="002566C8"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FF5F5F" w:rsidRPr="00FF5F5F">
            <w:rPr>
              <w:rFonts w:ascii="Palatino Linotype" w:hAnsi="Palatino Linotype"/>
              <w:b/>
            </w:rPr>
            <w:t>José Martínez Vilchis</w:t>
          </w: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C"/>
    <w:rsid w:val="00005AE8"/>
    <w:rsid w:val="000E1B29"/>
    <w:rsid w:val="000E1F2C"/>
    <w:rsid w:val="000F2F2E"/>
    <w:rsid w:val="001349E4"/>
    <w:rsid w:val="00210CF4"/>
    <w:rsid w:val="002166E2"/>
    <w:rsid w:val="002566C8"/>
    <w:rsid w:val="00264675"/>
    <w:rsid w:val="00274A5F"/>
    <w:rsid w:val="00342FF8"/>
    <w:rsid w:val="00374FF0"/>
    <w:rsid w:val="003A0C79"/>
    <w:rsid w:val="003A554D"/>
    <w:rsid w:val="003B4769"/>
    <w:rsid w:val="003B660A"/>
    <w:rsid w:val="0041405C"/>
    <w:rsid w:val="00420AB0"/>
    <w:rsid w:val="0048251D"/>
    <w:rsid w:val="004A03C9"/>
    <w:rsid w:val="0056408B"/>
    <w:rsid w:val="005A354E"/>
    <w:rsid w:val="005A4203"/>
    <w:rsid w:val="00666365"/>
    <w:rsid w:val="006D6483"/>
    <w:rsid w:val="007437ED"/>
    <w:rsid w:val="00747C80"/>
    <w:rsid w:val="00751B57"/>
    <w:rsid w:val="00787DEA"/>
    <w:rsid w:val="00910095"/>
    <w:rsid w:val="00925C8F"/>
    <w:rsid w:val="009B315E"/>
    <w:rsid w:val="00A273FA"/>
    <w:rsid w:val="00B97EDC"/>
    <w:rsid w:val="00BF43F1"/>
    <w:rsid w:val="00C11678"/>
    <w:rsid w:val="00C3211A"/>
    <w:rsid w:val="00C5130C"/>
    <w:rsid w:val="00C534E3"/>
    <w:rsid w:val="00C96731"/>
    <w:rsid w:val="00CA27BA"/>
    <w:rsid w:val="00CA6576"/>
    <w:rsid w:val="00CD53C4"/>
    <w:rsid w:val="00CE7148"/>
    <w:rsid w:val="00D77FCF"/>
    <w:rsid w:val="00D84E04"/>
    <w:rsid w:val="00DB6D1E"/>
    <w:rsid w:val="00DF0541"/>
    <w:rsid w:val="00E505D4"/>
    <w:rsid w:val="00E7431D"/>
    <w:rsid w:val="00E80E9B"/>
    <w:rsid w:val="00EC56C6"/>
    <w:rsid w:val="00EF3BD8"/>
    <w:rsid w:val="00F82A67"/>
    <w:rsid w:val="00FF5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4F42"/>
  <w15:chartTrackingRefBased/>
  <w15:docId w15:val="{A297D102-2722-42C9-B04B-4B67527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3A554D"/>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2256</Words>
  <Characters>12412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ROX</cp:lastModifiedBy>
  <cp:revision>3</cp:revision>
  <cp:lastPrinted>2023-10-30T16:51:00Z</cp:lastPrinted>
  <dcterms:created xsi:type="dcterms:W3CDTF">2025-03-27T23:57:00Z</dcterms:created>
  <dcterms:modified xsi:type="dcterms:W3CDTF">2025-03-28T00:03:00Z</dcterms:modified>
</cp:coreProperties>
</file>