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1C" w:rsidRDefault="00DB7383">
      <w:pPr>
        <w:widowControl w:val="0"/>
        <w:pBdr>
          <w:top w:val="nil"/>
          <w:left w:val="nil"/>
          <w:bottom w:val="nil"/>
          <w:right w:val="nil"/>
          <w:between w:val="nil"/>
        </w:pBdr>
        <w:spacing w:after="0" w:line="276" w:lineRule="auto"/>
      </w:pPr>
      <w:r>
        <w:pict w14:anchorId="684AE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752;visibility:hidden">
            <o:lock v:ext="edit" selection="t"/>
          </v:shape>
        </w:pict>
      </w:r>
    </w:p>
    <w:p w:rsidR="00FE761C" w:rsidRDefault="00FE761C">
      <w:pPr>
        <w:widowControl w:val="0"/>
        <w:pBdr>
          <w:top w:val="nil"/>
          <w:left w:val="nil"/>
          <w:bottom w:val="nil"/>
          <w:right w:val="nil"/>
          <w:between w:val="nil"/>
        </w:pBdr>
        <w:spacing w:after="0" w:line="276" w:lineRule="auto"/>
      </w:pPr>
    </w:p>
    <w:p w:rsidR="00FE761C" w:rsidRDefault="00DB7383">
      <w:pPr>
        <w:widowControl w:val="0"/>
        <w:pBdr>
          <w:top w:val="nil"/>
          <w:left w:val="nil"/>
          <w:bottom w:val="nil"/>
          <w:right w:val="nil"/>
          <w:between w:val="nil"/>
        </w:pBdr>
        <w:spacing w:after="0" w:line="360" w:lineRule="auto"/>
        <w:jc w:val="both"/>
      </w:pPr>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ÉCIMA CUARTA SESIÓN ORDINARIA DEL VEINTITRÉS DE ABRIL  DE DOS MIL VEINTICINCO, EN LO RELATIVO AL RECURSO DE REVISIÓN 01745/INFOEM/IP/RR/2025.</w:t>
      </w:r>
    </w:p>
    <w:p w:rsidR="00FE761C" w:rsidRDefault="00DB738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w:t>
      </w:r>
      <w:r>
        <w:rPr>
          <w:rFonts w:ascii="Palatino Linotype" w:eastAsia="Palatino Linotype" w:hAnsi="Palatino Linotype" w:cs="Palatino Linotype"/>
        </w:rPr>
        <w:t xml:space="preserve">do de México y Municipios, aprobó por unanimidad de votos, la resolución relativa </w:t>
      </w:r>
      <w:r>
        <w:rPr>
          <w:rFonts w:ascii="Palatino Linotype" w:eastAsia="Palatino Linotype" w:hAnsi="Palatino Linotype" w:cs="Palatino Linotype"/>
          <w:color w:val="000000"/>
        </w:rPr>
        <w:t xml:space="preserve">al recurso </w:t>
      </w:r>
      <w:r>
        <w:rPr>
          <w:rFonts w:ascii="Palatino Linotype" w:eastAsia="Palatino Linotype" w:hAnsi="Palatino Linotype" w:cs="Palatino Linotype"/>
        </w:rPr>
        <w:t xml:space="preserve">de revisión </w:t>
      </w:r>
      <w:r>
        <w:rPr>
          <w:rFonts w:ascii="Palatino Linotype" w:eastAsia="Palatino Linotype" w:hAnsi="Palatino Linotype" w:cs="Palatino Linotype"/>
          <w:b/>
        </w:rPr>
        <w:t>01745/INFOEM/IP/RR/2025</w:t>
      </w:r>
      <w:r>
        <w:rPr>
          <w:rFonts w:ascii="Palatino Linotype" w:eastAsia="Palatino Linotype" w:hAnsi="Palatino Linotype" w:cs="Palatino Linotype"/>
        </w:rPr>
        <w:t xml:space="preserve">, presentada por el </w:t>
      </w:r>
      <w:r>
        <w:rPr>
          <w:rFonts w:ascii="Palatino Linotype" w:eastAsia="Palatino Linotype" w:hAnsi="Palatino Linotype" w:cs="Palatino Linotype"/>
          <w:b/>
        </w:rPr>
        <w:t>Comisionado Presidente José Martínez Vilchis</w:t>
      </w:r>
      <w:r>
        <w:rPr>
          <w:rFonts w:ascii="Palatino Linotype" w:eastAsia="Palatino Linotype" w:hAnsi="Palatino Linotype" w:cs="Palatino Linotype"/>
        </w:rPr>
        <w:t xml:space="preserve">, respecto de la cual, la suscrita formula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 con</w:t>
      </w:r>
      <w:r>
        <w:rPr>
          <w:rFonts w:ascii="Palatino Linotype" w:eastAsia="Palatino Linotype" w:hAnsi="Palatino Linotype" w:cs="Palatino Linotype"/>
        </w:rPr>
        <w:t xml:space="preserve"> fundamento en el artículo 14 fracción XI del Reglamento Interior del Instituto de Transparencia, Acceso a la Información Pública y Protección de Datos Personales del Estado de México y Municipios.</w:t>
      </w:r>
    </w:p>
    <w:p w:rsidR="00FE761C" w:rsidRDefault="00DB7383">
      <w:pPr>
        <w:spacing w:before="240" w:after="24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rPr>
        <w:t>Es preciso señalar que respecto al estudio realizado en la</w:t>
      </w:r>
      <w:r>
        <w:rPr>
          <w:rFonts w:ascii="Palatino Linotype" w:eastAsia="Palatino Linotype" w:hAnsi="Palatino Linotype" w:cs="Palatino Linotype"/>
        </w:rPr>
        <w:t xml:space="preserve"> resolución emitida resulta necesario destacar ciertas consideraciones de hecho y derecho que debieron ser valoradas. </w:t>
      </w:r>
      <w:r>
        <w:rPr>
          <w:rFonts w:ascii="Palatino Linotype" w:eastAsia="Palatino Linotype" w:hAnsi="Palatino Linotype" w:cs="Palatino Linotype"/>
          <w:b/>
          <w:color w:val="000000"/>
        </w:rPr>
        <w:t xml:space="preserve"> </w:t>
      </w:r>
    </w:p>
    <w:p w:rsidR="00FE761C" w:rsidRDefault="00DB7383">
      <w:pP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Antecedentes</w:t>
      </w:r>
    </w:p>
    <w:p w:rsidR="00FE761C" w:rsidRDefault="00DB7383">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primera instancia, debe precisarse que </w:t>
      </w:r>
      <w:r>
        <w:rPr>
          <w:rFonts w:ascii="Palatino Linotype" w:eastAsia="Palatino Linotype" w:hAnsi="Palatino Linotype" w:cs="Palatino Linotype"/>
          <w:b/>
          <w:color w:val="000000"/>
        </w:rPr>
        <w:t>la parte Recurrente</w:t>
      </w:r>
      <w:r>
        <w:rPr>
          <w:rFonts w:ascii="Palatino Linotype" w:eastAsia="Palatino Linotype" w:hAnsi="Palatino Linotype" w:cs="Palatino Linotype"/>
          <w:color w:val="000000"/>
        </w:rPr>
        <w:t xml:space="preserve"> requirió al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le proporcionara la siguiente in</w:t>
      </w:r>
      <w:r>
        <w:rPr>
          <w:rFonts w:ascii="Palatino Linotype" w:eastAsia="Palatino Linotype" w:hAnsi="Palatino Linotype" w:cs="Palatino Linotype"/>
          <w:color w:val="000000"/>
        </w:rPr>
        <w:t>formación:</w:t>
      </w:r>
    </w:p>
    <w:p w:rsidR="00FE761C" w:rsidRDefault="00DB7383">
      <w:pPr>
        <w:pBdr>
          <w:top w:val="nil"/>
          <w:left w:val="nil"/>
          <w:bottom w:val="nil"/>
          <w:right w:val="nil"/>
          <w:between w:val="nil"/>
        </w:pBdr>
        <w:spacing w:after="240" w:line="276" w:lineRule="auto"/>
        <w:ind w:left="567" w:right="990"/>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lastRenderedPageBreak/>
        <w:t>«LUGAR DE RESIDENCIA DEL PRESIDENTE Y LOS DIRECTORES, SUBDIRECTORES, COORDINADORES Y JEFES DE AREA QUE CONFORMAN EL SISTEMA MUNICIPAL PARA EL DESARROLLO INTEGRAL DE LA FAMILIA DIF 2025-2027 DE CUAUTITLÁN, MÉXICO; ASÍ COMO MUNICIPIOS QUE SEÑALARON EN LA ENT</w:t>
      </w:r>
      <w:r>
        <w:rPr>
          <w:rFonts w:ascii="Palatino Linotype" w:eastAsia="Palatino Linotype" w:hAnsi="Palatino Linotype" w:cs="Palatino Linotype"/>
          <w:i/>
          <w:color w:val="000000"/>
        </w:rPr>
        <w:t>REGA RECEPCIÓN PARA OIR Y RECIBIR TODO TIPO DE NOTIFICACIÓN.» (Sic)</w:t>
      </w:r>
    </w:p>
    <w:p w:rsidR="00FE761C" w:rsidRDefault="00DB738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de precisar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respondió al solicitante a través del Titular del Área de Recursos Humanos, mediante el cual manifestó que no puede darse una respuesta a la solicitud</w:t>
      </w:r>
      <w:r>
        <w:rPr>
          <w:rFonts w:ascii="Palatino Linotype" w:eastAsia="Palatino Linotype" w:hAnsi="Palatino Linotype" w:cs="Palatino Linotype"/>
        </w:rPr>
        <w:t xml:space="preserve"> debido a que se trata de datos personales sensibles; asimismo, se informó que el lugar para oír y recibir cualquier tipo de notificación es el domicilio del DIF Central de Cuautitlán que se ubica en Avenida 16 de Septiembre 328, interior 42, Centro, C.P. </w:t>
      </w:r>
      <w:r>
        <w:rPr>
          <w:rFonts w:ascii="Palatino Linotype" w:eastAsia="Palatino Linotype" w:hAnsi="Palatino Linotype" w:cs="Palatino Linotype"/>
        </w:rPr>
        <w:t>54800, Cuautitlán, Estado de México.</w:t>
      </w:r>
    </w:p>
    <w:p w:rsidR="00FE761C" w:rsidRDefault="00DB738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conocida esta respuesta, la parte Recurrente interpuso el recurso de revisión que nos ocupa, inconformándose en términos generales al considerar que no se le entregó la información solicitada, toda vez que entre</w:t>
      </w:r>
      <w:r>
        <w:rPr>
          <w:rFonts w:ascii="Palatino Linotype" w:eastAsia="Palatino Linotype" w:hAnsi="Palatino Linotype" w:cs="Palatino Linotype"/>
        </w:rPr>
        <w:t>gan oficios en donde se limitan a decir que son datos personales sensibles, sin más justificación y carece de un acuerdo en donde se funde y motive esa limitante de acceso a la información solicitada.</w:t>
      </w:r>
    </w:p>
    <w:p w:rsidR="00FE761C" w:rsidRDefault="00DB738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Posteriormente se admitió el recurso de revisión y en l</w:t>
      </w:r>
      <w:r>
        <w:rPr>
          <w:rFonts w:ascii="Palatino Linotype" w:eastAsia="Palatino Linotype" w:hAnsi="Palatino Linotype" w:cs="Palatino Linotype"/>
        </w:rPr>
        <w:t>a etapa de manifestaciones, se advierte que el Sujeto Obligado adjuntó Acuerdo de versión pública de documentación de servidor público del Sistema Municipal para el Desarrollo Integral de la Familia de Cuautitlán, Estado de México, como confidencial y rese</w:t>
      </w:r>
      <w:r>
        <w:rPr>
          <w:rFonts w:ascii="Palatino Linotype" w:eastAsia="Palatino Linotype" w:hAnsi="Palatino Linotype" w:cs="Palatino Linotype"/>
        </w:rPr>
        <w:t xml:space="preserve">rvada número SMDIF/UTRA/001/2025 suscrito por los integrantes del Comité de Transparencia el veintiocho de febrero de dos mil veinticinco, por </w:t>
      </w:r>
      <w:r>
        <w:rPr>
          <w:rFonts w:ascii="Palatino Linotype" w:eastAsia="Palatino Linotype" w:hAnsi="Palatino Linotype" w:cs="Palatino Linotype"/>
        </w:rPr>
        <w:lastRenderedPageBreak/>
        <w:t xml:space="preserve">medio del cual se fundamenta y motiva la clasificación de la información relativa al domicilio de los servidores </w:t>
      </w:r>
      <w:r>
        <w:rPr>
          <w:rFonts w:ascii="Palatino Linotype" w:eastAsia="Palatino Linotype" w:hAnsi="Palatino Linotype" w:cs="Palatino Linotype"/>
        </w:rPr>
        <w:t>públicos referidos en la solicitud que dio origen al presente recurso de revisión, mientras que la parte Recurrente fue omisa en pronunciarse en esta etapa, por lo que se tuvo por precluido su derecho para tal efecto.</w:t>
      </w:r>
    </w:p>
    <w:p w:rsidR="00FE761C" w:rsidRDefault="00DB738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analizadas las constancias del</w:t>
      </w:r>
      <w:r>
        <w:rPr>
          <w:rFonts w:ascii="Palatino Linotype" w:eastAsia="Palatino Linotype" w:hAnsi="Palatino Linotype" w:cs="Palatino Linotype"/>
        </w:rPr>
        <w:t xml:space="preserve"> expediente electrónico por parte de este Instituto, se determinó que lo pertinente era </w:t>
      </w:r>
      <w:r>
        <w:rPr>
          <w:rFonts w:ascii="Palatino Linotype" w:eastAsia="Palatino Linotype" w:hAnsi="Palatino Linotype" w:cs="Palatino Linotype"/>
          <w:b/>
        </w:rPr>
        <w:t xml:space="preserve">SOBRESEER </w:t>
      </w:r>
      <w:r>
        <w:rPr>
          <w:rFonts w:ascii="Palatino Linotype" w:eastAsia="Palatino Linotype" w:hAnsi="Palatino Linotype" w:cs="Palatino Linotype"/>
        </w:rPr>
        <w:t>el presente asunto porque al haberse modificado la respuesta, el recurso de revisión quedó sin materia conforme a lo dispuesto en el artículo 192 fracción III</w:t>
      </w:r>
      <w:r>
        <w:rPr>
          <w:rFonts w:ascii="Palatino Linotype" w:eastAsia="Palatino Linotype" w:hAnsi="Palatino Linotype" w:cs="Palatino Linotype"/>
        </w:rPr>
        <w:t xml:space="preserve"> de la Ley de Transparencia y Acceso a la Información Pública del Estado de México y Municipios.</w:t>
      </w:r>
    </w:p>
    <w:p w:rsidR="00FE761C" w:rsidRDefault="00DB7383">
      <w:pPr>
        <w:numPr>
          <w:ilvl w:val="0"/>
          <w:numId w:val="1"/>
        </w:numPr>
        <w:pBdr>
          <w:top w:val="nil"/>
          <w:left w:val="nil"/>
          <w:bottom w:val="nil"/>
          <w:right w:val="nil"/>
          <w:between w:val="nil"/>
        </w:pBdr>
        <w:spacing w:after="0" w:line="360" w:lineRule="auto"/>
        <w:ind w:left="567" w:hanging="283"/>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FE761C" w:rsidRDefault="00DB7383">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Acotado lo anterior, resulta importante señalar que la emisión de mi voto particular deviene de que a mi consideración, el acuerdo </w:t>
      </w:r>
      <w:r>
        <w:rPr>
          <w:rFonts w:ascii="Palatino Linotype" w:eastAsia="Palatino Linotype" w:hAnsi="Palatino Linotype" w:cs="Palatino Linotype"/>
          <w:color w:val="000000"/>
        </w:rPr>
        <w:t>remitido por el Sujeto Obligado no se encuentra debidamente fundado y motivado, toda vez que en él se aprueba la realización de la versión pública de documentos, no así una clasificación total de la información,  pues no le fue p</w:t>
      </w:r>
      <w:r>
        <w:rPr>
          <w:rFonts w:ascii="Palatino Linotype" w:eastAsia="Palatino Linotype" w:hAnsi="Palatino Linotype" w:cs="Palatino Linotype"/>
        </w:rPr>
        <w:t>roporcionado ningún documen</w:t>
      </w:r>
      <w:r>
        <w:rPr>
          <w:rFonts w:ascii="Palatino Linotype" w:eastAsia="Palatino Linotype" w:hAnsi="Palatino Linotype" w:cs="Palatino Linotype"/>
        </w:rPr>
        <w:t xml:space="preserve">to en versión pública al particular, </w:t>
      </w:r>
      <w:r>
        <w:rPr>
          <w:rFonts w:ascii="Palatino Linotype" w:eastAsia="Palatino Linotype" w:hAnsi="Palatino Linotype" w:cs="Palatino Linotype"/>
          <w:color w:val="000000"/>
        </w:rPr>
        <w:t>por lo tanto, en aras de otorgar certeza jurídica al particular, debió ordenarse la emisión de nuevo acuerdo que cumpliera con las formalidades establecidas por la ley en la materia.</w:t>
      </w:r>
    </w:p>
    <w:p w:rsidR="00FE761C" w:rsidRDefault="00FE761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E761C" w:rsidRDefault="00DB7383">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anterior se afirma así, en virtud de que al realizar el análisis del presente acuerdo, se observa que el Sujeto Obligado en el apartado de fundamentación hace referencia a causales de reserva, tal como se observa en la siguiente ilustración:</w:t>
      </w:r>
    </w:p>
    <w:p w:rsidR="00FE761C" w:rsidRDefault="00DB7383">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noProof/>
        </w:rPr>
        <w:lastRenderedPageBreak/>
        <w:drawing>
          <wp:inline distT="0" distB="0" distL="0" distR="0">
            <wp:extent cx="5443753" cy="2831020"/>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3753" cy="2831020"/>
                    </a:xfrm>
                    <a:prstGeom prst="rect">
                      <a:avLst/>
                    </a:prstGeom>
                    <a:ln/>
                  </pic:spPr>
                </pic:pic>
              </a:graphicData>
            </a:graphic>
          </wp:inline>
        </w:drawing>
      </w:r>
      <w:r>
        <w:rPr>
          <w:noProof/>
        </w:rPr>
        <mc:AlternateContent>
          <mc:Choice Requires="wpg">
            <w:drawing>
              <wp:anchor distT="0" distB="0" distL="114300" distR="114300" simplePos="0" relativeHeight="251656704" behindDoc="0" locked="0" layoutInCell="1" hidden="0" allowOverlap="1">
                <wp:simplePos x="0" y="0"/>
                <wp:positionH relativeFrom="column">
                  <wp:posOffset>2400300</wp:posOffset>
                </wp:positionH>
                <wp:positionV relativeFrom="paragraph">
                  <wp:posOffset>393700</wp:posOffset>
                </wp:positionV>
                <wp:extent cx="1704975" cy="228600"/>
                <wp:effectExtent l="0" t="0" r="0" b="0"/>
                <wp:wrapNone/>
                <wp:docPr id="33" name=""/>
                <wp:cNvGraphicFramePr/>
                <a:graphic xmlns:a="http://schemas.openxmlformats.org/drawingml/2006/main">
                  <a:graphicData uri="http://schemas.microsoft.com/office/word/2010/wordprocessingShape">
                    <wps:wsp>
                      <wps:cNvSpPr/>
                      <wps:spPr>
                        <a:xfrm>
                          <a:off x="4507800" y="3679988"/>
                          <a:ext cx="1676400" cy="200025"/>
                        </a:xfrm>
                        <a:prstGeom prst="rect">
                          <a:avLst/>
                        </a:prstGeom>
                        <a:noFill/>
                        <a:ln w="28575" cap="flat" cmpd="sng">
                          <a:solidFill>
                            <a:srgbClr val="FF0000"/>
                          </a:solidFill>
                          <a:prstDash val="solid"/>
                          <a:miter lim="800000"/>
                          <a:headEnd type="none" w="sm" len="sm"/>
                          <a:tailEnd type="none" w="sm" len="sm"/>
                        </a:ln>
                      </wps:spPr>
                      <wps:txbx>
                        <w:txbxContent>
                          <w:p w:rsidR="00FE761C" w:rsidRDefault="00FE76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2400300</wp:posOffset>
                </wp:positionH>
                <wp:positionV relativeFrom="paragraph">
                  <wp:posOffset>393700</wp:posOffset>
                </wp:positionV>
                <wp:extent cx="1704975" cy="228600"/>
                <wp:effectExtent b="0" l="0" r="0" t="0"/>
                <wp:wrapNone/>
                <wp:docPr id="3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704975" cy="228600"/>
                        </a:xfrm>
                        <a:prstGeom prst="rect"/>
                        <a:ln/>
                      </pic:spPr>
                    </pic:pic>
                  </a:graphicData>
                </a:graphic>
              </wp:anchor>
            </w:drawing>
          </mc:Fallback>
        </mc:AlternateContent>
      </w:r>
    </w:p>
    <w:p w:rsidR="00FE761C" w:rsidRDefault="00DB7383">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de precisar que conforme a la Ley de Transparencia aplicable a la entidad, dichas causales de reserva consisten en lo siguiente:</w:t>
      </w:r>
    </w:p>
    <w:p w:rsidR="00FE761C" w:rsidRDefault="00FE761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E761C" w:rsidRDefault="00DB738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“Artículo 140. El acceso a la información pública será restringido excepcionalmente, cuando por razones de interés público,</w:t>
      </w:r>
      <w:r>
        <w:rPr>
          <w:rFonts w:ascii="Palatino Linotype" w:eastAsia="Palatino Linotype" w:hAnsi="Palatino Linotype" w:cs="Palatino Linotype"/>
          <w:i/>
          <w:color w:val="000000"/>
        </w:rPr>
        <w:t xml:space="preserve"> ésta sea clasificada como reservada, conforme a los criterios siguientes:</w:t>
      </w:r>
    </w:p>
    <w:p w:rsidR="00FE761C" w:rsidRDefault="00DB738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rsidR="00FE761C" w:rsidRDefault="00DB738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IV. Ponga en riesgo la vida, la seguridad o la salud de una persona física;</w:t>
      </w:r>
    </w:p>
    <w:p w:rsidR="00FE761C" w:rsidRDefault="00DB738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rsidR="00FE761C" w:rsidRDefault="00DB738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 El daño que pueda producirse con la publicación de la información sea mayor que el interés público</w:t>
      </w:r>
      <w:r>
        <w:rPr>
          <w:rFonts w:ascii="Palatino Linotype" w:eastAsia="Palatino Linotype" w:hAnsi="Palatino Linotype" w:cs="Palatino Linotype"/>
          <w:i/>
          <w:color w:val="000000"/>
        </w:rPr>
        <w:t xml:space="preserve"> de conocer la información de referencia, siempre que esté directamente relacionado con procesos o procedimientos administrativos o judiciales que no hayan quedado firmes;</w:t>
      </w:r>
    </w:p>
    <w:p w:rsidR="00FE761C" w:rsidRDefault="00DB738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Cuando se trate de información sobre estudios y proyectos cuya divulgación pueda cau</w:t>
      </w:r>
      <w:r>
        <w:rPr>
          <w:rFonts w:ascii="Palatino Linotype" w:eastAsia="Palatino Linotype" w:hAnsi="Palatino Linotype" w:cs="Palatino Linotype"/>
          <w:i/>
          <w:color w:val="000000"/>
        </w:rPr>
        <w:t xml:space="preserve">sar daños al interés del Estado o suponga un riesgo para su realización, siempre </w:t>
      </w:r>
      <w:r>
        <w:rPr>
          <w:rFonts w:ascii="Palatino Linotype" w:eastAsia="Palatino Linotype" w:hAnsi="Palatino Linotype" w:cs="Palatino Linotype"/>
          <w:i/>
          <w:color w:val="000000"/>
        </w:rPr>
        <w:lastRenderedPageBreak/>
        <w:t>que esté directamente relacionado con procesos o procedimientos administrativos o judiciales que no hayan quedado firmes; y</w:t>
      </w:r>
    </w:p>
    <w:p w:rsidR="00FE761C" w:rsidRDefault="00DB738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XI. Las que por disposición expresa de una ley teng</w:t>
      </w:r>
      <w:r>
        <w:rPr>
          <w:rFonts w:ascii="Palatino Linotype" w:eastAsia="Palatino Linotype" w:hAnsi="Palatino Linotype" w:cs="Palatino Linotype"/>
          <w:i/>
          <w:color w:val="000000"/>
        </w:rPr>
        <w:t>an tal carácter, siempre que sean acordes con las bases, principios y disposiciones establecidos en esta Ley y no la contravengan; así como las previstas en tratados internacionales.”</w:t>
      </w:r>
    </w:p>
    <w:p w:rsidR="00FE761C" w:rsidRDefault="00FE761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E761C" w:rsidRDefault="00DB7383">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Del análisis a las causales invocadas, se observa que el Sujeto Obligado no acreditó la actualización de estas fracciones al caso concreto, aunado al hecho de que toda vez que el particular está solicitando domicilios de servidores públicos, debemos resalt</w:t>
      </w:r>
      <w:r>
        <w:rPr>
          <w:rFonts w:ascii="Palatino Linotype" w:eastAsia="Palatino Linotype" w:hAnsi="Palatino Linotype" w:cs="Palatino Linotype"/>
        </w:rPr>
        <w:t xml:space="preserve">ar que a estos datos le revisten el carácter de confidencial. </w:t>
      </w:r>
    </w:p>
    <w:p w:rsidR="00FE761C" w:rsidRDefault="00FE761C">
      <w:pPr>
        <w:pBdr>
          <w:top w:val="nil"/>
          <w:left w:val="nil"/>
          <w:bottom w:val="nil"/>
          <w:right w:val="nil"/>
          <w:between w:val="nil"/>
        </w:pBdr>
        <w:spacing w:after="0" w:line="360" w:lineRule="auto"/>
        <w:jc w:val="both"/>
        <w:rPr>
          <w:rFonts w:ascii="Palatino Linotype" w:eastAsia="Palatino Linotype" w:hAnsi="Palatino Linotype" w:cs="Palatino Linotype"/>
        </w:rPr>
      </w:pPr>
    </w:p>
    <w:p w:rsidR="00FE761C" w:rsidRDefault="00DB7383">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Lo anterior se afirma así, en razón de que </w:t>
      </w:r>
      <w:r>
        <w:rPr>
          <w:rFonts w:ascii="Palatino Linotype" w:eastAsia="Palatino Linotype" w:hAnsi="Palatino Linotype" w:cs="Palatino Linotype"/>
          <w:color w:val="000000"/>
        </w:rPr>
        <w:t xml:space="preserve">el artículo 2.17, del Código Civil del Estado de México, señala que el domicilio «es el lugar donde reside con el propósito de establecerse en él; a </w:t>
      </w:r>
      <w:r>
        <w:rPr>
          <w:rFonts w:ascii="Palatino Linotype" w:eastAsia="Palatino Linotype" w:hAnsi="Palatino Linotype" w:cs="Palatino Linotype"/>
          <w:color w:val="000000"/>
        </w:rPr>
        <w:t>falta de éste, el lugar en que tiene el principal asiento de sus negocios; y a falta de uno y otro, el lugar en que se halle».</w:t>
      </w:r>
    </w:p>
    <w:p w:rsidR="00FE761C" w:rsidRDefault="00FE761C">
      <w:pPr>
        <w:spacing w:after="0" w:line="360" w:lineRule="auto"/>
        <w:jc w:val="both"/>
        <w:rPr>
          <w:rFonts w:ascii="Palatino Linotype" w:eastAsia="Palatino Linotype" w:hAnsi="Palatino Linotype" w:cs="Palatino Linotype"/>
          <w:color w:val="000000"/>
        </w:rPr>
      </w:pPr>
    </w:p>
    <w:p w:rsidR="00FE761C" w:rsidRDefault="00DB738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En ese contexto, se reitera que el dato sobre el domicilio particular es información de carácter confidencial, en términos de lo</w:t>
      </w:r>
      <w:r>
        <w:rPr>
          <w:rFonts w:ascii="Palatino Linotype" w:eastAsia="Palatino Linotype" w:hAnsi="Palatino Linotype" w:cs="Palatino Linotype"/>
          <w:color w:val="000000"/>
        </w:rPr>
        <w:t xml:space="preserve"> dispuesto por la fracción I, del artículo 143, de la Ley de la materia, así como el artículo 4, fracciones XI y XII, de la Ley de Protección de Datos Personales del Estado de México, en virtud de que constituye información que incide en la intimidad de un</w:t>
      </w:r>
      <w:r>
        <w:rPr>
          <w:rFonts w:ascii="Palatino Linotype" w:eastAsia="Palatino Linotype" w:hAnsi="Palatino Linotype" w:cs="Palatino Linotype"/>
          <w:color w:val="000000"/>
        </w:rPr>
        <w:t xml:space="preserve"> individuo identificado.</w:t>
      </w:r>
    </w:p>
    <w:p w:rsidR="00FE761C" w:rsidRDefault="00FE761C">
      <w:pPr>
        <w:pBdr>
          <w:top w:val="nil"/>
          <w:left w:val="nil"/>
          <w:bottom w:val="nil"/>
          <w:right w:val="nil"/>
          <w:between w:val="nil"/>
        </w:pBdr>
        <w:spacing w:after="0" w:line="360" w:lineRule="auto"/>
        <w:jc w:val="both"/>
        <w:rPr>
          <w:rFonts w:ascii="Palatino Linotype" w:eastAsia="Palatino Linotype" w:hAnsi="Palatino Linotype" w:cs="Palatino Linotype"/>
          <w:sz w:val="20"/>
          <w:szCs w:val="20"/>
        </w:rPr>
      </w:pPr>
    </w:p>
    <w:p w:rsidR="00FE761C" w:rsidRDefault="00DB7383">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que lo pertinente en el presente caso es l</w:t>
      </w:r>
      <w:r>
        <w:rPr>
          <w:rFonts w:ascii="Palatino Linotype" w:eastAsia="Palatino Linotype" w:hAnsi="Palatino Linotype" w:cs="Palatino Linotype"/>
          <w:b/>
          <w:u w:val="single"/>
        </w:rPr>
        <w:t>a clasificación total de la información, no así una generación de versión pública</w:t>
      </w:r>
      <w:r>
        <w:rPr>
          <w:rFonts w:ascii="Palatino Linotype" w:eastAsia="Palatino Linotype" w:hAnsi="Palatino Linotype" w:cs="Palatino Linotype"/>
        </w:rPr>
        <w:t>, como lo pretendió hacer valer el Sujeto Obligado mediante el acuerdo presentado en informe justifi</w:t>
      </w:r>
      <w:r>
        <w:rPr>
          <w:rFonts w:ascii="Palatino Linotype" w:eastAsia="Palatino Linotype" w:hAnsi="Palatino Linotype" w:cs="Palatino Linotype"/>
        </w:rPr>
        <w:t>cado, el cual se trae a colación para mejor proveer del presente voto:</w:t>
      </w:r>
    </w:p>
    <w:p w:rsidR="00FE761C" w:rsidRDefault="00DB7383">
      <w:pPr>
        <w:pBdr>
          <w:top w:val="nil"/>
          <w:left w:val="nil"/>
          <w:bottom w:val="nil"/>
          <w:right w:val="nil"/>
          <w:between w:val="nil"/>
        </w:pBdr>
        <w:spacing w:after="0" w:line="360" w:lineRule="auto"/>
        <w:jc w:val="both"/>
        <w:rPr>
          <w:rFonts w:ascii="Palatino Linotype" w:eastAsia="Palatino Linotype" w:hAnsi="Palatino Linotype" w:cs="Palatino Linotype"/>
        </w:rPr>
      </w:pPr>
      <w:r>
        <w:rPr>
          <w:noProof/>
        </w:rPr>
        <w:drawing>
          <wp:inline distT="0" distB="0" distL="0" distR="0">
            <wp:extent cx="5669280" cy="4185920"/>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69280" cy="4185920"/>
                    </a:xfrm>
                    <a:prstGeom prst="rect">
                      <a:avLst/>
                    </a:prstGeom>
                    <a:ln/>
                  </pic:spPr>
                </pic:pic>
              </a:graphicData>
            </a:graphic>
          </wp:inline>
        </w:drawing>
      </w:r>
      <w:r>
        <w:rPr>
          <w:noProof/>
        </w:rPr>
        <mc:AlternateContent>
          <mc:Choice Requires="wpg">
            <w:drawing>
              <wp:anchor distT="0" distB="0" distL="114300" distR="114300" simplePos="0" relativeHeight="251657728" behindDoc="0" locked="0" layoutInCell="1" hidden="0" allowOverlap="1">
                <wp:simplePos x="0" y="0"/>
                <wp:positionH relativeFrom="column">
                  <wp:posOffset>165100</wp:posOffset>
                </wp:positionH>
                <wp:positionV relativeFrom="paragraph">
                  <wp:posOffset>2222500</wp:posOffset>
                </wp:positionV>
                <wp:extent cx="5410200" cy="714375"/>
                <wp:effectExtent l="0" t="0" r="0" b="0"/>
                <wp:wrapNone/>
                <wp:docPr id="35" name=""/>
                <wp:cNvGraphicFramePr/>
                <a:graphic xmlns:a="http://schemas.openxmlformats.org/drawingml/2006/main">
                  <a:graphicData uri="http://schemas.microsoft.com/office/word/2010/wordprocessingShape">
                    <wps:wsp>
                      <wps:cNvSpPr/>
                      <wps:spPr>
                        <a:xfrm>
                          <a:off x="2655188" y="3437100"/>
                          <a:ext cx="5381625" cy="685800"/>
                        </a:xfrm>
                        <a:prstGeom prst="rect">
                          <a:avLst/>
                        </a:prstGeom>
                        <a:noFill/>
                        <a:ln w="28575" cap="flat" cmpd="sng">
                          <a:solidFill>
                            <a:srgbClr val="FF0000"/>
                          </a:solidFill>
                          <a:prstDash val="solid"/>
                          <a:miter lim="800000"/>
                          <a:headEnd type="none" w="sm" len="sm"/>
                          <a:tailEnd type="none" w="sm" len="sm"/>
                        </a:ln>
                      </wps:spPr>
                      <wps:txbx>
                        <w:txbxContent>
                          <w:p w:rsidR="00FE761C" w:rsidRDefault="00FE76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2222500</wp:posOffset>
                </wp:positionV>
                <wp:extent cx="5410200" cy="714375"/>
                <wp:effectExtent b="0" l="0" r="0" t="0"/>
                <wp:wrapNone/>
                <wp:docPr id="3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410200" cy="714375"/>
                        </a:xfrm>
                        <a:prstGeom prst="rect"/>
                        <a:ln/>
                      </pic:spPr>
                    </pic:pic>
                  </a:graphicData>
                </a:graphic>
              </wp:anchor>
            </w:drawing>
          </mc:Fallback>
        </mc:AlternateContent>
      </w:r>
    </w:p>
    <w:p w:rsidR="00FE761C" w:rsidRDefault="00DB7383">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bookmarkStart w:id="0" w:name="_heading=h.mrkhpxtav8ao" w:colFirst="0" w:colLast="0"/>
      <w:bookmarkEnd w:id="0"/>
      <w:r>
        <w:rPr>
          <w:rFonts w:ascii="Palatino Linotype" w:eastAsia="Palatino Linotype" w:hAnsi="Palatino Linotype" w:cs="Palatino Linotype"/>
          <w:color w:val="000000"/>
        </w:rPr>
        <w:t>En ese sentido, es relevante señalar que para el caso particular, la clasificación de la información como confidencial, se actualizará cuando por su naturaleza, contenga datos per</w:t>
      </w:r>
      <w:r>
        <w:rPr>
          <w:rFonts w:ascii="Palatino Linotype" w:eastAsia="Palatino Linotype" w:hAnsi="Palatino Linotype" w:cs="Palatino Linotype"/>
          <w:color w:val="000000"/>
        </w:rPr>
        <w:t xml:space="preserve">sonales concernientes a una persona física o jurídico colectiva identificada o identificable, </w:t>
      </w:r>
      <w:r>
        <w:rPr>
          <w:rFonts w:ascii="Palatino Linotype" w:eastAsia="Palatino Linotype" w:hAnsi="Palatino Linotype" w:cs="Palatino Linotype"/>
          <w:color w:val="000000"/>
        </w:rPr>
        <w:lastRenderedPageBreak/>
        <w:t>los secretos bancario, fiduciario, industrial, comercial, fiscal, bursátil y postal, cuya titularidad corresponda a particulares, sujetos de derecho internacional</w:t>
      </w:r>
      <w:r>
        <w:rPr>
          <w:rFonts w:ascii="Palatino Linotype" w:eastAsia="Palatino Linotype" w:hAnsi="Palatino Linotype" w:cs="Palatino Linotype"/>
          <w:color w:val="000000"/>
        </w:rPr>
        <w:t xml:space="preserve"> o a Sujetos Obligados cuando no involucren el ejercicio de recursos públicos y la que presenten los particulares a los Sujetos Obligados, de conformidad con lo dispuesto por las leyes o los tratados internacionales.</w:t>
      </w:r>
    </w:p>
    <w:p w:rsidR="00FE761C" w:rsidRDefault="00FE761C">
      <w:pPr>
        <w:spacing w:after="0" w:line="360" w:lineRule="auto"/>
        <w:rPr>
          <w:rFonts w:ascii="Times New Roman" w:eastAsia="Times New Roman" w:hAnsi="Times New Roman" w:cs="Times New Roman"/>
        </w:rPr>
      </w:pPr>
    </w:p>
    <w:p w:rsidR="00FE761C" w:rsidRDefault="00DB7383">
      <w:pPr>
        <w:spacing w:after="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t xml:space="preserve">De igual forma, para el caso de la información confidencial se aprecia, que se establece un procedimiento para clasificar la información como confidencial, mediante el cual se fundamentará y motivará la necesidad de clasificar la información, en el que se </w:t>
      </w:r>
      <w:r>
        <w:rPr>
          <w:rFonts w:ascii="Palatino Linotype" w:eastAsia="Palatino Linotype" w:hAnsi="Palatino Linotype" w:cs="Palatino Linotype"/>
          <w:color w:val="000000"/>
        </w:rPr>
        <w:t>precisen los motivos que obliguen a la clasificación; lo que se consolida con lo señalado por el artículo 168 de la Ley en la Materia, que señala:</w:t>
      </w:r>
    </w:p>
    <w:p w:rsidR="00FE761C" w:rsidRDefault="00FE761C">
      <w:pPr>
        <w:spacing w:after="0" w:line="240" w:lineRule="auto"/>
        <w:rPr>
          <w:rFonts w:ascii="Times New Roman" w:eastAsia="Times New Roman" w:hAnsi="Times New Roman" w:cs="Times New Roman"/>
          <w:sz w:val="24"/>
          <w:szCs w:val="24"/>
        </w:rPr>
      </w:pPr>
    </w:p>
    <w:p w:rsidR="00FE761C" w:rsidRDefault="00DB7383">
      <w:pPr>
        <w:spacing w:after="0" w:line="240" w:lineRule="auto"/>
        <w:ind w:left="567" w:right="616"/>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Artículo 168</w:t>
      </w:r>
      <w:r>
        <w:rPr>
          <w:rFonts w:ascii="Palatino Linotype" w:eastAsia="Palatino Linotype" w:hAnsi="Palatino Linotype" w:cs="Palatino Linotype"/>
          <w:i/>
          <w:color w:val="000000"/>
        </w:rPr>
        <w:t>. En caso de que los sujetos obligados consideren que los documentos o la información deban ser</w:t>
      </w:r>
      <w:r>
        <w:rPr>
          <w:rFonts w:ascii="Palatino Linotype" w:eastAsia="Palatino Linotype" w:hAnsi="Palatino Linotype" w:cs="Palatino Linotype"/>
          <w:i/>
          <w:color w:val="000000"/>
        </w:rPr>
        <w:t xml:space="preserve"> clasificados, se sujetará a lo siguiente:</w:t>
      </w:r>
    </w:p>
    <w:p w:rsidR="00FE761C" w:rsidRDefault="00DB7383">
      <w:pPr>
        <w:spacing w:after="0" w:line="240" w:lineRule="auto"/>
        <w:ind w:left="567" w:right="616"/>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rPr>
        <w:t>I.</w:t>
      </w:r>
      <w:r>
        <w:rPr>
          <w:rFonts w:ascii="Palatino Linotype" w:eastAsia="Palatino Linotype" w:hAnsi="Palatino Linotype" w:cs="Palatino Linotype"/>
          <w:i/>
          <w:color w:val="000000"/>
        </w:rPr>
        <w:t xml:space="preserve"> El Área deberá remitir la solicitud, así como un escrito en el que </w:t>
      </w:r>
      <w:r>
        <w:rPr>
          <w:rFonts w:ascii="Palatino Linotype" w:eastAsia="Palatino Linotype" w:hAnsi="Palatino Linotype" w:cs="Palatino Linotype"/>
          <w:b/>
          <w:i/>
          <w:color w:val="000000"/>
        </w:rPr>
        <w:t>funde y motive la clasificación al Comité de Transparencia</w:t>
      </w:r>
      <w:r>
        <w:rPr>
          <w:rFonts w:ascii="Palatino Linotype" w:eastAsia="Palatino Linotype" w:hAnsi="Palatino Linotype" w:cs="Palatino Linotype"/>
          <w:i/>
          <w:color w:val="000000"/>
        </w:rPr>
        <w:t>, mismo que deberá resolver para:</w:t>
      </w:r>
    </w:p>
    <w:p w:rsidR="00FE761C" w:rsidRDefault="00DB7383">
      <w:pPr>
        <w:spacing w:after="0" w:line="240" w:lineRule="auto"/>
        <w:ind w:left="567" w:right="616"/>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a</w:t>
      </w:r>
      <w:r>
        <w:rPr>
          <w:rFonts w:ascii="Palatino Linotype" w:eastAsia="Palatino Linotype" w:hAnsi="Palatino Linotype" w:cs="Palatino Linotype"/>
          <w:b/>
          <w:i/>
          <w:color w:val="000000"/>
        </w:rPr>
        <w:t>) Confirmar la clasificación;</w:t>
      </w:r>
    </w:p>
    <w:p w:rsidR="00FE761C" w:rsidRDefault="00DB7383">
      <w:pPr>
        <w:spacing w:after="0" w:line="240" w:lineRule="auto"/>
        <w:ind w:left="567" w:right="616"/>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b) Modificar la clas</w:t>
      </w:r>
      <w:r>
        <w:rPr>
          <w:rFonts w:ascii="Palatino Linotype" w:eastAsia="Palatino Linotype" w:hAnsi="Palatino Linotype" w:cs="Palatino Linotype"/>
          <w:i/>
          <w:color w:val="000000"/>
        </w:rPr>
        <w:t>ificación y otorgar total o parcialmente el acceso a la información; y c) Revocar la clasificación y conceder el acceso a la información.</w:t>
      </w:r>
    </w:p>
    <w:p w:rsidR="00FE761C" w:rsidRDefault="00DB7383">
      <w:pPr>
        <w:spacing w:after="0" w:line="240" w:lineRule="auto"/>
        <w:ind w:left="567" w:right="616"/>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rPr>
        <w:t>II.</w:t>
      </w:r>
      <w:r>
        <w:rPr>
          <w:rFonts w:ascii="Palatino Linotype" w:eastAsia="Palatino Linotype" w:hAnsi="Palatino Linotype" w:cs="Palatino Linotype"/>
          <w:i/>
          <w:color w:val="000000"/>
        </w:rPr>
        <w:t xml:space="preserve"> El Comité de Transparencia podrá tener acceso a la información que esté en poder del Área correspondiente, de la c</w:t>
      </w:r>
      <w:r>
        <w:rPr>
          <w:rFonts w:ascii="Palatino Linotype" w:eastAsia="Palatino Linotype" w:hAnsi="Palatino Linotype" w:cs="Palatino Linotype"/>
          <w:i/>
          <w:color w:val="000000"/>
        </w:rPr>
        <w:t>ual se haya solicitado su clasificación; y</w:t>
      </w:r>
    </w:p>
    <w:p w:rsidR="00FE761C" w:rsidRDefault="00DB7383">
      <w:pPr>
        <w:spacing w:after="0" w:line="240" w:lineRule="auto"/>
        <w:ind w:left="567" w:right="616"/>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rPr>
        <w:t>III.</w:t>
      </w:r>
      <w:r>
        <w:rPr>
          <w:rFonts w:ascii="Palatino Linotype" w:eastAsia="Palatino Linotype" w:hAnsi="Palatino Linotype" w:cs="Palatino Linotype"/>
          <w:i/>
          <w:color w:val="000000"/>
        </w:rPr>
        <w:t xml:space="preserve"> La resolución del Comité de Transparencia será notificada al interesado en el plazo de respuesta a la solicitud que establece esta Ley.</w:t>
      </w:r>
    </w:p>
    <w:p w:rsidR="00FE761C" w:rsidRDefault="00FE761C">
      <w:pPr>
        <w:spacing w:after="0" w:line="240" w:lineRule="auto"/>
        <w:rPr>
          <w:rFonts w:ascii="Times New Roman" w:eastAsia="Times New Roman" w:hAnsi="Times New Roman" w:cs="Times New Roman"/>
          <w:sz w:val="24"/>
          <w:szCs w:val="24"/>
        </w:rPr>
      </w:pPr>
    </w:p>
    <w:p w:rsidR="00FE761C" w:rsidRDefault="00DB7383">
      <w:pPr>
        <w:spacing w:after="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t xml:space="preserve">Hechas estas precisiones, se advierte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cumplió</w:t>
      </w:r>
      <w:r>
        <w:rPr>
          <w:rFonts w:ascii="Palatino Linotype" w:eastAsia="Palatino Linotype" w:hAnsi="Palatino Linotype" w:cs="Palatino Linotype"/>
          <w:color w:val="000000"/>
        </w:rPr>
        <w:t xml:space="preserve"> con lo señalado en lo procedente, toda vez que el acuerdo del Comité de Transparencia no funda y motiva de manera correcta la clasificación de los domicilios, creando con ello una incertidumbre </w:t>
      </w:r>
      <w:r>
        <w:rPr>
          <w:rFonts w:ascii="Palatino Linotype" w:eastAsia="Palatino Linotype" w:hAnsi="Palatino Linotype" w:cs="Palatino Linotype"/>
          <w:color w:val="000000"/>
        </w:rPr>
        <w:lastRenderedPageBreak/>
        <w:t xml:space="preserve">jurídica al particular por señalar que se genera una versión </w:t>
      </w:r>
      <w:r>
        <w:rPr>
          <w:rFonts w:ascii="Palatino Linotype" w:eastAsia="Palatino Linotype" w:hAnsi="Palatino Linotype" w:cs="Palatino Linotype"/>
          <w:color w:val="000000"/>
        </w:rPr>
        <w:t>pública pero al mismo tiempo invoca una clasificación como reservada y confidencial, contraviniendo lo establecido por el artículo 9, fracción I, VI, VIII y 11 párrafo primero de la ley de la Materia.</w:t>
      </w:r>
    </w:p>
    <w:p w:rsidR="00FE761C" w:rsidRDefault="00FE761C">
      <w:pPr>
        <w:spacing w:after="0" w:line="360" w:lineRule="auto"/>
        <w:rPr>
          <w:rFonts w:ascii="Times New Roman" w:eastAsia="Times New Roman" w:hAnsi="Times New Roman" w:cs="Times New Roman"/>
        </w:rPr>
      </w:pPr>
    </w:p>
    <w:p w:rsidR="00FE761C" w:rsidRDefault="00DB7383">
      <w:pPr>
        <w:spacing w:after="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t>Al respecto, el máximo tribunal del país ha establecid</w:t>
      </w:r>
      <w:r>
        <w:rPr>
          <w:rFonts w:ascii="Palatino Linotype" w:eastAsia="Palatino Linotype" w:hAnsi="Palatino Linotype" w:cs="Palatino Linotype"/>
          <w:color w:val="000000"/>
        </w:rPr>
        <w:t>o jurisprudencia respecto a qué debe entenderse por fundamentación y motivación, en los siguientes términos:</w:t>
      </w:r>
    </w:p>
    <w:p w:rsidR="00FE761C" w:rsidRDefault="00FE761C">
      <w:pPr>
        <w:spacing w:after="0" w:line="240" w:lineRule="auto"/>
        <w:rPr>
          <w:rFonts w:ascii="Times New Roman" w:eastAsia="Times New Roman" w:hAnsi="Times New Roman" w:cs="Times New Roman"/>
          <w:sz w:val="24"/>
          <w:szCs w:val="24"/>
        </w:rPr>
      </w:pPr>
    </w:p>
    <w:p w:rsidR="00FE761C" w:rsidRDefault="00DB7383">
      <w:pPr>
        <w:spacing w:after="0" w:line="240" w:lineRule="auto"/>
        <w:ind w:left="851" w:right="850"/>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rPr>
        <w:t xml:space="preserve">“FUNDAMENTACION Y MOTIVACION. </w:t>
      </w:r>
      <w:r>
        <w:rPr>
          <w:rFonts w:ascii="Palatino Linotype" w:eastAsia="Palatino Linotype" w:hAnsi="Palatino Linotype" w:cs="Palatino Linotype"/>
          <w:i/>
          <w:color w:val="000000"/>
        </w:rPr>
        <w:t xml:space="preserve">La </w:t>
      </w:r>
      <w:r>
        <w:rPr>
          <w:rFonts w:ascii="Palatino Linotype" w:eastAsia="Palatino Linotype" w:hAnsi="Palatino Linotype" w:cs="Palatino Linotype"/>
          <w:b/>
          <w:i/>
          <w:color w:val="000000"/>
          <w:u w:val="single"/>
        </w:rPr>
        <w:t xml:space="preserve">debida fundamentación y motivación legal, deben entenderse, por lo primero, la cita del precepto legal aplicable </w:t>
      </w:r>
      <w:r>
        <w:rPr>
          <w:rFonts w:ascii="Palatino Linotype" w:eastAsia="Palatino Linotype" w:hAnsi="Palatino Linotype" w:cs="Palatino Linotype"/>
          <w:b/>
          <w:i/>
          <w:color w:val="000000"/>
          <w:u w:val="single"/>
        </w:rPr>
        <w:t>al caso, y por lo segundo, las razones, motivos o circunstancias especiales que llevaron a la autoridad a concluir que el caso particular encuadra en el supuesto previsto por la norma legal invocada como fundamento</w:t>
      </w:r>
      <w:r>
        <w:rPr>
          <w:rFonts w:ascii="Palatino Linotype" w:eastAsia="Palatino Linotype" w:hAnsi="Palatino Linotype" w:cs="Palatino Linotype"/>
          <w:i/>
          <w:color w:val="000000"/>
        </w:rPr>
        <w:t>.</w:t>
      </w:r>
    </w:p>
    <w:p w:rsidR="00FE761C" w:rsidRDefault="00DB7383">
      <w:pPr>
        <w:spacing w:after="0" w:line="240" w:lineRule="auto"/>
        <w:ind w:left="851" w:right="850"/>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rPr>
        <w:t>…” </w:t>
      </w:r>
    </w:p>
    <w:p w:rsidR="00FE761C" w:rsidRDefault="00FE761C">
      <w:pPr>
        <w:spacing w:after="0" w:line="240" w:lineRule="auto"/>
        <w:rPr>
          <w:rFonts w:ascii="Times New Roman" w:eastAsia="Times New Roman" w:hAnsi="Times New Roman" w:cs="Times New Roman"/>
          <w:sz w:val="24"/>
          <w:szCs w:val="24"/>
        </w:rPr>
      </w:pPr>
    </w:p>
    <w:p w:rsidR="00FE761C" w:rsidRDefault="00DB7383">
      <w:pPr>
        <w:spacing w:after="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t>Así, en un acto de autoridad se sur</w:t>
      </w:r>
      <w:r>
        <w:rPr>
          <w:rFonts w:ascii="Palatino Linotype" w:eastAsia="Palatino Linotype" w:hAnsi="Palatino Linotype" w:cs="Palatino Linotype"/>
          <w:color w:val="000000"/>
        </w:rPr>
        <w:t>te la debida fundamentación cuando se cita el precepto legal aplicable al caso concreto y la debida motivación cuando se expresan las razones, motivos o circunstancias que tomó en cuenta la autoridad para adecuar el hecho a los fundamentos de derecho.</w:t>
      </w:r>
    </w:p>
    <w:p w:rsidR="00FE761C" w:rsidRDefault="00FE761C">
      <w:pPr>
        <w:spacing w:after="0" w:line="360" w:lineRule="auto"/>
        <w:rPr>
          <w:rFonts w:ascii="Times New Roman" w:eastAsia="Times New Roman" w:hAnsi="Times New Roman" w:cs="Times New Roman"/>
        </w:rPr>
      </w:pPr>
    </w:p>
    <w:p w:rsidR="00FE761C" w:rsidRDefault="00DB7383">
      <w:pPr>
        <w:spacing w:after="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t>Más</w:t>
      </w:r>
      <w:r>
        <w:rPr>
          <w:rFonts w:ascii="Palatino Linotype" w:eastAsia="Palatino Linotype" w:hAnsi="Palatino Linotype" w:cs="Palatino Linotype"/>
          <w:color w:val="000000"/>
        </w:rPr>
        <w:t xml:space="preserve"> aún, a través de diversa jurisprudencia dictada por el Poder Judicial de la Federación se sostiene que la finalidad de la fundamentación o motivación es la de explicar, justificar, posibilitar la defensa y comunicar la decisión de la autoridad:</w:t>
      </w:r>
    </w:p>
    <w:p w:rsidR="00FE761C" w:rsidRDefault="00FE761C">
      <w:pPr>
        <w:spacing w:after="0" w:line="240" w:lineRule="auto"/>
        <w:rPr>
          <w:rFonts w:ascii="Times New Roman" w:eastAsia="Times New Roman" w:hAnsi="Times New Roman" w:cs="Times New Roman"/>
          <w:sz w:val="24"/>
          <w:szCs w:val="24"/>
        </w:rPr>
      </w:pPr>
    </w:p>
    <w:p w:rsidR="00FE761C" w:rsidRDefault="00DB7383">
      <w:pPr>
        <w:spacing w:after="0" w:line="240" w:lineRule="auto"/>
        <w:ind w:left="851" w:right="899"/>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rPr>
        <w:t xml:space="preserve">“FUNDAMENTACIÓN Y MOTIVACIÓN. EL ASPECTO FORMAL DE LA GARANTÍA Y SU FINALIDAD SE TRADUCEN EN EXPLICAR, JUSTIFICAR, POSIBILITAR LA DEFENSA Y COMUNICAR LA </w:t>
      </w:r>
      <w:r>
        <w:rPr>
          <w:rFonts w:ascii="Palatino Linotype" w:eastAsia="Palatino Linotype" w:hAnsi="Palatino Linotype" w:cs="Palatino Linotype"/>
          <w:b/>
          <w:i/>
          <w:color w:val="000000"/>
        </w:rPr>
        <w:lastRenderedPageBreak/>
        <w:t>DECISIÓN</w:t>
      </w:r>
      <w:r>
        <w:rPr>
          <w:rFonts w:ascii="Palatino Linotype" w:eastAsia="Palatino Linotype" w:hAnsi="Palatino Linotype" w:cs="Palatino Linotype"/>
          <w:i/>
          <w:color w:val="000000"/>
        </w:rPr>
        <w:t>. El contenido formal de la garantía de legalidad prevista en el artículo 16 constitucional rel</w:t>
      </w:r>
      <w:r>
        <w:rPr>
          <w:rFonts w:ascii="Palatino Linotype" w:eastAsia="Palatino Linotype" w:hAnsi="Palatino Linotype" w:cs="Palatino Linotype"/>
          <w:i/>
          <w:color w:val="000000"/>
        </w:rPr>
        <w:t>ativa a la fundamentación</w:t>
      </w:r>
      <w:r>
        <w:rPr>
          <w:rFonts w:ascii="Palatino Linotype" w:eastAsia="Palatino Linotype" w:hAnsi="Palatino Linotype" w:cs="Palatino Linotype"/>
          <w:b/>
          <w:i/>
          <w:color w:val="000000"/>
        </w:rPr>
        <w:t xml:space="preserve"> y motivación tiene como propósito primordial y ratio que el justiciable conozca el "para qué" de la conducta de la autoridad, lo que se traduce en darle a conocer en detalle y de manera completa la esencia de todas las circunstanc</w:t>
      </w:r>
      <w:r>
        <w:rPr>
          <w:rFonts w:ascii="Palatino Linotype" w:eastAsia="Palatino Linotype" w:hAnsi="Palatino Linotype" w:cs="Palatino Linotype"/>
          <w:b/>
          <w:i/>
          <w:color w:val="000000"/>
        </w:rPr>
        <w:t>ias y condiciones que determinaron el acto de voluntad, de manera que sea evidente y muy claro para el afectado poder cuestionar y controvertir el mérito de la decisión, permitiéndole una real y auténtica defensa</w:t>
      </w:r>
      <w:r>
        <w:rPr>
          <w:rFonts w:ascii="Palatino Linotype" w:eastAsia="Palatino Linotype" w:hAnsi="Palatino Linotype" w:cs="Palatino Linotype"/>
          <w:i/>
          <w:color w:val="000000"/>
        </w:rPr>
        <w:t xml:space="preserve">. Por tanto, </w:t>
      </w:r>
      <w:r>
        <w:rPr>
          <w:rFonts w:ascii="Palatino Linotype" w:eastAsia="Palatino Linotype" w:hAnsi="Palatino Linotype" w:cs="Palatino Linotype"/>
          <w:b/>
          <w:i/>
          <w:color w:val="000000"/>
          <w:u w:val="single"/>
        </w:rPr>
        <w:t>no basta que el acto de autorid</w:t>
      </w:r>
      <w:r>
        <w:rPr>
          <w:rFonts w:ascii="Palatino Linotype" w:eastAsia="Palatino Linotype" w:hAnsi="Palatino Linotype" w:cs="Palatino Linotype"/>
          <w:b/>
          <w:i/>
          <w:color w:val="000000"/>
          <w:u w:val="single"/>
        </w:rPr>
        <w:t>ad apenas observe una motivación pro forma pero de una manera incongruente, insuficiente o imprecisa</w:t>
      </w:r>
      <w:r>
        <w:rPr>
          <w:rFonts w:ascii="Palatino Linotype" w:eastAsia="Palatino Linotype" w:hAnsi="Palatino Linotype" w:cs="Palatino Linotype"/>
          <w:i/>
          <w:color w:val="000000"/>
        </w:rPr>
        <w:t>, que impida la finalidad del conocimiento, comprobación y defensa pertinente</w:t>
      </w:r>
      <w:r>
        <w:rPr>
          <w:rFonts w:ascii="Palatino Linotype" w:eastAsia="Palatino Linotype" w:hAnsi="Palatino Linotype" w:cs="Palatino Linotype"/>
          <w:b/>
          <w:i/>
          <w:color w:val="000000"/>
          <w:u w:val="single"/>
        </w:rPr>
        <w:t>, ni es válido exigirle una amplitud o abundancia superflua, pues es suficiente</w:t>
      </w:r>
      <w:r>
        <w:rPr>
          <w:rFonts w:ascii="Palatino Linotype" w:eastAsia="Palatino Linotype" w:hAnsi="Palatino Linotype" w:cs="Palatino Linotype"/>
          <w:b/>
          <w:i/>
          <w:color w:val="000000"/>
          <w:u w:val="single"/>
        </w:rPr>
        <w:t xml:space="preserve"> la expresión de lo estrictamente necesario para explicar, justificar y posibilitar la defensa, así como para comunicar la decisión a efecto de que se considere debidamente fundado y motivado, exponiendo los hechos relevantes para decidir, citando la norma</w:t>
      </w:r>
      <w:r>
        <w:rPr>
          <w:rFonts w:ascii="Palatino Linotype" w:eastAsia="Palatino Linotype" w:hAnsi="Palatino Linotype" w:cs="Palatino Linotype"/>
          <w:b/>
          <w:i/>
          <w:color w:val="000000"/>
          <w:u w:val="single"/>
        </w:rPr>
        <w:t xml:space="preserve"> habilitante y un argumento mínimo pero suficiente para acreditar el razonamiento del que se deduzca la relación de pertenencia lógica de los hechos al derecho invocado, que es la subsunción</w:t>
      </w:r>
      <w:r>
        <w:rPr>
          <w:rFonts w:ascii="Palatino Linotype" w:eastAsia="Palatino Linotype" w:hAnsi="Palatino Linotype" w:cs="Palatino Linotype"/>
          <w:i/>
          <w:color w:val="000000"/>
        </w:rPr>
        <w:t>.” Énfasis añadido.</w:t>
      </w:r>
    </w:p>
    <w:p w:rsidR="00FE761C" w:rsidRDefault="00DB7383">
      <w:pPr>
        <w:spacing w:before="240" w:after="24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t>En consecuencia, la fundamentación y motivació</w:t>
      </w:r>
      <w:r>
        <w:rPr>
          <w:rFonts w:ascii="Palatino Linotype" w:eastAsia="Palatino Linotype" w:hAnsi="Palatino Linotype" w:cs="Palatino Linotype"/>
          <w:color w:val="000000"/>
        </w:rPr>
        <w:t>n implica que en el acto de autoridad, además de contener los supuestos jurídicos aplicables debe explicar claramente por qué a través de la utilización de la norma se emitió el acto. De este modo, la persona que se siente afectada podrá impugnar la decisi</w:t>
      </w:r>
      <w:r>
        <w:rPr>
          <w:rFonts w:ascii="Palatino Linotype" w:eastAsia="Palatino Linotype" w:hAnsi="Palatino Linotype" w:cs="Palatino Linotype"/>
          <w:color w:val="000000"/>
        </w:rPr>
        <w:t>ón, permitiéndole una real y auténtica defensa, circunstancia que en el presente asunto no sucedió.</w:t>
      </w:r>
    </w:p>
    <w:p w:rsidR="00FE761C" w:rsidRDefault="00DB7383">
      <w:pPr>
        <w:shd w:val="clear" w:color="auto" w:fill="FFFFFF"/>
        <w:spacing w:after="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t>Aunado a ello no se debe perder de vista que la clasificación es el proceso mediante el cual el sujeto obligado determina que la información en su poder act</w:t>
      </w:r>
      <w:r>
        <w:rPr>
          <w:rFonts w:ascii="Palatino Linotype" w:eastAsia="Palatino Linotype" w:hAnsi="Palatino Linotype" w:cs="Palatino Linotype"/>
          <w:color w:val="000000"/>
        </w:rPr>
        <w:t xml:space="preserve">ualiza alguno de los supuestos de reserva o confidencialidad, los cuales deberán ser acordes con las bases, principios y disposiciones establecidos en </w:t>
      </w:r>
      <w:r w:rsidRPr="005548B2">
        <w:rPr>
          <w:rFonts w:ascii="Palatino Linotype" w:eastAsia="Palatino Linotype" w:hAnsi="Palatino Linotype" w:cs="Palatino Linotype"/>
          <w:color w:val="000000"/>
        </w:rPr>
        <w:t>l</w:t>
      </w:r>
      <w:r w:rsidRPr="005548B2">
        <w:rPr>
          <w:rFonts w:ascii="Palatino Linotype" w:eastAsia="Palatino Linotype" w:hAnsi="Palatino Linotype" w:cs="Palatino Linotype"/>
          <w:color w:val="000000"/>
        </w:rPr>
        <w:t>a Ley General de Transparencia</w:t>
      </w:r>
      <w:r w:rsidR="005548B2" w:rsidRPr="005548B2">
        <w:rPr>
          <w:rFonts w:ascii="Palatino Linotype" w:eastAsia="Palatino Linotype" w:hAnsi="Palatino Linotype" w:cs="Palatino Linotype"/>
          <w:color w:val="000000"/>
        </w:rPr>
        <w:t xml:space="preserve">, vigente a la fecha </w:t>
      </w:r>
      <w:r w:rsidR="005548B2" w:rsidRPr="005548B2">
        <w:rPr>
          <w:rFonts w:ascii="Palatino Linotype" w:eastAsia="Palatino Linotype" w:hAnsi="Palatino Linotype" w:cs="Palatino Linotype"/>
          <w:color w:val="000000"/>
        </w:rPr>
        <w:lastRenderedPageBreak/>
        <w:t>de la solicitud</w:t>
      </w:r>
      <w:r w:rsidRPr="005548B2">
        <w:rPr>
          <w:rFonts w:ascii="Palatino Linotype" w:eastAsia="Palatino Linotype" w:hAnsi="Palatino Linotype" w:cs="Palatino Linotype"/>
          <w:color w:val="000000"/>
        </w:rPr>
        <w:t>, a</w:t>
      </w:r>
      <w:r w:rsidRPr="005548B2">
        <w:rPr>
          <w:rFonts w:ascii="Palatino Linotype" w:eastAsia="Palatino Linotype" w:hAnsi="Palatino Linotype" w:cs="Palatino Linotype"/>
          <w:color w:val="000000"/>
        </w:rPr>
        <w:t>l</w:t>
      </w:r>
      <w:bookmarkStart w:id="1" w:name="_GoBack"/>
      <w:bookmarkEnd w:id="1"/>
      <w:r>
        <w:rPr>
          <w:rFonts w:ascii="Palatino Linotype" w:eastAsia="Palatino Linotype" w:hAnsi="Palatino Linotype" w:cs="Palatino Linotype"/>
          <w:color w:val="000000"/>
        </w:rPr>
        <w:t xml:space="preserve"> respecto, conviene referir que la Ley de Transparencia vigente en el </w:t>
      </w:r>
      <w:r>
        <w:rPr>
          <w:rFonts w:ascii="Palatino Linotype" w:eastAsia="Palatino Linotype" w:hAnsi="Palatino Linotype" w:cs="Palatino Linotype"/>
          <w:color w:val="000000"/>
        </w:rPr>
        <w:t>Estado de México establece lo siguiente:</w:t>
      </w:r>
    </w:p>
    <w:p w:rsidR="00FE761C" w:rsidRDefault="00FE761C">
      <w:pPr>
        <w:shd w:val="clear" w:color="auto" w:fill="FFFFFF"/>
        <w:spacing w:after="0" w:line="360" w:lineRule="auto"/>
        <w:jc w:val="both"/>
        <w:rPr>
          <w:rFonts w:ascii="Times New Roman" w:eastAsia="Times New Roman" w:hAnsi="Times New Roman" w:cs="Times New Roman"/>
        </w:rPr>
      </w:pPr>
    </w:p>
    <w:p w:rsidR="00FE761C" w:rsidRDefault="00DB7383">
      <w:pPr>
        <w:shd w:val="clear" w:color="auto" w:fill="FFFFFF"/>
        <w:spacing w:after="0" w:line="240" w:lineRule="auto"/>
        <w:ind w:left="851" w:right="851"/>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rPr>
        <w:t>Artículo 131.</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u w:val="single"/>
        </w:rPr>
        <w:t>La carga de la prueba para justificar toda negativa de acceso a la información, por actualizarse cualquiera de los supuestos de clasificación</w:t>
      </w:r>
      <w:r>
        <w:rPr>
          <w:rFonts w:ascii="Palatino Linotype" w:eastAsia="Palatino Linotype" w:hAnsi="Palatino Linotype" w:cs="Palatino Linotype"/>
          <w:i/>
          <w:color w:val="000000"/>
        </w:rPr>
        <w:t xml:space="preserve"> previstos en esta Ley </w:t>
      </w:r>
      <w:r>
        <w:rPr>
          <w:rFonts w:ascii="Palatino Linotype" w:eastAsia="Palatino Linotype" w:hAnsi="Palatino Linotype" w:cs="Palatino Linotype"/>
          <w:b/>
          <w:i/>
          <w:color w:val="000000"/>
          <w:u w:val="single"/>
        </w:rPr>
        <w:t>corresponderá a los sujetos obligado</w:t>
      </w:r>
      <w:r>
        <w:rPr>
          <w:rFonts w:ascii="Palatino Linotype" w:eastAsia="Palatino Linotype" w:hAnsi="Palatino Linotype" w:cs="Palatino Linotype"/>
          <w:b/>
          <w:i/>
          <w:color w:val="000000"/>
          <w:u w:val="single"/>
        </w:rPr>
        <w:t>s; en tal caso deberá fundar y motivar debidamente la clasificación de la información</w:t>
      </w:r>
      <w:r>
        <w:rPr>
          <w:rFonts w:ascii="Palatino Linotype" w:eastAsia="Palatino Linotype" w:hAnsi="Palatino Linotype" w:cs="Palatino Linotype"/>
          <w:i/>
          <w:color w:val="000000"/>
        </w:rPr>
        <w:t>, de conformidad con lo previsto en la presente Ley.</w:t>
      </w:r>
    </w:p>
    <w:p w:rsidR="00FE761C" w:rsidRDefault="00FE761C">
      <w:pPr>
        <w:shd w:val="clear" w:color="auto" w:fill="FFFFFF"/>
        <w:spacing w:after="0" w:line="240" w:lineRule="auto"/>
        <w:ind w:left="851" w:right="851"/>
        <w:jc w:val="both"/>
        <w:rPr>
          <w:rFonts w:ascii="Times New Roman" w:eastAsia="Times New Roman" w:hAnsi="Times New Roman" w:cs="Times New Roman"/>
          <w:sz w:val="24"/>
          <w:szCs w:val="24"/>
        </w:rPr>
      </w:pPr>
    </w:p>
    <w:p w:rsidR="00FE761C" w:rsidRDefault="00DB7383">
      <w:pPr>
        <w:shd w:val="clear" w:color="auto" w:fill="FFFFFF"/>
        <w:spacing w:after="0" w:line="240" w:lineRule="auto"/>
        <w:ind w:left="851" w:right="851"/>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rPr>
        <w:t>Artículo 132.</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u w:val="single"/>
        </w:rPr>
        <w:t>La clasificación de la información se llevará a cabo</w:t>
      </w:r>
      <w:r>
        <w:rPr>
          <w:rFonts w:ascii="Palatino Linotype" w:eastAsia="Palatino Linotype" w:hAnsi="Palatino Linotype" w:cs="Palatino Linotype"/>
          <w:i/>
          <w:color w:val="000000"/>
        </w:rPr>
        <w:t xml:space="preserve"> en el momento en que:</w:t>
      </w:r>
    </w:p>
    <w:p w:rsidR="00FE761C" w:rsidRDefault="00DB7383">
      <w:pPr>
        <w:shd w:val="clear" w:color="auto" w:fill="FFFFFF"/>
        <w:spacing w:after="0" w:line="240" w:lineRule="auto"/>
        <w:ind w:left="851" w:right="851"/>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rPr>
        <w:t>I.</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u w:val="single"/>
        </w:rPr>
        <w:t>Se reciba una solicitud d</w:t>
      </w:r>
      <w:r>
        <w:rPr>
          <w:rFonts w:ascii="Palatino Linotype" w:eastAsia="Palatino Linotype" w:hAnsi="Palatino Linotype" w:cs="Palatino Linotype"/>
          <w:b/>
          <w:i/>
          <w:color w:val="000000"/>
          <w:u w:val="single"/>
        </w:rPr>
        <w:t>e acceso a la información</w:t>
      </w:r>
      <w:r>
        <w:rPr>
          <w:rFonts w:ascii="Palatino Linotype" w:eastAsia="Palatino Linotype" w:hAnsi="Palatino Linotype" w:cs="Palatino Linotype"/>
          <w:i/>
          <w:color w:val="000000"/>
        </w:rPr>
        <w:t>;</w:t>
      </w:r>
    </w:p>
    <w:p w:rsidR="00FE761C" w:rsidRDefault="00DB7383">
      <w:pPr>
        <w:shd w:val="clear" w:color="auto" w:fill="FFFFFF"/>
        <w:spacing w:after="0" w:line="240" w:lineRule="auto"/>
        <w:ind w:left="851" w:right="851"/>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rPr>
        <w:t>II.</w:t>
      </w:r>
      <w:r>
        <w:rPr>
          <w:rFonts w:ascii="Palatino Linotype" w:eastAsia="Palatino Linotype" w:hAnsi="Palatino Linotype" w:cs="Palatino Linotype"/>
          <w:i/>
          <w:color w:val="000000"/>
        </w:rPr>
        <w:t xml:space="preserve"> Se determine mediante resolución de autoridad competente; o</w:t>
      </w:r>
    </w:p>
    <w:p w:rsidR="00FE761C" w:rsidRDefault="00DB7383">
      <w:pPr>
        <w:shd w:val="clear" w:color="auto" w:fill="FFFFFF"/>
        <w:spacing w:after="0" w:line="240" w:lineRule="auto"/>
        <w:ind w:left="851" w:right="851"/>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rPr>
        <w:t>III.</w:t>
      </w:r>
      <w:r>
        <w:rPr>
          <w:rFonts w:ascii="Palatino Linotype" w:eastAsia="Palatino Linotype" w:hAnsi="Palatino Linotype" w:cs="Palatino Linotype"/>
          <w:i/>
          <w:color w:val="000000"/>
        </w:rPr>
        <w:t xml:space="preserve"> Se generen versiones públicas para dar cumplimiento a las obligaciones de transparencia previstas en esta Ley.</w:t>
      </w:r>
    </w:p>
    <w:p w:rsidR="00FE761C" w:rsidRDefault="00FE761C">
      <w:pPr>
        <w:shd w:val="clear" w:color="auto" w:fill="FFFFFF"/>
        <w:spacing w:after="0" w:line="240" w:lineRule="auto"/>
        <w:ind w:left="851" w:right="851"/>
        <w:jc w:val="both"/>
        <w:rPr>
          <w:rFonts w:ascii="Times New Roman" w:eastAsia="Times New Roman" w:hAnsi="Times New Roman" w:cs="Times New Roman"/>
          <w:sz w:val="24"/>
          <w:szCs w:val="24"/>
        </w:rPr>
      </w:pPr>
    </w:p>
    <w:p w:rsidR="00FE761C" w:rsidRDefault="00DB7383">
      <w:pPr>
        <w:shd w:val="clear" w:color="auto" w:fill="FFFFFF"/>
        <w:spacing w:after="0" w:line="240" w:lineRule="auto"/>
        <w:ind w:left="851" w:right="851"/>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Tratándose de información reservada, los titular</w:t>
      </w:r>
      <w:r>
        <w:rPr>
          <w:rFonts w:ascii="Palatino Linotype" w:eastAsia="Palatino Linotype" w:hAnsi="Palatino Linotype" w:cs="Palatino Linotype"/>
          <w:i/>
          <w:color w:val="000000"/>
        </w:rPr>
        <w:t>es de las áreas deberán revisar la clasificación al momento de la recepción de una solicitud, para verificar si subsisten las causas que le dieron origen.</w:t>
      </w:r>
    </w:p>
    <w:p w:rsidR="00FE761C" w:rsidRDefault="00FE761C">
      <w:pPr>
        <w:shd w:val="clear" w:color="auto" w:fill="FFFFFF"/>
        <w:spacing w:after="0" w:line="240" w:lineRule="auto"/>
        <w:ind w:left="851" w:right="851"/>
        <w:jc w:val="both"/>
        <w:rPr>
          <w:rFonts w:ascii="Times New Roman" w:eastAsia="Times New Roman" w:hAnsi="Times New Roman" w:cs="Times New Roman"/>
          <w:sz w:val="24"/>
          <w:szCs w:val="24"/>
        </w:rPr>
      </w:pPr>
    </w:p>
    <w:p w:rsidR="00FE761C" w:rsidRDefault="00DB7383">
      <w:pPr>
        <w:spacing w:after="0" w:line="240" w:lineRule="auto"/>
        <w:ind w:left="851" w:right="851"/>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rPr>
        <w:t>Artículo 134.</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u w:val="single"/>
        </w:rPr>
        <w:t>Los sujetos obligados no podrán emitir acuerdos de carácter general</w:t>
      </w:r>
      <w:r>
        <w:rPr>
          <w:rFonts w:ascii="Palatino Linotype" w:eastAsia="Palatino Linotype" w:hAnsi="Palatino Linotype" w:cs="Palatino Linotype"/>
          <w:i/>
          <w:color w:val="000000"/>
        </w:rPr>
        <w:t xml:space="preserve"> ni particular que </w:t>
      </w:r>
      <w:r>
        <w:rPr>
          <w:rFonts w:ascii="Palatino Linotype" w:eastAsia="Palatino Linotype" w:hAnsi="Palatino Linotype" w:cs="Palatino Linotype"/>
          <w:i/>
          <w:color w:val="000000"/>
        </w:rPr>
        <w:t xml:space="preserve">clasifiquen documentos o información como reservada. La clasificación podrá establecerse de manera parcial o total de acuerdo al contenido de la información del documento y deberá estar acorde con la actualización de los supuestos definidos en el presente </w:t>
      </w:r>
      <w:r>
        <w:rPr>
          <w:rFonts w:ascii="Palatino Linotype" w:eastAsia="Palatino Linotype" w:hAnsi="Palatino Linotype" w:cs="Palatino Linotype"/>
          <w:i/>
          <w:color w:val="000000"/>
        </w:rPr>
        <w:t>Título como información clasificada.</w:t>
      </w:r>
    </w:p>
    <w:p w:rsidR="00FE761C" w:rsidRDefault="00FE761C">
      <w:pPr>
        <w:spacing w:after="0" w:line="240" w:lineRule="auto"/>
        <w:rPr>
          <w:rFonts w:ascii="Times New Roman" w:eastAsia="Times New Roman" w:hAnsi="Times New Roman" w:cs="Times New Roman"/>
          <w:sz w:val="24"/>
          <w:szCs w:val="24"/>
        </w:rPr>
      </w:pPr>
    </w:p>
    <w:p w:rsidR="00FE761C" w:rsidRDefault="00DB7383">
      <w:pPr>
        <w:spacing w:after="0" w:line="240" w:lineRule="auto"/>
        <w:ind w:left="851" w:right="851"/>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u w:val="single"/>
        </w:rPr>
        <w:t>En ningún caso se podrán clasificar documentos antes de que se genere la información</w:t>
      </w:r>
      <w:r>
        <w:rPr>
          <w:rFonts w:ascii="Palatino Linotype" w:eastAsia="Palatino Linotype" w:hAnsi="Palatino Linotype" w:cs="Palatino Linotype"/>
          <w:i/>
          <w:color w:val="000000"/>
        </w:rPr>
        <w:t>.</w:t>
      </w:r>
    </w:p>
    <w:p w:rsidR="00FE761C" w:rsidRDefault="00FE761C">
      <w:pPr>
        <w:spacing w:after="0" w:line="240" w:lineRule="auto"/>
        <w:rPr>
          <w:rFonts w:ascii="Times New Roman" w:eastAsia="Times New Roman" w:hAnsi="Times New Roman" w:cs="Times New Roman"/>
          <w:sz w:val="24"/>
          <w:szCs w:val="24"/>
        </w:rPr>
      </w:pPr>
    </w:p>
    <w:p w:rsidR="00FE761C" w:rsidRDefault="00DB7383">
      <w:pPr>
        <w:spacing w:after="0" w:line="240" w:lineRule="auto"/>
        <w:ind w:left="851" w:right="851"/>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La clasificación de información se realizará conforme a un análisis caso por caso, mediante la aplicación de la prueba de daño.</w:t>
      </w:r>
    </w:p>
    <w:p w:rsidR="00FE761C" w:rsidRDefault="00FE761C">
      <w:pPr>
        <w:spacing w:after="0" w:line="240" w:lineRule="auto"/>
        <w:rPr>
          <w:rFonts w:ascii="Times New Roman" w:eastAsia="Times New Roman" w:hAnsi="Times New Roman" w:cs="Times New Roman"/>
          <w:sz w:val="24"/>
          <w:szCs w:val="24"/>
        </w:rPr>
      </w:pPr>
    </w:p>
    <w:p w:rsidR="00FE761C" w:rsidRDefault="00DB7383">
      <w:pPr>
        <w:spacing w:after="0" w:line="240" w:lineRule="auto"/>
        <w:ind w:left="851" w:right="851"/>
        <w:jc w:val="both"/>
        <w:rPr>
          <w:rFonts w:ascii="Times New Roman" w:eastAsia="Times New Roman" w:hAnsi="Times New Roman" w:cs="Times New Roman"/>
          <w:sz w:val="24"/>
          <w:szCs w:val="24"/>
        </w:rPr>
      </w:pPr>
      <w:r>
        <w:rPr>
          <w:rFonts w:ascii="Palatino Linotype" w:eastAsia="Palatino Linotype" w:hAnsi="Palatino Linotype" w:cs="Palatino Linotype"/>
          <w:b/>
          <w:i/>
          <w:color w:val="000000"/>
        </w:rPr>
        <w:lastRenderedPageBreak/>
        <w:t>Artículo 135.</w:t>
      </w:r>
      <w:r>
        <w:rPr>
          <w:rFonts w:ascii="Palatino Linotype" w:eastAsia="Palatino Linotype" w:hAnsi="Palatino Linotype" w:cs="Palatino Linotype"/>
          <w:i/>
          <w:color w:val="000000"/>
        </w:rPr>
        <w:t xml:space="preserve"> Los lineamientos generales que se emitan al respecto en materia de clasificación de la información reservada y confidencial y, para la elaboración de versiones públicas, serán de observancia obligatoria para los sujetos obligados.</w:t>
      </w:r>
    </w:p>
    <w:p w:rsidR="00FE761C" w:rsidRDefault="00FE761C">
      <w:pPr>
        <w:spacing w:after="0" w:line="240" w:lineRule="auto"/>
        <w:rPr>
          <w:rFonts w:ascii="Times New Roman" w:eastAsia="Times New Roman" w:hAnsi="Times New Roman" w:cs="Times New Roman"/>
          <w:sz w:val="24"/>
          <w:szCs w:val="24"/>
        </w:rPr>
      </w:pPr>
    </w:p>
    <w:p w:rsidR="00FE761C" w:rsidRDefault="00DB7383">
      <w:pPr>
        <w:spacing w:after="0" w:line="240" w:lineRule="auto"/>
        <w:ind w:left="851" w:right="851"/>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(Énfasis a</w:t>
      </w:r>
      <w:r>
        <w:rPr>
          <w:rFonts w:ascii="Palatino Linotype" w:eastAsia="Palatino Linotype" w:hAnsi="Palatino Linotype" w:cs="Palatino Linotype"/>
          <w:i/>
          <w:color w:val="000000"/>
        </w:rPr>
        <w:t>ñadido)</w:t>
      </w:r>
    </w:p>
    <w:p w:rsidR="00FE761C" w:rsidRDefault="00FE761C">
      <w:pPr>
        <w:spacing w:after="0" w:line="240" w:lineRule="auto"/>
        <w:rPr>
          <w:rFonts w:ascii="Times New Roman" w:eastAsia="Times New Roman" w:hAnsi="Times New Roman" w:cs="Times New Roman"/>
          <w:sz w:val="24"/>
          <w:szCs w:val="24"/>
        </w:rPr>
      </w:pPr>
    </w:p>
    <w:p w:rsidR="00FE761C" w:rsidRDefault="00DB7383">
      <w:pPr>
        <w:spacing w:before="240" w:after="24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t>De la normatividad se aprecia que l</w:t>
      </w:r>
      <w:r>
        <w:rPr>
          <w:rFonts w:ascii="Palatino Linotype" w:eastAsia="Palatino Linotype" w:hAnsi="Palatino Linotype" w:cs="Palatino Linotype"/>
          <w:b/>
          <w:color w:val="000000"/>
        </w:rPr>
        <w:t xml:space="preserve">a </w:t>
      </w:r>
      <w:r>
        <w:rPr>
          <w:rFonts w:ascii="Palatino Linotype" w:eastAsia="Palatino Linotype" w:hAnsi="Palatino Linotype" w:cs="Palatino Linotype"/>
          <w:color w:val="000000"/>
        </w:rPr>
        <w:t>carga de la prueba para justificar toda negativa de acceso a la información, por actualizarse cualquiera de los supuestos de clasificación corresponde a los sujetos obligados; en tal caso deberá fundar y motivar debidamente la clasificación de la informaci</w:t>
      </w:r>
      <w:r>
        <w:rPr>
          <w:rFonts w:ascii="Palatino Linotype" w:eastAsia="Palatino Linotype" w:hAnsi="Palatino Linotype" w:cs="Palatino Linotype"/>
          <w:color w:val="000000"/>
        </w:rPr>
        <w:t xml:space="preserve">ón, la cual se llevará a cabo en el momento en que </w:t>
      </w:r>
      <w:r>
        <w:rPr>
          <w:rFonts w:ascii="Palatino Linotype" w:eastAsia="Palatino Linotype" w:hAnsi="Palatino Linotype" w:cs="Palatino Linotype"/>
          <w:i/>
          <w:color w:val="000000"/>
        </w:rPr>
        <w:t>se reciba una solicitud de acceso a la información;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determine mediante resolución de autoridad competente; 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generen versiones públicas para dar cumplimiento a las obligaciones de transparencia,</w:t>
      </w:r>
      <w:r>
        <w:rPr>
          <w:rFonts w:ascii="Palatino Linotype" w:eastAsia="Palatino Linotype" w:hAnsi="Palatino Linotype" w:cs="Palatino Linotype"/>
          <w:color w:val="000000"/>
        </w:rPr>
        <w:t xml:space="preserve"> cabe menci</w:t>
      </w:r>
      <w:r>
        <w:rPr>
          <w:rFonts w:ascii="Palatino Linotype" w:eastAsia="Palatino Linotype" w:hAnsi="Palatino Linotype" w:cs="Palatino Linotype"/>
          <w:color w:val="000000"/>
        </w:rPr>
        <w:t>onar que los sujetos obligados no podrán emitir acuerdos de carácter general, en donde no se podrán clasificar documentos antes de que se genere la información, es decir, la clasificación de información se realizará conforme a un análisis caso por caso, fo</w:t>
      </w:r>
      <w:r>
        <w:rPr>
          <w:rFonts w:ascii="Palatino Linotype" w:eastAsia="Palatino Linotype" w:hAnsi="Palatino Linotype" w:cs="Palatino Linotype"/>
          <w:color w:val="000000"/>
        </w:rPr>
        <w:t xml:space="preserve">rmalidades que en el presente asunto no fueron observadas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rsidR="00FE761C" w:rsidRDefault="00DB7383">
      <w:pPr>
        <w:spacing w:after="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t>En conclusión, si bien es cierto, el acuerdo hace referencia a la clasificación del domicilio de los servidores públicos, no menos cierto es que dicho acuerdo no se emitió co</w:t>
      </w:r>
      <w:r>
        <w:rPr>
          <w:rFonts w:ascii="Palatino Linotype" w:eastAsia="Palatino Linotype" w:hAnsi="Palatino Linotype" w:cs="Palatino Linotype"/>
          <w:color w:val="000000"/>
        </w:rPr>
        <w:t>n las formalidades establecidas en la norma jurídica, por lo tanto, lo pertinente era ordenar la emisión de un nuevo acuerdo que contemple la clasificación total de la información solicitada.</w:t>
      </w:r>
    </w:p>
    <w:p w:rsidR="00FE761C" w:rsidRDefault="00FE761C">
      <w:pPr>
        <w:spacing w:after="0" w:line="360" w:lineRule="auto"/>
        <w:jc w:val="both"/>
        <w:rPr>
          <w:rFonts w:ascii="Times New Roman" w:eastAsia="Times New Roman" w:hAnsi="Times New Roman" w:cs="Times New Roman"/>
        </w:rPr>
      </w:pPr>
    </w:p>
    <w:p w:rsidR="00FE761C" w:rsidRDefault="00DB7383">
      <w:pPr>
        <w:spacing w:after="0" w:line="360" w:lineRule="auto"/>
        <w:jc w:val="both"/>
        <w:rPr>
          <w:rFonts w:ascii="Times New Roman" w:eastAsia="Times New Roman" w:hAnsi="Times New Roman" w:cs="Times New Roman"/>
        </w:rPr>
      </w:pPr>
      <w:r>
        <w:rPr>
          <w:rFonts w:ascii="Palatino Linotype" w:eastAsia="Palatino Linotype" w:hAnsi="Palatino Linotype" w:cs="Palatino Linotype"/>
        </w:rPr>
        <w:lastRenderedPageBreak/>
        <w:t>No obstante, al no contemplar dicha circunstancia en la resoluc</w:t>
      </w:r>
      <w:r>
        <w:rPr>
          <w:rFonts w:ascii="Palatino Linotype" w:eastAsia="Palatino Linotype" w:hAnsi="Palatino Linotype" w:cs="Palatino Linotype"/>
        </w:rPr>
        <w:t>ión es que</w:t>
      </w:r>
      <w:r>
        <w:rPr>
          <w:rFonts w:ascii="Times New Roman" w:eastAsia="Times New Roman" w:hAnsi="Times New Roman" w:cs="Times New Roman"/>
        </w:rPr>
        <w:t xml:space="preserve"> </w:t>
      </w:r>
      <w:r>
        <w:rPr>
          <w:rFonts w:ascii="Palatino Linotype" w:eastAsia="Palatino Linotype" w:hAnsi="Palatino Linotype" w:cs="Palatino Linotype"/>
        </w:rPr>
        <w:t>con fundamento en lo dispuesto por el artículo 14 fracciones X y XI del Reglamento Interior del Instituto de Transparencia, Acceso a la Información Pública y Protección de Datos Personales del Estado de México y Municipios, la suscrita Comisiona</w:t>
      </w:r>
      <w:r>
        <w:rPr>
          <w:rFonts w:ascii="Palatino Linotype" w:eastAsia="Palatino Linotype" w:hAnsi="Palatino Linotype" w:cs="Palatino Linotype"/>
        </w:rPr>
        <w:t xml:space="preserve">da emite el presente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en los términos precisados.</w:t>
      </w:r>
    </w:p>
    <w:p w:rsidR="00FE761C" w:rsidRDefault="00DB7383">
      <w:pPr>
        <w:tabs>
          <w:tab w:val="left" w:pos="2730"/>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rsidR="00FE761C" w:rsidRDefault="00DB7383">
      <w:pPr>
        <w:spacing w:before="240" w:after="240" w:line="360" w:lineRule="auto"/>
        <w:rPr>
          <w:rFonts w:ascii="Palatino Linotype" w:eastAsia="Palatino Linotype" w:hAnsi="Palatino Linotype" w:cs="Palatino Linotype"/>
          <w:b/>
          <w:sz w:val="24"/>
          <w:szCs w:val="24"/>
        </w:rPr>
        <w:sectPr w:rsidR="00FE761C">
          <w:headerReference w:type="even" r:id="rId11"/>
          <w:headerReference w:type="default" r:id="rId12"/>
          <w:footerReference w:type="even" r:id="rId13"/>
          <w:footerReference w:type="default" r:id="rId14"/>
          <w:headerReference w:type="first" r:id="rId15"/>
          <w:footerReference w:type="first" r:id="rId16"/>
          <w:pgSz w:w="12240" w:h="15840"/>
          <w:pgMar w:top="1871" w:right="1327" w:bottom="2836" w:left="1985" w:header="709" w:footer="586" w:gutter="0"/>
          <w:pgNumType w:start="1"/>
          <w:cols w:space="720"/>
        </w:sectPr>
      </w:pPr>
      <w:r>
        <w:rPr>
          <w:rFonts w:ascii="Palatino Linotype" w:eastAsia="Palatino Linotype" w:hAnsi="Palatino Linotype" w:cs="Palatino Linotype"/>
          <w:b/>
          <w:sz w:val="24"/>
          <w:szCs w:val="24"/>
        </w:rPr>
        <w:t xml:space="preserve"> </w:t>
      </w:r>
    </w:p>
    <w:p w:rsidR="00FE761C" w:rsidRDefault="00FE761C">
      <w:pPr>
        <w:spacing w:before="240" w:after="240" w:line="360" w:lineRule="auto"/>
        <w:rPr>
          <w:rFonts w:ascii="Palatino Linotype" w:eastAsia="Palatino Linotype" w:hAnsi="Palatino Linotype" w:cs="Palatino Linotype"/>
          <w:b/>
          <w:sz w:val="24"/>
          <w:szCs w:val="24"/>
        </w:rPr>
      </w:pPr>
    </w:p>
    <w:sectPr w:rsidR="00FE761C">
      <w:headerReference w:type="even" r:id="rId17"/>
      <w:headerReference w:type="default" r:id="rId18"/>
      <w:headerReference w:type="first" r:id="rId19"/>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7383">
      <w:pPr>
        <w:spacing w:after="0" w:line="240" w:lineRule="auto"/>
      </w:pPr>
      <w:r>
        <w:separator/>
      </w:r>
    </w:p>
  </w:endnote>
  <w:endnote w:type="continuationSeparator" w:id="0">
    <w:p w:rsidR="00000000" w:rsidRDefault="00DB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1C" w:rsidRDefault="00FE761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1C" w:rsidRDefault="00DB738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5548B2">
      <w:rPr>
        <w:rFonts w:ascii="Arial" w:eastAsia="Arial" w:hAnsi="Arial" w:cs="Arial"/>
        <w:b/>
        <w:color w:val="000000"/>
        <w:sz w:val="20"/>
        <w:szCs w:val="20"/>
      </w:rPr>
      <w:fldChar w:fldCharType="separate"/>
    </w:r>
    <w:r>
      <w:rPr>
        <w:rFonts w:ascii="Arial" w:eastAsia="Arial" w:hAnsi="Arial" w:cs="Arial"/>
        <w:b/>
        <w:noProof/>
        <w:color w:val="000000"/>
        <w:sz w:val="20"/>
        <w:szCs w:val="20"/>
      </w:rPr>
      <w:t>13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5548B2">
      <w:rPr>
        <w:rFonts w:ascii="Arial" w:eastAsia="Arial" w:hAnsi="Arial" w:cs="Arial"/>
        <w:b/>
        <w:color w:val="000000"/>
        <w:sz w:val="20"/>
        <w:szCs w:val="20"/>
      </w:rPr>
      <w:fldChar w:fldCharType="separate"/>
    </w:r>
    <w:r>
      <w:rPr>
        <w:rFonts w:ascii="Arial" w:eastAsia="Arial" w:hAnsi="Arial" w:cs="Arial"/>
        <w:b/>
        <w:noProof/>
        <w:color w:val="000000"/>
        <w:sz w:val="20"/>
        <w:szCs w:val="20"/>
      </w:rPr>
      <w:t>13</w:t>
    </w:r>
    <w:r>
      <w:rPr>
        <w:rFonts w:ascii="Arial" w:eastAsia="Arial" w:hAnsi="Arial" w:cs="Arial"/>
        <w:b/>
        <w:color w:val="000000"/>
        <w:sz w:val="20"/>
        <w:szCs w:val="20"/>
      </w:rPr>
      <w:fldChar w:fldCharType="end"/>
    </w:r>
  </w:p>
  <w:p w:rsidR="00FE761C" w:rsidRDefault="00FE761C">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1C" w:rsidRDefault="00FE761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B7383">
      <w:pPr>
        <w:spacing w:after="0" w:line="240" w:lineRule="auto"/>
      </w:pPr>
      <w:r>
        <w:separator/>
      </w:r>
    </w:p>
  </w:footnote>
  <w:footnote w:type="continuationSeparator" w:id="0">
    <w:p w:rsidR="00000000" w:rsidRDefault="00DB7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1C" w:rsidRDefault="00DB738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8767512" cy="18767512"/>
              <wp:effectExtent l="0" t="0" r="0" b="0"/>
              <wp:wrapNone/>
              <wp:docPr id="34" name=""/>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FE761C" w:rsidRDefault="00DB7383">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8767512" cy="18767512"/>
              <wp:effectExtent b="0" l="0" r="0" t="0"/>
              <wp:wrapNone/>
              <wp:docPr id="3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8767512" cy="18767512"/>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1C" w:rsidRDefault="00DB738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-1260470</wp:posOffset>
          </wp:positionH>
          <wp:positionV relativeFrom="paragraph">
            <wp:posOffset>-293364</wp:posOffset>
          </wp:positionV>
          <wp:extent cx="7510780" cy="9882505"/>
          <wp:effectExtent l="0" t="0" r="0" b="0"/>
          <wp:wrapNone/>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0780" cy="9882505"/>
                  </a:xfrm>
                  <a:prstGeom prst="rect">
                    <a:avLst/>
                  </a:prstGeom>
                  <a:ln/>
                </pic:spPr>
              </pic:pic>
            </a:graphicData>
          </a:graphic>
        </wp:anchor>
      </w:drawing>
    </w:r>
  </w:p>
  <w:p w:rsidR="00FE761C" w:rsidRDefault="00FE761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E761C" w:rsidRDefault="00FE761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E761C" w:rsidRDefault="00DB738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rsidR="00FE761C" w:rsidRDefault="00DB738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01745/INFOEM/IP/RR/2025</w:t>
    </w:r>
  </w:p>
  <w:p w:rsidR="00FE761C" w:rsidRDefault="00DB738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Sistema Municipal para el Desarrollo</w:t>
    </w:r>
  </w:p>
  <w:p w:rsidR="00FE761C" w:rsidRDefault="00DB738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Integral de la Familia de Cuautitlán</w:t>
    </w:r>
  </w:p>
  <w:p w:rsidR="00FE761C" w:rsidRDefault="00DB738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Comisionado Ponente: José Martínez Vilchis</w:t>
    </w:r>
  </w:p>
  <w:p w:rsidR="00FE761C" w:rsidRDefault="00FE761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1C" w:rsidRDefault="00FE761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1C" w:rsidRDefault="00FE761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1C" w:rsidRDefault="00FE761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E761C" w:rsidRDefault="00FE761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E761C" w:rsidRDefault="00FE761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E761C" w:rsidRDefault="00FE761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1C" w:rsidRDefault="00FE761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E7B32"/>
    <w:multiLevelType w:val="multilevel"/>
    <w:tmpl w:val="F1C2239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1C"/>
    <w:rsid w:val="005548B2"/>
    <w:rsid w:val="00DB7383"/>
    <w:rsid w:val="00FE7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7BC4CA9-B421-432A-9141-B57AFAA0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link w:val="Prrafodelista"/>
    <w:uiPriority w:val="34"/>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table" w:styleId="Tablaconcuadrcula">
    <w:name w:val="Table Grid"/>
    <w:basedOn w:val="Tablanormal"/>
    <w:uiPriority w:val="39"/>
    <w:rsid w:val="00C34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5760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5760C"/>
    <w:rPr>
      <w:rFonts w:ascii="Arial" w:eastAsia="Times New Roman" w:hAnsi="Arial" w:cs="Arial"/>
      <w:sz w:val="18"/>
      <w:szCs w:val="20"/>
      <w:lang w:val="es-ES" w:eastAsia="es-ES"/>
    </w:rPr>
  </w:style>
  <w:style w:type="paragraph" w:styleId="Textosinformato">
    <w:name w:val="Plain Text"/>
    <w:basedOn w:val="Normal"/>
    <w:link w:val="TextosinformatoCar"/>
    <w:unhideWhenUsed/>
    <w:rsid w:val="0085760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5760C"/>
    <w:rPr>
      <w:rFonts w:ascii="Courier New" w:eastAsia="Times New Roman" w:hAnsi="Courier New"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9861E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861E6"/>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861E6"/>
    <w:rPr>
      <w:vertAlign w:val="superscript"/>
    </w:rPr>
  </w:style>
  <w:style w:type="paragraph" w:styleId="Sinespaciado">
    <w:name w:val="No Spacing"/>
    <w:aliases w:val="Francesa,INAI"/>
    <w:link w:val="SinespaciadoCar"/>
    <w:uiPriority w:val="1"/>
    <w:qFormat/>
    <w:rsid w:val="00AA490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A4906"/>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C58A3"/>
    <w:rPr>
      <w:color w:val="0563C1" w:themeColor="hyperlink"/>
      <w:u w:val="single"/>
    </w:rPr>
  </w:style>
  <w:style w:type="character" w:styleId="Hipervnculovisitado">
    <w:name w:val="FollowedHyperlink"/>
    <w:basedOn w:val="Fuentedeprrafopredeter"/>
    <w:uiPriority w:val="99"/>
    <w:semiHidden/>
    <w:unhideWhenUsed/>
    <w:rsid w:val="00CC58A3"/>
    <w:rPr>
      <w:color w:val="954F72" w:themeColor="followedHyperlink"/>
      <w:u w:val="single"/>
    </w:rPr>
  </w:style>
  <w:style w:type="table" w:customStyle="1" w:styleId="a">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6AUJvDTQPuUNoHzqWiETOTL2ew==">CgMxLjAyDmgubXJraHB4dGF2OGFvOAByITFMdUFKTlFPZUJnVmc2OU94azhwWDNDU3BacHQ1bkZaRQ==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2520</Words>
  <Characters>13864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2025-04-28T17:21:00Z</cp:lastPrinted>
  <dcterms:created xsi:type="dcterms:W3CDTF">2025-04-28T17:21:00Z</dcterms:created>
  <dcterms:modified xsi:type="dcterms:W3CDTF">2025-04-28T17:26:00Z</dcterms:modified>
</cp:coreProperties>
</file>