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035F0" w14:textId="369708D6" w:rsidR="00684164" w:rsidRPr="002706F1" w:rsidRDefault="00305093">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2706F1">
        <w:rPr>
          <w:rFonts w:ascii="Palatino Linotype" w:eastAsia="Palatino Linotype" w:hAnsi="Palatino Linotype" w:cs="Palatino Linotype"/>
          <w:b/>
        </w:rPr>
        <w:t xml:space="preserve">DÉCIMA </w:t>
      </w:r>
      <w:r w:rsidR="000A328B">
        <w:rPr>
          <w:rFonts w:ascii="Palatino Linotype" w:eastAsia="Palatino Linotype" w:hAnsi="Palatino Linotype" w:cs="Palatino Linotype"/>
          <w:b/>
        </w:rPr>
        <w:t>CUARTA</w:t>
      </w:r>
      <w:r w:rsidR="00684164">
        <w:rPr>
          <w:rFonts w:ascii="Palatino Linotype" w:eastAsia="Palatino Linotype" w:hAnsi="Palatino Linotype" w:cs="Palatino Linotype"/>
          <w:b/>
        </w:rPr>
        <w:t xml:space="preserve"> </w:t>
      </w:r>
      <w:r w:rsidR="00552F76">
        <w:rPr>
          <w:rFonts w:ascii="Palatino Linotype" w:eastAsia="Palatino Linotype" w:hAnsi="Palatino Linotype" w:cs="Palatino Linotype"/>
          <w:b/>
        </w:rPr>
        <w:t xml:space="preserve">SESIÓN ORDINARIA DEL </w:t>
      </w:r>
      <w:r w:rsidR="000A328B">
        <w:rPr>
          <w:rFonts w:ascii="Palatino Linotype" w:eastAsia="Palatino Linotype" w:hAnsi="Palatino Linotype" w:cs="Palatino Linotype"/>
          <w:b/>
        </w:rPr>
        <w:t xml:space="preserve">VEINTITRÉS </w:t>
      </w:r>
      <w:r w:rsidR="002706F1">
        <w:rPr>
          <w:rFonts w:ascii="Palatino Linotype" w:eastAsia="Palatino Linotype" w:hAnsi="Palatino Linotype" w:cs="Palatino Linotype"/>
          <w:b/>
        </w:rPr>
        <w:t>DE ABRIL</w:t>
      </w:r>
      <w:r w:rsidR="00684164">
        <w:rPr>
          <w:rFonts w:ascii="Palatino Linotype" w:eastAsia="Palatino Linotype" w:hAnsi="Palatino Linotype" w:cs="Palatino Linotype"/>
          <w:b/>
        </w:rPr>
        <w:t xml:space="preserve"> DE DOS MIL VEINTICINCO</w:t>
      </w:r>
      <w:r>
        <w:rPr>
          <w:rFonts w:ascii="Palatino Linotype" w:eastAsia="Palatino Linotype" w:hAnsi="Palatino Linotype" w:cs="Palatino Linotype"/>
          <w:b/>
        </w:rPr>
        <w:t xml:space="preserve"> EN </w:t>
      </w:r>
      <w:r w:rsidR="000A328B">
        <w:rPr>
          <w:rFonts w:ascii="Palatino Linotype" w:eastAsia="Palatino Linotype" w:hAnsi="Palatino Linotype" w:cs="Palatino Linotype"/>
          <w:b/>
        </w:rPr>
        <w:t>E</w:t>
      </w:r>
      <w:r w:rsidR="002706F1">
        <w:rPr>
          <w:rFonts w:ascii="Palatino Linotype" w:eastAsia="Palatino Linotype" w:hAnsi="Palatino Linotype" w:cs="Palatino Linotype"/>
          <w:b/>
        </w:rPr>
        <w:t>L</w:t>
      </w:r>
      <w:r w:rsidR="000A328B">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RECURSO DE REVISIÓN </w:t>
      </w:r>
      <w:r w:rsidR="002706F1" w:rsidRPr="002706F1">
        <w:rPr>
          <w:rFonts w:ascii="Palatino Linotype" w:eastAsia="Palatino Linotype" w:hAnsi="Palatino Linotype" w:cs="Palatino Linotype"/>
          <w:b/>
        </w:rPr>
        <w:t>0</w:t>
      </w:r>
      <w:r w:rsidR="000A328B">
        <w:rPr>
          <w:rFonts w:ascii="Palatino Linotype" w:eastAsia="Palatino Linotype" w:hAnsi="Palatino Linotype" w:cs="Palatino Linotype"/>
          <w:b/>
        </w:rPr>
        <w:t>1115</w:t>
      </w:r>
      <w:r w:rsidR="002706F1" w:rsidRPr="002706F1">
        <w:rPr>
          <w:rFonts w:ascii="Palatino Linotype" w:eastAsia="Palatino Linotype" w:hAnsi="Palatino Linotype" w:cs="Palatino Linotype"/>
          <w:b/>
        </w:rPr>
        <w:t>/INFOEM/IP/RR/2025</w:t>
      </w:r>
      <w:r w:rsidR="00684164">
        <w:rPr>
          <w:rFonts w:ascii="Palatino Linotype" w:eastAsia="Palatino Linotype" w:hAnsi="Palatino Linotype" w:cs="Palatino Linotype"/>
          <w:b/>
          <w:color w:val="000000"/>
        </w:rPr>
        <w:t>.</w:t>
      </w:r>
    </w:p>
    <w:p w14:paraId="7CD204C3" w14:textId="644F2221" w:rsidR="00A87811" w:rsidRPr="000A328B" w:rsidRDefault="00305093">
      <w:pPr>
        <w:spacing w:before="240" w:after="240" w:line="360" w:lineRule="auto"/>
        <w:ind w:right="51"/>
        <w:jc w:val="both"/>
        <w:rPr>
          <w:rFonts w:ascii="Palatino Linotype" w:eastAsia="Palatino Linotype" w:hAnsi="Palatino Linotype" w:cs="Palatino Linotype"/>
          <w:b/>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w:t>
      </w:r>
      <w:r w:rsidR="00684164">
        <w:rPr>
          <w:rFonts w:ascii="Palatino Linotype" w:eastAsia="Palatino Linotype" w:hAnsi="Palatino Linotype" w:cs="Palatino Linotype"/>
        </w:rPr>
        <w:t>votos, la Resolución relativa</w:t>
      </w:r>
      <w:r w:rsidR="000A328B">
        <w:rPr>
          <w:rFonts w:ascii="Palatino Linotype" w:eastAsia="Palatino Linotype" w:hAnsi="Palatino Linotype" w:cs="Palatino Linotype"/>
        </w:rPr>
        <w:t xml:space="preserve"> al </w:t>
      </w:r>
      <w:r>
        <w:rPr>
          <w:rFonts w:ascii="Palatino Linotype" w:eastAsia="Palatino Linotype" w:hAnsi="Palatino Linotype" w:cs="Palatino Linotype"/>
        </w:rPr>
        <w:t xml:space="preserve">Recurso de Revisión </w:t>
      </w:r>
      <w:r w:rsidR="002706F1" w:rsidRPr="002706F1">
        <w:rPr>
          <w:rFonts w:ascii="Palatino Linotype" w:eastAsia="Palatino Linotype" w:hAnsi="Palatino Linotype" w:cs="Palatino Linotype"/>
          <w:b/>
        </w:rPr>
        <w:t>0</w:t>
      </w:r>
      <w:r w:rsidR="000A328B">
        <w:rPr>
          <w:rFonts w:ascii="Palatino Linotype" w:eastAsia="Palatino Linotype" w:hAnsi="Palatino Linotype" w:cs="Palatino Linotype"/>
          <w:b/>
        </w:rPr>
        <w:t>1115</w:t>
      </w:r>
      <w:r w:rsidR="002706F1" w:rsidRPr="002706F1">
        <w:rPr>
          <w:rFonts w:ascii="Palatino Linotype" w:eastAsia="Palatino Linotype" w:hAnsi="Palatino Linotype" w:cs="Palatino Linotype"/>
          <w:b/>
        </w:rPr>
        <w:t>/INFOEM/IP/RR/2025</w:t>
      </w:r>
      <w:r w:rsidR="000A328B">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00D9F1C" w14:textId="77777777"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atención al medio de impugnación por el que se formula el presente voto, es susceptible de transparentarse pues se encuentra relacionada con la gestión pública y con su publicidad se favorece indudablemente a la rendición de cuentas.</w:t>
      </w:r>
    </w:p>
    <w:p w14:paraId="459DA8CC" w14:textId="77777777"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4C6179B8" w14:textId="77777777"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en la resolución se consideró lo siguiente:</w:t>
      </w:r>
    </w:p>
    <w:p w14:paraId="4BF32D05" w14:textId="77777777" w:rsidR="000A328B" w:rsidRPr="000A328B" w:rsidRDefault="00305093" w:rsidP="000A328B">
      <w:pPr>
        <w:tabs>
          <w:tab w:val="left" w:pos="4962"/>
        </w:tabs>
        <w:spacing w:before="120" w:after="120" w:line="240" w:lineRule="auto"/>
        <w:ind w:left="567" w:right="618"/>
        <w:jc w:val="both"/>
        <w:rPr>
          <w:rFonts w:ascii="Palatino Linotype" w:hAnsi="Palatino Linotype" w:cs="Tahoma"/>
          <w:bCs/>
          <w:i/>
          <w:sz w:val="20"/>
          <w:szCs w:val="18"/>
        </w:rPr>
      </w:pPr>
      <w:bookmarkStart w:id="1" w:name="_heading=h.seznk0v3kwdp" w:colFirst="0" w:colLast="0"/>
      <w:bookmarkEnd w:id="1"/>
      <w:r w:rsidRPr="000A328B">
        <w:rPr>
          <w:rFonts w:ascii="Palatino Linotype" w:eastAsia="Palatino Linotype" w:hAnsi="Palatino Linotype" w:cs="Palatino Linotype"/>
          <w:i/>
          <w:sz w:val="20"/>
          <w:szCs w:val="18"/>
        </w:rPr>
        <w:t>“</w:t>
      </w:r>
      <w:r w:rsidR="000A328B" w:rsidRPr="000A328B">
        <w:rPr>
          <w:rFonts w:ascii="Palatino Linotype" w:hAnsi="Palatino Linotype" w:cs="Tahoma"/>
          <w:bCs/>
          <w:i/>
          <w:sz w:val="20"/>
          <w:szCs w:val="18"/>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20D9C08"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ECDECC1"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56F975F"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50EC9C9"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p>
    <w:p w14:paraId="53601FA6"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3D4970A"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E4A1F21" w14:textId="77777777" w:rsidR="000A328B"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3BA9B49" w14:textId="2CEE0915" w:rsidR="002706F1" w:rsidRPr="000A328B" w:rsidRDefault="000A328B" w:rsidP="000A328B">
      <w:pPr>
        <w:tabs>
          <w:tab w:val="left" w:pos="4962"/>
        </w:tabs>
        <w:spacing w:before="120" w:after="120" w:line="240" w:lineRule="auto"/>
        <w:ind w:left="567" w:right="618"/>
        <w:jc w:val="both"/>
        <w:rPr>
          <w:rFonts w:ascii="Palatino Linotype" w:hAnsi="Palatino Linotype" w:cs="Tahoma"/>
          <w:bCs/>
          <w:i/>
          <w:sz w:val="20"/>
          <w:szCs w:val="18"/>
        </w:rPr>
      </w:pPr>
      <w:r w:rsidRPr="000A328B">
        <w:rPr>
          <w:rFonts w:ascii="Palatino Linotype" w:hAnsi="Palatino Linotype" w:cs="Tahoma"/>
          <w:bCs/>
          <w:i/>
          <w:sz w:val="20"/>
          <w:szCs w:val="18"/>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1DEC7508" w14:textId="4009CC40" w:rsidR="00305093" w:rsidRPr="000A328B" w:rsidRDefault="000A328B" w:rsidP="000A328B">
      <w:pPr>
        <w:tabs>
          <w:tab w:val="left" w:pos="1134"/>
          <w:tab w:val="left" w:pos="4962"/>
          <w:tab w:val="left" w:pos="7936"/>
        </w:tabs>
        <w:spacing w:before="120" w:after="120" w:line="240" w:lineRule="auto"/>
        <w:ind w:left="567" w:right="618"/>
        <w:jc w:val="both"/>
        <w:rPr>
          <w:rFonts w:ascii="Palatino Linotype" w:eastAsia="Palatino Linotype" w:hAnsi="Palatino Linotype" w:cs="Palatino Linotype"/>
          <w:i/>
          <w:iCs/>
          <w:sz w:val="20"/>
          <w:szCs w:val="18"/>
        </w:rPr>
      </w:pPr>
      <w:r w:rsidRPr="000A328B">
        <w:rPr>
          <w:rFonts w:ascii="Palatino Linotype" w:eastAsia="Palatino Linotype" w:hAnsi="Palatino Linotype" w:cs="Palatino Linotype"/>
          <w:i/>
          <w:iCs/>
          <w:sz w:val="20"/>
          <w:szCs w:val="18"/>
        </w:rPr>
        <w:t>…</w:t>
      </w:r>
      <w:r w:rsidR="00305093" w:rsidRPr="000A328B">
        <w:rPr>
          <w:rFonts w:ascii="Palatino Linotype" w:eastAsia="Palatino Linotype" w:hAnsi="Palatino Linotype" w:cs="Palatino Linotype"/>
          <w:i/>
          <w:iCs/>
          <w:color w:val="000000"/>
          <w:sz w:val="20"/>
          <w:szCs w:val="18"/>
        </w:rPr>
        <w:t>”</w:t>
      </w:r>
    </w:p>
    <w:p w14:paraId="13526F8D" w14:textId="77777777"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w:t>
      </w:r>
      <w:r>
        <w:rPr>
          <w:rFonts w:ascii="Palatino Linotype" w:eastAsia="Palatino Linotype" w:hAnsi="Palatino Linotype" w:cs="Palatino Linotype"/>
        </w:rPr>
        <w:lastRenderedPageBreak/>
        <w:t>México y Municipios, en relación con el 4, fracción XI de La Ley de Protección de Datos Personales en Posesión de Sujetos Obligados del Estado de México y Municipios.</w:t>
      </w:r>
    </w:p>
    <w:p w14:paraId="5C8E3E2D" w14:textId="77777777"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57F428E6" w14:textId="77777777"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4CD1F69E" w14:textId="77777777" w:rsidR="00A87811" w:rsidRDefault="003050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w:t>
      </w:r>
      <w:r>
        <w:rPr>
          <w:rFonts w:ascii="Palatino Linotype" w:eastAsia="Palatino Linotype" w:hAnsi="Palatino Linotype" w:cs="Palatino Linotype"/>
        </w:rPr>
        <w:lastRenderedPageBreak/>
        <w:t>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2DEED6ED" w14:textId="77777777" w:rsidR="00A87811" w:rsidRDefault="00305093">
      <w:pPr>
        <w:spacing w:before="240" w:after="240" w:line="360" w:lineRule="auto"/>
        <w:ind w:right="51"/>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3EB81F89" w14:textId="77777777"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389E91A7"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w:t>
      </w:r>
      <w:r>
        <w:rPr>
          <w:rFonts w:ascii="Palatino Linotype" w:eastAsia="Palatino Linotype" w:hAnsi="Palatino Linotype" w:cs="Palatino Linotype"/>
          <w:b/>
          <w:u w:val="single"/>
        </w:rPr>
        <w:t>los certificados de no deudor alimentario moroso</w:t>
      </w:r>
      <w:r w:rsidR="00C636A8">
        <w:rPr>
          <w:rFonts w:ascii="Palatino Linotype" w:eastAsia="Palatino Linotype" w:hAnsi="Palatino Linotype" w:cs="Palatino Linotype"/>
          <w:b/>
          <w:u w:val="single"/>
        </w:rPr>
        <w:t>,</w:t>
      </w:r>
      <w:r w:rsidRPr="00305093">
        <w:rPr>
          <w:rFonts w:ascii="Palatino Linotype" w:eastAsia="Palatino Linotype" w:hAnsi="Palatino Linotype" w:cs="Palatino Linotype"/>
          <w:b/>
        </w:rPr>
        <w:t xml:space="preserve"> </w:t>
      </w:r>
      <w:r>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36468710"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w:t>
      </w:r>
      <w:r>
        <w:rPr>
          <w:rFonts w:ascii="Palatino Linotype" w:eastAsia="Palatino Linotype" w:hAnsi="Palatino Linotype" w:cs="Palatino Linotype"/>
        </w:rPr>
        <w:lastRenderedPageBreak/>
        <w:t xml:space="preserve">Municipal del Estado de México, pero también lo es que dar a conocer esta información podría vulnerar la vida privada de los servidores públicos. </w:t>
      </w:r>
    </w:p>
    <w:p w14:paraId="4AB85105"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14:paraId="1C090F5A" w14:textId="77777777" w:rsidR="00A87811" w:rsidRPr="00305093" w:rsidRDefault="00305093" w:rsidP="003040D6">
      <w:pPr>
        <w:spacing w:before="120" w:after="120" w:line="240" w:lineRule="auto"/>
        <w:ind w:left="567" w:right="616"/>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229E9DB4" w14:textId="77777777" w:rsidR="00A87811" w:rsidRPr="00305093" w:rsidRDefault="00305093" w:rsidP="003040D6">
      <w:pPr>
        <w:spacing w:before="120" w:after="120" w:line="240" w:lineRule="auto"/>
        <w:ind w:left="567" w:right="616"/>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3A14CA19" w14:textId="77777777" w:rsidR="00A87811" w:rsidRPr="00305093" w:rsidRDefault="00305093" w:rsidP="003040D6">
      <w:pPr>
        <w:spacing w:before="120" w:after="120" w:line="240" w:lineRule="auto"/>
        <w:ind w:left="567" w:right="616"/>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4A99F467" w14:textId="77777777" w:rsidR="00A87811" w:rsidRPr="00305093" w:rsidRDefault="00305093" w:rsidP="003040D6">
      <w:pPr>
        <w:spacing w:before="120" w:after="120" w:line="240" w:lineRule="auto"/>
        <w:ind w:left="567" w:right="616"/>
        <w:jc w:val="both"/>
        <w:rPr>
          <w:rFonts w:ascii="Palatino Linotype" w:eastAsia="Palatino Linotype" w:hAnsi="Palatino Linotype" w:cs="Palatino Linotype"/>
          <w:i/>
          <w:sz w:val="20"/>
          <w:szCs w:val="20"/>
        </w:rPr>
      </w:pPr>
      <w:bookmarkStart w:id="3" w:name="_heading=h.1fob9te" w:colFirst="0" w:colLast="0"/>
      <w:bookmarkEnd w:id="3"/>
      <w:r w:rsidRPr="00305093">
        <w:rPr>
          <w:rFonts w:ascii="Palatino Linotype" w:eastAsia="Palatino Linotype" w:hAnsi="Palatino Linotype" w:cs="Palatino Linotype"/>
          <w:i/>
          <w:sz w:val="20"/>
          <w:szCs w:val="20"/>
        </w:rPr>
        <w:t>Los alimentos tienen carácter preferente a favor de los hijos, sin que pueda eximirse el deudor alimentario de su cumplimiento cuando esté en posibilidades de hacerlo. En el Estado de México,</w:t>
      </w:r>
      <w:r w:rsidRPr="00305093">
        <w:rPr>
          <w:rFonts w:ascii="Palatino Linotype" w:eastAsia="Palatino Linotype" w:hAnsi="Palatino Linotype" w:cs="Palatino Linotype"/>
          <w:sz w:val="20"/>
          <w:szCs w:val="20"/>
        </w:rPr>
        <w:t xml:space="preserve"> </w:t>
      </w:r>
      <w:r w:rsidRPr="00305093">
        <w:rPr>
          <w:rFonts w:ascii="Palatino Linotype" w:eastAsia="Palatino Linotype" w:hAnsi="Palatino Linotype" w:cs="Palatino Linotype"/>
          <w:i/>
          <w:sz w:val="20"/>
          <w:szCs w:val="20"/>
        </w:rPr>
        <w:t xml:space="preserve">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w:t>
      </w:r>
      <w:r w:rsidRPr="00305093">
        <w:rPr>
          <w:rFonts w:ascii="Palatino Linotype" w:eastAsia="Palatino Linotype" w:hAnsi="Palatino Linotype" w:cs="Palatino Linotype"/>
          <w:i/>
          <w:sz w:val="20"/>
          <w:szCs w:val="20"/>
        </w:rPr>
        <w:lastRenderedPageBreak/>
        <w:t>a los alcances de estas medidas legales, éstas no han sido suficientes para hacer cumplir a los deudores con sus obligaciones alimentarias.</w:t>
      </w:r>
    </w:p>
    <w:p w14:paraId="0F41ECA9" w14:textId="77777777" w:rsidR="00A87811" w:rsidRPr="00305093" w:rsidRDefault="00305093" w:rsidP="003040D6">
      <w:pPr>
        <w:spacing w:before="120" w:after="120" w:line="240" w:lineRule="auto"/>
        <w:ind w:left="567" w:right="616"/>
        <w:jc w:val="both"/>
        <w:rPr>
          <w:rFonts w:ascii="Palatino Linotype" w:eastAsia="Palatino Linotype" w:hAnsi="Palatino Linotype" w:cs="Palatino Linotype"/>
          <w:b/>
          <w:i/>
          <w:sz w:val="20"/>
          <w:szCs w:val="20"/>
          <w:u w:val="single"/>
        </w:rPr>
      </w:pPr>
      <w:r w:rsidRPr="00305093">
        <w:rPr>
          <w:rFonts w:ascii="Palatino Linotype" w:eastAsia="Palatino Linotype" w:hAnsi="Palatino Linotype" w:cs="Palatino Linotype"/>
          <w:i/>
          <w:sz w:val="20"/>
          <w:szCs w:val="2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305093">
        <w:rPr>
          <w:rFonts w:ascii="Palatino Linotype" w:eastAsia="Palatino Linotype" w:hAnsi="Palatino Linotype" w:cs="Palatino Linotype"/>
          <w:b/>
          <w:i/>
          <w:sz w:val="20"/>
          <w:szCs w:val="20"/>
          <w:u w:val="single"/>
        </w:rPr>
        <w:t>con la finalidad de asegurar el cumplimiento de las obligaciones alimentarias que tienen los padres para con sus menores hijos.”</w:t>
      </w:r>
    </w:p>
    <w:p w14:paraId="6F20CFAE"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14:paraId="58CC4091"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14:paraId="2ED5EC58"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14:paraId="5FD8B47F" w14:textId="77777777"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robustecer lo anterior, sirve de sustento el criterio orientador 29/10 emitido por el Instituto Nacional de Transparencia, Acceso a la Información y Protección de Datos Personales, INAI, el cual refiere lo siguiente: </w:t>
      </w:r>
    </w:p>
    <w:p w14:paraId="179165C0" w14:textId="77777777" w:rsidR="00A87811" w:rsidRDefault="00305093" w:rsidP="003040D6">
      <w:pPr>
        <w:spacing w:before="120" w:after="120" w:line="24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lastRenderedPageBreak/>
        <w:t xml:space="preserve"> </w:t>
      </w: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La clasificación y la inexistencia de información son conceptos que no pueden coexistir</w:t>
      </w:r>
      <w:r>
        <w:rPr>
          <w:rFonts w:ascii="Palatino Linotype" w:eastAsia="Palatino Linotype" w:hAnsi="Palatino Linotype" w:cs="Palatino Linotype"/>
          <w:i/>
          <w:sz w:val="20"/>
          <w:szCs w:val="20"/>
        </w:rPr>
        <w:t>.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w:t>
      </w:r>
      <w:bookmarkStart w:id="4" w:name="_GoBack"/>
      <w:bookmarkEnd w:id="4"/>
      <w:r>
        <w:rPr>
          <w:rFonts w:ascii="Palatino Linotype" w:eastAsia="Palatino Linotype" w:hAnsi="Palatino Linotype" w:cs="Palatino Linotype"/>
          <w:i/>
          <w:sz w:val="20"/>
          <w:szCs w:val="20"/>
        </w:rPr>
        <w:t xml:space="preserve">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3FF922A9" w14:textId="77777777" w:rsidR="00A87811" w:rsidRDefault="003050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14:paraId="53B371CE"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621BF75"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77BABA40"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518825C8"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F1E3F4C"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766F380C"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3C624DD"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0380F98C"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05F21960"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33C41D1E"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059DC5F1"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10BF7151"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1B6ADDD6"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DCD1110"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F148719"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018FC6B1"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03C62A7A"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4584A4F"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A27A2AF"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4D98CFF7"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7A6F2000"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142BA813"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9DB8EFB"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7092839"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558E1E8"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14:paraId="5DDF5AE5"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5CAEE652"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3CC6BD8B"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F624A99"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8D4A5E6"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40ED4BFC"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6A88DDCF"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1FB2312F"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12158988"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5F49D562"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2E8C0C89"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4DC9A7E1"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4C3A40D9"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71D6A410" w14:textId="77777777" w:rsidR="00A87811" w:rsidRDefault="00A87811">
      <w:pPr>
        <w:tabs>
          <w:tab w:val="left" w:pos="851"/>
        </w:tabs>
        <w:spacing w:after="0" w:line="240" w:lineRule="auto"/>
        <w:ind w:right="902"/>
        <w:jc w:val="both"/>
        <w:rPr>
          <w:rFonts w:ascii="Palatino Linotype" w:eastAsia="Palatino Linotype" w:hAnsi="Palatino Linotype" w:cs="Palatino Linotype"/>
          <w:i/>
        </w:rPr>
      </w:pPr>
    </w:p>
    <w:p w14:paraId="5260F4D8" w14:textId="77777777" w:rsidR="00A87811" w:rsidRDefault="00A87811">
      <w:pPr>
        <w:spacing w:after="0" w:line="360" w:lineRule="auto"/>
        <w:ind w:right="423"/>
        <w:jc w:val="both"/>
        <w:rPr>
          <w:rFonts w:ascii="Palatino Linotype" w:eastAsia="Palatino Linotype" w:hAnsi="Palatino Linotype" w:cs="Palatino Linotype"/>
        </w:rPr>
      </w:pPr>
    </w:p>
    <w:p w14:paraId="6C9DE632" w14:textId="77777777" w:rsidR="00A87811" w:rsidRDefault="00A87811">
      <w:pPr>
        <w:tabs>
          <w:tab w:val="left" w:pos="709"/>
        </w:tabs>
        <w:spacing w:after="0" w:line="360" w:lineRule="auto"/>
        <w:jc w:val="both"/>
        <w:rPr>
          <w:rFonts w:ascii="Palatino Linotype" w:eastAsia="Palatino Linotype" w:hAnsi="Palatino Linotype" w:cs="Palatino Linotype"/>
          <w:b/>
        </w:rPr>
      </w:pPr>
    </w:p>
    <w:sectPr w:rsidR="00A87811">
      <w:headerReference w:type="default" r:id="rId9"/>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93240" w14:textId="77777777" w:rsidR="00125A4D" w:rsidRDefault="00305093">
      <w:pPr>
        <w:spacing w:after="0" w:line="240" w:lineRule="auto"/>
      </w:pPr>
      <w:r>
        <w:separator/>
      </w:r>
    </w:p>
  </w:endnote>
  <w:endnote w:type="continuationSeparator" w:id="0">
    <w:p w14:paraId="1A7D9D90" w14:textId="77777777" w:rsidR="00125A4D" w:rsidRDefault="0030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C739E" w14:textId="77777777" w:rsidR="00125A4D" w:rsidRDefault="00305093">
      <w:pPr>
        <w:spacing w:after="0" w:line="240" w:lineRule="auto"/>
      </w:pPr>
      <w:r>
        <w:separator/>
      </w:r>
    </w:p>
  </w:footnote>
  <w:footnote w:type="continuationSeparator" w:id="0">
    <w:p w14:paraId="31B4E039" w14:textId="77777777" w:rsidR="00125A4D" w:rsidRDefault="0030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E8DE" w14:textId="77777777" w:rsidR="00A87811" w:rsidRDefault="00552F76">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14:anchorId="42D74B1D" wp14:editId="2CA57497">
          <wp:simplePos x="0" y="0"/>
          <wp:positionH relativeFrom="column">
            <wp:posOffset>-764540</wp:posOffset>
          </wp:positionH>
          <wp:positionV relativeFrom="paragraph">
            <wp:posOffset>-132080</wp:posOffset>
          </wp:positionV>
          <wp:extent cx="7521053" cy="9897494"/>
          <wp:effectExtent l="0" t="0" r="3810" b="8890"/>
          <wp:wrapNone/>
          <wp:docPr id="15557685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tbl>
    <w:tblPr>
      <w:tblStyle w:val="a1"/>
      <w:tblW w:w="5382" w:type="dxa"/>
      <w:tblInd w:w="3402" w:type="dxa"/>
      <w:tblLayout w:type="fixed"/>
      <w:tblLook w:val="0400" w:firstRow="0" w:lastRow="0" w:firstColumn="0" w:lastColumn="0" w:noHBand="0" w:noVBand="1"/>
    </w:tblPr>
    <w:tblGrid>
      <w:gridCol w:w="2410"/>
      <w:gridCol w:w="2972"/>
    </w:tblGrid>
    <w:tr w:rsidR="00A87811" w14:paraId="7F3DC298" w14:textId="77777777">
      <w:tc>
        <w:tcPr>
          <w:tcW w:w="2410" w:type="dxa"/>
          <w:vAlign w:val="center"/>
        </w:tcPr>
        <w:p w14:paraId="7AB75301" w14:textId="77777777" w:rsidR="00A87811" w:rsidRDefault="00A8781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2972" w:type="dxa"/>
          <w:vAlign w:val="center"/>
        </w:tcPr>
        <w:p w14:paraId="65F83CB4" w14:textId="77777777" w:rsidR="00A87811" w:rsidRDefault="0030509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A87811" w14:paraId="0D220F47" w14:textId="77777777">
      <w:tc>
        <w:tcPr>
          <w:tcW w:w="2410" w:type="dxa"/>
          <w:vAlign w:val="center"/>
        </w:tcPr>
        <w:p w14:paraId="7F5F2F0F" w14:textId="77777777" w:rsidR="00A87811" w:rsidRDefault="003050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972" w:type="dxa"/>
        </w:tcPr>
        <w:p w14:paraId="019D5DBF" w14:textId="45F602E1" w:rsidR="002706F1" w:rsidRDefault="00552F76" w:rsidP="00552F7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0A328B">
            <w:rPr>
              <w:rFonts w:ascii="Palatino Linotype" w:eastAsia="Palatino Linotype" w:hAnsi="Palatino Linotype" w:cs="Palatino Linotype"/>
              <w:b/>
              <w:color w:val="000000"/>
              <w:sz w:val="20"/>
              <w:szCs w:val="20"/>
            </w:rPr>
            <w:t>1115</w:t>
          </w:r>
          <w:r w:rsidR="00684164">
            <w:rPr>
              <w:rFonts w:ascii="Palatino Linotype" w:eastAsia="Palatino Linotype" w:hAnsi="Palatino Linotype" w:cs="Palatino Linotype"/>
              <w:b/>
              <w:color w:val="000000"/>
              <w:sz w:val="20"/>
              <w:szCs w:val="20"/>
            </w:rPr>
            <w:t>/INFOEM/IP/RR/2025</w:t>
          </w:r>
        </w:p>
      </w:tc>
    </w:tr>
    <w:tr w:rsidR="00A87811" w14:paraId="6868091C" w14:textId="77777777">
      <w:tc>
        <w:tcPr>
          <w:tcW w:w="2410" w:type="dxa"/>
        </w:tcPr>
        <w:p w14:paraId="6EB0D4AF" w14:textId="77777777" w:rsidR="00A87811" w:rsidRDefault="003050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972" w:type="dxa"/>
        </w:tcPr>
        <w:p w14:paraId="10DC2444" w14:textId="3396E059" w:rsidR="00A87811" w:rsidRDefault="000A328B">
          <w:pPr>
            <w:tabs>
              <w:tab w:val="center" w:pos="4419"/>
              <w:tab w:val="right" w:pos="8838"/>
            </w:tabs>
            <w:jc w:val="both"/>
            <w:rPr>
              <w:rFonts w:ascii="Palatino Linotype" w:eastAsia="Palatino Linotype" w:hAnsi="Palatino Linotype" w:cs="Palatino Linotype"/>
              <w:b/>
              <w:color w:val="000000"/>
              <w:sz w:val="20"/>
              <w:szCs w:val="20"/>
            </w:rPr>
          </w:pPr>
          <w:r w:rsidRPr="000A328B">
            <w:rPr>
              <w:rFonts w:ascii="Palatino Linotype" w:eastAsia="Palatino Linotype" w:hAnsi="Palatino Linotype" w:cs="Palatino Linotype"/>
              <w:b/>
              <w:color w:val="000000"/>
              <w:sz w:val="20"/>
              <w:szCs w:val="20"/>
            </w:rPr>
            <w:t>Ayuntamiento de Atizapán de Zaragoza</w:t>
          </w:r>
        </w:p>
      </w:tc>
    </w:tr>
    <w:tr w:rsidR="00A87811" w14:paraId="3961D266" w14:textId="77777777">
      <w:tc>
        <w:tcPr>
          <w:tcW w:w="2410" w:type="dxa"/>
        </w:tcPr>
        <w:p w14:paraId="7A327127" w14:textId="77777777" w:rsidR="00A87811" w:rsidRDefault="00305093" w:rsidP="00773AC2">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773AC2">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w:t>
          </w:r>
        </w:p>
      </w:tc>
      <w:tc>
        <w:tcPr>
          <w:tcW w:w="2972" w:type="dxa"/>
        </w:tcPr>
        <w:p w14:paraId="7C2BDA47" w14:textId="6C1CE3B1" w:rsidR="00A87811" w:rsidRDefault="000A328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0A328B">
            <w:rPr>
              <w:rFonts w:ascii="Palatino Linotype" w:eastAsia="Palatino Linotype" w:hAnsi="Palatino Linotype" w:cs="Palatino Linotype"/>
              <w:b/>
              <w:color w:val="000000"/>
              <w:sz w:val="20"/>
              <w:szCs w:val="20"/>
            </w:rPr>
            <w:t>José Martínez Vilchis</w:t>
          </w:r>
        </w:p>
      </w:tc>
    </w:tr>
  </w:tbl>
  <w:p w14:paraId="78D16F97" w14:textId="77777777" w:rsidR="00A87811" w:rsidRDefault="00A8781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1A7"/>
    <w:multiLevelType w:val="hybridMultilevel"/>
    <w:tmpl w:val="6D664CDA"/>
    <w:lvl w:ilvl="0" w:tplc="EB328074">
      <w:start w:val="106"/>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435A25"/>
    <w:multiLevelType w:val="multilevel"/>
    <w:tmpl w:val="C006424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11"/>
    <w:rsid w:val="000A328B"/>
    <w:rsid w:val="00125A4D"/>
    <w:rsid w:val="002378B3"/>
    <w:rsid w:val="002706F1"/>
    <w:rsid w:val="003040D6"/>
    <w:rsid w:val="00305093"/>
    <w:rsid w:val="00405745"/>
    <w:rsid w:val="00552F76"/>
    <w:rsid w:val="00557022"/>
    <w:rsid w:val="005D66CC"/>
    <w:rsid w:val="00684164"/>
    <w:rsid w:val="00773AC2"/>
    <w:rsid w:val="00776FA5"/>
    <w:rsid w:val="0078626B"/>
    <w:rsid w:val="007E0D6D"/>
    <w:rsid w:val="007F1DA5"/>
    <w:rsid w:val="00A87811"/>
    <w:rsid w:val="00C636A8"/>
    <w:rsid w:val="00D55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6EE9"/>
  <w15:docId w15:val="{BC24F97A-7C7E-44B6-AF5D-B30A6AC8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vqId6iYYCpWqyBmLbnFqzrhg==">CgMxLjAyCGguZ2pkZ3hzMg5oLnNlem5rMHYza3dkcDIOaC54ZXpyMG9rZDU3dG4yCWguMWZvYjl0ZTIJaC4zMGowemxsOAByITFkSFFDSHZPLTFwVFMyLVFubmZnTHB4bFBNdHc5SlBlSw==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2578</Words>
  <Characters>14183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5</cp:revision>
  <dcterms:created xsi:type="dcterms:W3CDTF">2025-04-24T20:38:00Z</dcterms:created>
  <dcterms:modified xsi:type="dcterms:W3CDTF">2025-04-24T20:44:00Z</dcterms:modified>
</cp:coreProperties>
</file>