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B10" w:rsidRDefault="00DF6E94">
      <w:pPr>
        <w:spacing w:after="0" w:line="360" w:lineRule="auto"/>
        <w:jc w:val="both"/>
        <w:rPr>
          <w:rFonts w:ascii="Palatino Linotype" w:eastAsia="Palatino Linotype" w:hAnsi="Palatino Linotype" w:cs="Palatino Linotype"/>
          <w:b/>
          <w:color w:val="000000"/>
        </w:rPr>
      </w:pPr>
      <w:bookmarkStart w:id="0" w:name="_heading=h.gjdgxs" w:colFirst="0" w:colLast="0"/>
      <w:bookmarkStart w:id="1" w:name="_GoBack"/>
      <w:bookmarkEnd w:id="0"/>
      <w:bookmarkEnd w:id="1"/>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DÉCIMA </w:t>
      </w:r>
      <w:r w:rsidR="00DE4C45">
        <w:rPr>
          <w:rFonts w:ascii="Palatino Linotype" w:eastAsia="Palatino Linotype" w:hAnsi="Palatino Linotype" w:cs="Palatino Linotype"/>
          <w:b/>
        </w:rPr>
        <w:t>CUARTA</w:t>
      </w:r>
      <w:r>
        <w:rPr>
          <w:rFonts w:ascii="Palatino Linotype" w:eastAsia="Palatino Linotype" w:hAnsi="Palatino Linotype" w:cs="Palatino Linotype"/>
          <w:b/>
        </w:rPr>
        <w:t xml:space="preserve"> SESIÓN ORDINARIA DEL VEINTI</w:t>
      </w:r>
      <w:r w:rsidR="00DE4C45">
        <w:rPr>
          <w:rFonts w:ascii="Palatino Linotype" w:eastAsia="Palatino Linotype" w:hAnsi="Palatino Linotype" w:cs="Palatino Linotype"/>
          <w:b/>
        </w:rPr>
        <w:t>TRÉS</w:t>
      </w:r>
      <w:r>
        <w:rPr>
          <w:rFonts w:ascii="Palatino Linotype" w:eastAsia="Palatino Linotype" w:hAnsi="Palatino Linotype" w:cs="Palatino Linotype"/>
          <w:b/>
        </w:rPr>
        <w:t xml:space="preserve"> DE </w:t>
      </w:r>
      <w:r w:rsidR="00DE4C45">
        <w:rPr>
          <w:rFonts w:ascii="Palatino Linotype" w:eastAsia="Palatino Linotype" w:hAnsi="Palatino Linotype" w:cs="Palatino Linotype"/>
          <w:b/>
        </w:rPr>
        <w:t>ABRIL</w:t>
      </w:r>
      <w:r>
        <w:rPr>
          <w:rFonts w:ascii="Palatino Linotype" w:eastAsia="Palatino Linotype" w:hAnsi="Palatino Linotype" w:cs="Palatino Linotype"/>
          <w:b/>
        </w:rPr>
        <w:t xml:space="preserve"> DE DOS MIL VEINTICINCO EN EL RECURSO DE REVISIÓN </w:t>
      </w:r>
      <w:r>
        <w:rPr>
          <w:rFonts w:ascii="Palatino Linotype" w:eastAsia="Palatino Linotype" w:hAnsi="Palatino Linotype" w:cs="Palatino Linotype"/>
          <w:b/>
          <w:color w:val="000000"/>
        </w:rPr>
        <w:t>0</w:t>
      </w:r>
      <w:r w:rsidR="00DE4C45">
        <w:rPr>
          <w:rFonts w:ascii="Palatino Linotype" w:eastAsia="Palatino Linotype" w:hAnsi="Palatino Linotype" w:cs="Palatino Linotype"/>
          <w:b/>
          <w:color w:val="000000"/>
        </w:rPr>
        <w:t>1</w:t>
      </w:r>
      <w:r w:rsidR="004A51F5">
        <w:rPr>
          <w:rFonts w:ascii="Palatino Linotype" w:eastAsia="Palatino Linotype" w:hAnsi="Palatino Linotype" w:cs="Palatino Linotype"/>
          <w:b/>
          <w:color w:val="000000"/>
        </w:rPr>
        <w:t>999</w:t>
      </w:r>
      <w:r>
        <w:rPr>
          <w:rFonts w:ascii="Palatino Linotype" w:eastAsia="Palatino Linotype" w:hAnsi="Palatino Linotype" w:cs="Palatino Linotype"/>
          <w:b/>
          <w:color w:val="000000"/>
        </w:rPr>
        <w:t>/INFOEM/IP/RR/2025.</w:t>
      </w:r>
    </w:p>
    <w:p w:rsidR="009A1B10" w:rsidRDefault="009A1B10">
      <w:pPr>
        <w:spacing w:after="0" w:line="360" w:lineRule="auto"/>
        <w:jc w:val="both"/>
        <w:rPr>
          <w:rFonts w:ascii="Palatino Linotype" w:eastAsia="Palatino Linotype" w:hAnsi="Palatino Linotype" w:cs="Palatino Linotype"/>
          <w:b/>
        </w:rPr>
      </w:pPr>
    </w:p>
    <w:p w:rsidR="009A1B10" w:rsidRDefault="00DF6E94">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Estado de México resolvió por unanimidad de votos, la Resolución relativa al Recurso de Revisión</w:t>
      </w:r>
      <w:r w:rsidR="004A51F5">
        <w:rPr>
          <w:rFonts w:ascii="Palatino Linotype" w:eastAsia="Palatino Linotype" w:hAnsi="Palatino Linotype" w:cs="Palatino Linotype"/>
        </w:rPr>
        <w:t xml:space="preserve"> </w:t>
      </w:r>
      <w:r w:rsidR="004A51F5" w:rsidRPr="004A51F5">
        <w:rPr>
          <w:rFonts w:ascii="Palatino Linotype" w:eastAsia="Palatino Linotype" w:hAnsi="Palatino Linotype" w:cs="Palatino Linotype"/>
          <w:b/>
        </w:rPr>
        <w:t>01999/INFOEM/IP/RR/2025</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9A1B10" w:rsidRDefault="009A1B10">
      <w:pPr>
        <w:spacing w:after="0" w:line="360" w:lineRule="auto"/>
        <w:ind w:right="-93"/>
        <w:jc w:val="both"/>
        <w:rPr>
          <w:rFonts w:ascii="Palatino Linotype" w:eastAsia="Palatino Linotype" w:hAnsi="Palatino Linotype" w:cs="Palatino Linotype"/>
        </w:rPr>
      </w:pPr>
    </w:p>
    <w:p w:rsidR="009A1B10" w:rsidRDefault="00DF6E94">
      <w:pPr>
        <w:spacing w:after="0" w:line="360" w:lineRule="auto"/>
        <w:ind w:right="-93"/>
        <w:jc w:val="both"/>
        <w:rPr>
          <w:rFonts w:ascii="Palatino Linotype" w:eastAsia="Palatino Linotype" w:hAnsi="Palatino Linotype" w:cs="Palatino Linotype"/>
        </w:rPr>
      </w:pPr>
      <w:r>
        <w:rPr>
          <w:rFonts w:ascii="Palatino Linotype" w:eastAsia="Palatino Linotype" w:hAnsi="Palatino Linotype" w:cs="Palatino Linotype"/>
        </w:rPr>
        <w:t>Al respecto preciso señalar que se comparte el sentido de la resolución,</w:t>
      </w:r>
      <w:r w:rsidR="00DE4C45">
        <w:rPr>
          <w:rFonts w:ascii="Palatino Linotype" w:eastAsia="Palatino Linotype" w:hAnsi="Palatino Linotype" w:cs="Palatino Linotype"/>
        </w:rPr>
        <w:t xml:space="preserve"> misma que fue engrosada conforme el criterio mayoritario,</w:t>
      </w:r>
      <w:r>
        <w:rPr>
          <w:rFonts w:ascii="Palatino Linotype" w:eastAsia="Palatino Linotype" w:hAnsi="Palatino Linotype" w:cs="Palatino Linotype"/>
        </w:rPr>
        <w:t xml:space="preserve"> ya que del análisis de las constancias que conforman el expediente electrónico, se desprendió que la información que se ordena es susceptible de transparentarse pues se encuentra relacionada con la gestión pública y con su publicidad se favorece indudablemente a la rendición de cuentas.</w:t>
      </w:r>
    </w:p>
    <w:p w:rsidR="009A1B10" w:rsidRDefault="009A1B10">
      <w:pPr>
        <w:pBdr>
          <w:top w:val="nil"/>
          <w:left w:val="nil"/>
          <w:bottom w:val="nil"/>
          <w:right w:val="nil"/>
          <w:between w:val="nil"/>
        </w:pBdr>
        <w:spacing w:after="0" w:line="360" w:lineRule="auto"/>
        <w:jc w:val="both"/>
        <w:rPr>
          <w:rFonts w:ascii="Palatino Linotype" w:eastAsia="Palatino Linotype" w:hAnsi="Palatino Linotype" w:cs="Palatino Linotype"/>
        </w:rPr>
      </w:pPr>
    </w:p>
    <w:p w:rsidR="009A1B10" w:rsidRDefault="00DF6E9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Sin embargo, es preciso mencionar que, el presente voto se formula en relación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rsidR="009A1B10" w:rsidRDefault="009A1B10">
      <w:pPr>
        <w:pBdr>
          <w:top w:val="nil"/>
          <w:left w:val="nil"/>
          <w:bottom w:val="nil"/>
          <w:right w:val="nil"/>
          <w:between w:val="nil"/>
        </w:pBdr>
        <w:spacing w:after="0" w:line="360" w:lineRule="auto"/>
        <w:jc w:val="both"/>
        <w:rPr>
          <w:rFonts w:ascii="Palatino Linotype" w:eastAsia="Palatino Linotype" w:hAnsi="Palatino Linotype" w:cs="Palatino Linotype"/>
          <w:b/>
        </w:rPr>
      </w:pPr>
    </w:p>
    <w:p w:rsidR="009A1B10" w:rsidRDefault="00DF6E94">
      <w:pPr>
        <w:spacing w:after="0" w:line="276" w:lineRule="auto"/>
        <w:ind w:right="706"/>
        <w:jc w:val="both"/>
        <w:rPr>
          <w:rFonts w:ascii="Palatino Linotype" w:eastAsia="Palatino Linotype" w:hAnsi="Palatino Linotype" w:cs="Palatino Linotype"/>
          <w:i/>
        </w:rPr>
      </w:pPr>
      <w:r>
        <w:rPr>
          <w:rFonts w:ascii="Palatino Linotype" w:eastAsia="Palatino Linotype" w:hAnsi="Palatino Linotype" w:cs="Palatino Linotype"/>
        </w:rPr>
        <w:t>Al respecto en la resolución se consideró lo siguiente</w:t>
      </w:r>
      <w:r>
        <w:rPr>
          <w:rFonts w:ascii="Palatino Linotype" w:eastAsia="Palatino Linotype" w:hAnsi="Palatino Linotype" w:cs="Palatino Linotype"/>
          <w:i/>
        </w:rPr>
        <w:t>:</w:t>
      </w:r>
    </w:p>
    <w:p w:rsidR="009A1B10" w:rsidRDefault="009A1B10">
      <w:pPr>
        <w:spacing w:after="0" w:line="276" w:lineRule="auto"/>
        <w:ind w:right="706"/>
        <w:jc w:val="both"/>
        <w:rPr>
          <w:rFonts w:ascii="Palatino Linotype" w:eastAsia="Palatino Linotype" w:hAnsi="Palatino Linotype" w:cs="Palatino Linotype"/>
          <w:i/>
        </w:rPr>
      </w:pPr>
    </w:p>
    <w:p w:rsidR="004A51F5" w:rsidRPr="004A51F5" w:rsidRDefault="00DF6E94" w:rsidP="004A51F5">
      <w:pPr>
        <w:spacing w:line="276" w:lineRule="auto"/>
        <w:ind w:left="709" w:right="706"/>
        <w:jc w:val="both"/>
        <w:rPr>
          <w:rFonts w:ascii="Palatino Linotype" w:eastAsia="Palatino Linotype" w:hAnsi="Palatino Linotype" w:cs="Palatino Linotype"/>
          <w:i/>
          <w:lang w:val="es-MX"/>
        </w:rPr>
      </w:pPr>
      <w:bookmarkStart w:id="2" w:name="_heading=h.45hwe8mv0ra7" w:colFirst="0" w:colLast="0"/>
      <w:bookmarkEnd w:id="2"/>
      <w:r>
        <w:rPr>
          <w:rFonts w:ascii="Palatino Linotype" w:eastAsia="Palatino Linotype" w:hAnsi="Palatino Linotype" w:cs="Palatino Linotype"/>
          <w:i/>
        </w:rPr>
        <w:t>“</w:t>
      </w:r>
      <w:r w:rsidR="004A51F5">
        <w:rPr>
          <w:rFonts w:ascii="Palatino Linotype" w:eastAsia="Palatino Linotype" w:hAnsi="Palatino Linotype" w:cs="Palatino Linotype"/>
          <w:i/>
        </w:rPr>
        <w:t>-</w:t>
      </w:r>
      <w:r w:rsidR="004A51F5" w:rsidRPr="004A51F5">
        <w:rPr>
          <w:rFonts w:ascii="Palatino Linotype" w:eastAsia="Palatino Linotype" w:hAnsi="Palatino Linotype" w:cs="Palatino Linotype"/>
          <w:b/>
          <w:i/>
          <w:lang w:val="es-MX"/>
        </w:rPr>
        <w:t>Fotografía de servidores públicos</w:t>
      </w:r>
      <w:r w:rsidR="004A51F5" w:rsidRPr="004A51F5">
        <w:rPr>
          <w:rFonts w:ascii="Palatino Linotype" w:eastAsia="Palatino Linotype" w:hAnsi="Palatino Linotype" w:cs="Palatino Linotype"/>
          <w:i/>
          <w:lang w:val="es-MX"/>
        </w:rPr>
        <w:t xml:space="preserve">: </w:t>
      </w:r>
    </w:p>
    <w:p w:rsidR="004A51F5" w:rsidRPr="004A51F5" w:rsidRDefault="004A51F5" w:rsidP="004A51F5">
      <w:pPr>
        <w:spacing w:line="276" w:lineRule="auto"/>
        <w:ind w:left="709" w:right="706" w:hanging="11"/>
        <w:jc w:val="both"/>
        <w:rPr>
          <w:rFonts w:ascii="Palatino Linotype" w:eastAsia="Palatino Linotype" w:hAnsi="Palatino Linotype" w:cs="Palatino Linotype"/>
          <w:i/>
          <w:lang w:val="es-MX"/>
        </w:rPr>
      </w:pPr>
      <w:r w:rsidRPr="004A51F5">
        <w:rPr>
          <w:rFonts w:ascii="Palatino Linotype" w:eastAsia="Palatino Linotype" w:hAnsi="Palatino Linotype" w:cs="Palatino Linotype"/>
          <w:i/>
          <w:lang w:val="es-MX"/>
        </w:rPr>
        <w:t>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4A51F5" w:rsidRPr="004A51F5" w:rsidRDefault="004A51F5" w:rsidP="004A51F5">
      <w:pPr>
        <w:spacing w:line="276" w:lineRule="auto"/>
        <w:ind w:left="709" w:right="706" w:hanging="11"/>
        <w:jc w:val="both"/>
        <w:rPr>
          <w:rFonts w:ascii="Palatino Linotype" w:eastAsia="Palatino Linotype" w:hAnsi="Palatino Linotype" w:cs="Palatino Linotype"/>
          <w:i/>
          <w:lang w:val="es-MX"/>
        </w:rPr>
      </w:pPr>
      <w:r w:rsidRPr="004A51F5">
        <w:rPr>
          <w:rFonts w:ascii="Palatino Linotype" w:eastAsia="Palatino Linotype" w:hAnsi="Palatino Linotype" w:cs="Palatino Linotype"/>
          <w:i/>
          <w:lang w:val="es-MX"/>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4A51F5" w:rsidRPr="004A51F5" w:rsidRDefault="004A51F5" w:rsidP="004A51F5">
      <w:pPr>
        <w:spacing w:line="276" w:lineRule="auto"/>
        <w:ind w:left="709" w:right="706" w:hanging="11"/>
        <w:jc w:val="both"/>
        <w:rPr>
          <w:rFonts w:ascii="Palatino Linotype" w:eastAsia="Palatino Linotype" w:hAnsi="Palatino Linotype" w:cs="Palatino Linotype"/>
          <w:i/>
          <w:lang w:val="es-MX"/>
        </w:rPr>
      </w:pPr>
      <w:r w:rsidRPr="004A51F5">
        <w:rPr>
          <w:rFonts w:ascii="Palatino Linotype" w:eastAsia="Palatino Linotype" w:hAnsi="Palatino Linotype" w:cs="Palatino Linotype"/>
          <w:i/>
          <w:lang w:val="es-MX"/>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w:t>
      </w:r>
      <w:r w:rsidRPr="004A51F5">
        <w:rPr>
          <w:rFonts w:ascii="Palatino Linotype" w:eastAsia="Palatino Linotype" w:hAnsi="Palatino Linotype" w:cs="Palatino Linotype"/>
          <w:b/>
          <w:i/>
          <w:lang w:val="es-MX"/>
        </w:rPr>
        <w:t xml:space="preserve">con excepción del personal operativo en materia de </w:t>
      </w:r>
      <w:r w:rsidRPr="004A51F5">
        <w:rPr>
          <w:rFonts w:ascii="Palatino Linotype" w:eastAsia="Palatino Linotype" w:hAnsi="Palatino Linotype" w:cs="Palatino Linotype"/>
          <w:b/>
          <w:i/>
          <w:lang w:val="es-MX"/>
        </w:rPr>
        <w:lastRenderedPageBreak/>
        <w:t>seguridad, respecto del cual el Pleno de este Instituto ya se ha pronunciado en el sentido de que la información que los haga identificados o identificables debe clasificarse como reservada</w:t>
      </w:r>
      <w:r w:rsidRPr="004A51F5">
        <w:rPr>
          <w:rFonts w:ascii="Palatino Linotype" w:eastAsia="Palatino Linotype" w:hAnsi="Palatino Linotype" w:cs="Palatino Linotype"/>
          <w:i/>
          <w:lang w:val="es-MX"/>
        </w:rPr>
        <w:t>).</w:t>
      </w:r>
    </w:p>
    <w:p w:rsidR="004A51F5" w:rsidRPr="004A51F5" w:rsidRDefault="004A51F5" w:rsidP="004A51F5">
      <w:pPr>
        <w:spacing w:line="276" w:lineRule="auto"/>
        <w:ind w:left="709" w:right="706" w:hanging="11"/>
        <w:jc w:val="both"/>
        <w:rPr>
          <w:rFonts w:ascii="Palatino Linotype" w:eastAsia="Palatino Linotype" w:hAnsi="Palatino Linotype" w:cs="Palatino Linotype"/>
          <w:i/>
          <w:lang w:val="es-MX"/>
        </w:rPr>
      </w:pPr>
      <w:r w:rsidRPr="004A51F5">
        <w:rPr>
          <w:rFonts w:ascii="Palatino Linotype" w:eastAsia="Palatino Linotype" w:hAnsi="Palatino Linotype" w:cs="Palatino Linotype"/>
          <w:i/>
          <w:lang w:val="es-MX"/>
        </w:rPr>
        <w:t>En este sentido, resultan aplicables por analogía, los Criterios orientadores SO/015/2017 y SO/001/2013 del entonces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rsidR="004A51F5" w:rsidRPr="004A51F5" w:rsidRDefault="004A51F5" w:rsidP="004A51F5">
      <w:pPr>
        <w:spacing w:line="276" w:lineRule="auto"/>
        <w:ind w:left="709" w:right="706" w:hanging="11"/>
        <w:jc w:val="both"/>
        <w:rPr>
          <w:rFonts w:ascii="Palatino Linotype" w:eastAsia="Palatino Linotype" w:hAnsi="Palatino Linotype" w:cs="Palatino Linotype"/>
          <w:i/>
          <w:lang w:val="es-MX"/>
        </w:rPr>
      </w:pPr>
      <w:r w:rsidRPr="004A51F5">
        <w:rPr>
          <w:rFonts w:ascii="Palatino Linotype" w:eastAsia="Palatino Linotype" w:hAnsi="Palatino Linotype" w:cs="Palatino Linotype"/>
          <w:i/>
          <w:lang w:val="es-MX"/>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rsidR="004A51F5" w:rsidRPr="004A51F5" w:rsidRDefault="004A51F5" w:rsidP="004A51F5">
      <w:pPr>
        <w:spacing w:line="276" w:lineRule="auto"/>
        <w:ind w:left="709" w:right="706" w:hanging="11"/>
        <w:jc w:val="both"/>
        <w:rPr>
          <w:rFonts w:ascii="Palatino Linotype" w:eastAsia="Palatino Linotype" w:hAnsi="Palatino Linotype" w:cs="Palatino Linotype"/>
          <w:i/>
          <w:lang w:val="es-MX"/>
        </w:rPr>
      </w:pPr>
      <w:r w:rsidRPr="004A51F5">
        <w:rPr>
          <w:rFonts w:ascii="Palatino Linotype" w:eastAsia="Palatino Linotype" w:hAnsi="Palatino Linotype" w:cs="Palatino Linotype"/>
          <w:i/>
          <w:lang w:val="es-MX"/>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4A51F5" w:rsidRPr="004A51F5" w:rsidRDefault="004A51F5" w:rsidP="004A51F5">
      <w:pPr>
        <w:spacing w:line="276" w:lineRule="auto"/>
        <w:ind w:left="709" w:right="706" w:hanging="11"/>
        <w:jc w:val="both"/>
        <w:rPr>
          <w:rFonts w:ascii="Palatino Linotype" w:eastAsia="Palatino Linotype" w:hAnsi="Palatino Linotype" w:cs="Palatino Linotype"/>
          <w:i/>
          <w:lang w:val="es-MX"/>
        </w:rPr>
      </w:pPr>
    </w:p>
    <w:p w:rsidR="004A51F5" w:rsidRPr="004A51F5" w:rsidRDefault="004A51F5" w:rsidP="004A51F5">
      <w:pPr>
        <w:spacing w:line="276" w:lineRule="auto"/>
        <w:ind w:left="709" w:right="706" w:hanging="11"/>
        <w:jc w:val="both"/>
        <w:rPr>
          <w:rFonts w:ascii="Palatino Linotype" w:eastAsia="Palatino Linotype" w:hAnsi="Palatino Linotype" w:cs="Palatino Linotype"/>
          <w:i/>
          <w:lang w:val="es-MX"/>
        </w:rPr>
      </w:pPr>
      <w:r w:rsidRPr="004A51F5">
        <w:rPr>
          <w:rFonts w:ascii="Palatino Linotype" w:eastAsia="Palatino Linotype" w:hAnsi="Palatino Linotype" w:cs="Palatino Linotype"/>
          <w:i/>
          <w:lang w:val="es-MX"/>
        </w:rPr>
        <w:lastRenderedPageBreak/>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rsidR="009A1B10" w:rsidRDefault="004A51F5" w:rsidP="004A51F5">
      <w:pPr>
        <w:spacing w:line="276" w:lineRule="auto"/>
        <w:ind w:left="709" w:right="706" w:hanging="11"/>
        <w:jc w:val="both"/>
        <w:rPr>
          <w:rFonts w:ascii="Palatino Linotype" w:eastAsia="Palatino Linotype" w:hAnsi="Palatino Linotype" w:cs="Palatino Linotype"/>
          <w:i/>
        </w:rPr>
      </w:pPr>
      <w:r w:rsidRPr="004A51F5">
        <w:rPr>
          <w:rFonts w:ascii="Palatino Linotype" w:eastAsia="Palatino Linotype" w:hAnsi="Palatino Linotype" w:cs="Palatino Linotype"/>
          <w:i/>
          <w:lang w:val="es-MX"/>
        </w:rPr>
        <w:t>Conforme a lo anterior, las fotografías de servidores públicos sin importar el nivel o rango guardan la naturaleza de públicas (</w:t>
      </w:r>
      <w:r w:rsidRPr="004A51F5">
        <w:rPr>
          <w:rFonts w:ascii="Palatino Linotype" w:eastAsia="Palatino Linotype" w:hAnsi="Palatino Linotype" w:cs="Palatino Linotype"/>
          <w:b/>
          <w:i/>
          <w:lang w:val="es-MX"/>
        </w:rPr>
        <w:t>con excepción del personal operativo en materia de seguridad</w:t>
      </w:r>
      <w:r w:rsidRPr="004A51F5">
        <w:rPr>
          <w:rFonts w:ascii="Palatino Linotype" w:eastAsia="Palatino Linotype" w:hAnsi="Palatino Linotype" w:cs="Palatino Linotype"/>
          <w:i/>
          <w:lang w:val="es-MX"/>
        </w:rPr>
        <w:t>) y no procede su clasificación, en términos del artículo 143, fracción I, de la Ley de Transparencia y Acceso a la Información Pública del Estado de México y Municipios, por lo que en las versiones públicas que se ordenen, no podrá clasificarse esa información.</w:t>
      </w:r>
      <w:r w:rsidR="00DF6E94">
        <w:rPr>
          <w:rFonts w:ascii="Palatino Linotype" w:eastAsia="Palatino Linotype" w:hAnsi="Palatino Linotype" w:cs="Palatino Linotype"/>
          <w:i/>
          <w:color w:val="000000"/>
        </w:rPr>
        <w:t>”</w:t>
      </w:r>
    </w:p>
    <w:p w:rsidR="009A1B10" w:rsidRDefault="009A1B10">
      <w:pPr>
        <w:spacing w:after="0" w:line="276" w:lineRule="auto"/>
        <w:ind w:left="567" w:right="706"/>
        <w:jc w:val="both"/>
        <w:rPr>
          <w:rFonts w:ascii="Palatino Linotype" w:eastAsia="Palatino Linotype" w:hAnsi="Palatino Linotype" w:cs="Palatino Linotype"/>
          <w:i/>
        </w:rPr>
      </w:pPr>
    </w:p>
    <w:p w:rsidR="009A1B10" w:rsidRDefault="00DF6E94">
      <w:pPr>
        <w:spacing w:after="0" w:line="360" w:lineRule="auto"/>
        <w:jc w:val="both"/>
        <w:rPr>
          <w:rFonts w:ascii="Palatino Linotype" w:eastAsia="Palatino Linotype" w:hAnsi="Palatino Linotype" w:cs="Palatino Linotype"/>
        </w:rPr>
      </w:pPr>
      <w:bookmarkStart w:id="3" w:name="_heading=h.seznk0v3kwdp" w:colFirst="0" w:colLast="0"/>
      <w:bookmarkEnd w:id="3"/>
      <w:r>
        <w:rPr>
          <w:rFonts w:ascii="Palatino Linotype" w:eastAsia="Palatino Linotype" w:hAnsi="Palatino Linotype" w:cs="Palatino Linotype"/>
        </w:rPr>
        <w:t>Como se puede advertir, en el criterio de la mayoría no se distingue el nivel o cargo que ostente el servidor público. Sin embargo, desde  la óptica de quien suscribe por cuanto hace a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rsidR="009A1B10" w:rsidRDefault="009A1B10">
      <w:pPr>
        <w:spacing w:after="0" w:line="360" w:lineRule="auto"/>
        <w:jc w:val="both"/>
        <w:rPr>
          <w:rFonts w:ascii="Palatino Linotype" w:eastAsia="Palatino Linotype" w:hAnsi="Palatino Linotype" w:cs="Palatino Linotype"/>
        </w:rPr>
      </w:pPr>
    </w:p>
    <w:p w:rsidR="009A1B10" w:rsidRDefault="00DF6E9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en materia de administración pública los servidores públicos desempeñan funciones que por su naturaleza pueden ser de mayor interés público, esto es, aquellas que tienen un impacto directo en la vida de las personas y en el funcionamiento de la sociedad o </w:t>
      </w:r>
      <w:r>
        <w:rPr>
          <w:rFonts w:ascii="Palatino Linotype" w:eastAsia="Palatino Linotype" w:hAnsi="Palatino Linotype" w:cs="Palatino Linotype"/>
        </w:rPr>
        <w:lastRenderedPageBreak/>
        <w:t>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rsidR="009A1B10" w:rsidRDefault="009A1B10">
      <w:pPr>
        <w:spacing w:after="0" w:line="360" w:lineRule="auto"/>
        <w:jc w:val="both"/>
        <w:rPr>
          <w:rFonts w:ascii="Palatino Linotype" w:eastAsia="Palatino Linotype" w:hAnsi="Palatino Linotype" w:cs="Palatino Linotype"/>
        </w:rPr>
      </w:pPr>
    </w:p>
    <w:p w:rsidR="009A1B10" w:rsidRDefault="00DF6E94">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 suscrita comparte que se debe dejar visible su fotografía, pues hacer pública la imagen de éstos puede contribuir a la transparencia y la rendición de cuentas, al permitir a la ciudadanía identifique a los funcionarios que toman decisiones importantes en su nombre.</w:t>
      </w:r>
    </w:p>
    <w:p w:rsidR="009A1B10" w:rsidRDefault="009A1B10">
      <w:pPr>
        <w:spacing w:after="0" w:line="360" w:lineRule="auto"/>
        <w:ind w:right="140"/>
        <w:jc w:val="both"/>
        <w:rPr>
          <w:rFonts w:ascii="Palatino Linotype" w:eastAsia="Palatino Linotype" w:hAnsi="Palatino Linotype" w:cs="Palatino Linotype"/>
        </w:rPr>
      </w:pPr>
    </w:p>
    <w:p w:rsidR="009A1B10" w:rsidRDefault="00DF6E94">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así que, si bien se estipuló que </w:t>
      </w:r>
      <w:r>
        <w:rPr>
          <w:rFonts w:ascii="Palatino Linotype" w:eastAsia="Palatino Linotype" w:hAnsi="Palatino Linotype" w:cs="Palatino Linotype"/>
          <w:b/>
          <w:u w:val="single"/>
        </w:rPr>
        <w:t>las fotografías de servidores públicos, sin importar el nivel o rango, guardan la naturaleza de públicas y</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por lo tanto, no procede su clasificación,</w:t>
      </w:r>
      <w:r>
        <w:rPr>
          <w:rFonts w:ascii="Palatino Linotype" w:eastAsia="Palatino Linotype" w:hAnsi="Palatino Linotype" w:cs="Palatino Linotype"/>
          <w:b/>
        </w:rPr>
        <w:t xml:space="preserve"> </w:t>
      </w:r>
      <w:r>
        <w:rPr>
          <w:rFonts w:ascii="Palatino Linotype" w:eastAsia="Palatino Linotype" w:hAnsi="Palatino Linotype" w:cs="Palatino Linotype"/>
        </w:rPr>
        <w:t>también lo es que, no comparto dicho argumento, ya que desde mi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dar a conocer la imagen de un servidor público puede justificar la limitación de su derecho a la privacidad, pero esto debe evaluarse cuidadosamente en cada caso y no ser la regla general.</w:t>
      </w:r>
    </w:p>
    <w:p w:rsidR="009A1B10" w:rsidRDefault="009A1B10">
      <w:pPr>
        <w:tabs>
          <w:tab w:val="left" w:pos="4962"/>
        </w:tabs>
        <w:spacing w:after="0" w:line="360" w:lineRule="auto"/>
        <w:jc w:val="both"/>
        <w:rPr>
          <w:rFonts w:ascii="Palatino Linotype" w:eastAsia="Palatino Linotype" w:hAnsi="Palatino Linotype" w:cs="Palatino Linotype"/>
        </w:rPr>
      </w:pPr>
    </w:p>
    <w:p w:rsidR="009A1B10" w:rsidRDefault="00DF6E94">
      <w:pPr>
        <w:spacing w:after="0" w:line="360" w:lineRule="auto"/>
        <w:jc w:val="both"/>
        <w:rPr>
          <w:rFonts w:ascii="Palatino Linotype" w:eastAsia="Palatino Linotype" w:hAnsi="Palatino Linotype" w:cs="Palatino Linotype"/>
        </w:rPr>
      </w:pPr>
      <w:bookmarkStart w:id="4" w:name="_heading=h.xezr0okd57tn" w:colFirst="0" w:colLast="0"/>
      <w:bookmarkEnd w:id="4"/>
      <w:r>
        <w:rPr>
          <w:rFonts w:ascii="Palatino Linotype" w:eastAsia="Palatino Linotype" w:hAnsi="Palatino Linotype" w:cs="Palatino Linotype"/>
        </w:rPr>
        <w:lastRenderedPageBreak/>
        <w:t xml:space="preserve">Dado que el acceso a los documentos que contengan el dato materia de análisis, </w:t>
      </w:r>
      <w:proofErr w:type="spellStart"/>
      <w:r>
        <w:rPr>
          <w:rFonts w:ascii="Palatino Linotype" w:eastAsia="Palatino Linotype" w:hAnsi="Palatino Linotype" w:cs="Palatino Linotype"/>
        </w:rPr>
        <w:t>aún</w:t>
      </w:r>
      <w:proofErr w:type="spellEnd"/>
      <w:r>
        <w:rPr>
          <w:rFonts w:ascii="Palatino Linotype" w:eastAsia="Palatino Linotype" w:hAnsi="Palatino Linotype" w:cs="Palatino Linotype"/>
        </w:rPr>
        <w:t xml:space="preserve"> clasificándolo, sí daría cuenta de lo que en realidad se pretende transparentar, como es, por ejemplo, la preparación académica, la formación profesional y laboral y los conocimientos y habilidades adquiridas, que se refleja en la toma de decisiones para el óptimo desempeño de las funciones para las cuales fueron designados, la idoneidad para ocupar un cargo, entre otros aspectos, pues el hecho de clasificar la fotografía no le resta validez a los documentos para los fines señalados.</w:t>
      </w:r>
    </w:p>
    <w:p w:rsidR="009A1B10" w:rsidRDefault="009A1B10">
      <w:pPr>
        <w:spacing w:after="0" w:line="360" w:lineRule="auto"/>
        <w:jc w:val="both"/>
        <w:rPr>
          <w:rFonts w:ascii="Palatino Linotype" w:eastAsia="Palatino Linotype" w:hAnsi="Palatino Linotype" w:cs="Palatino Linotype"/>
        </w:rPr>
      </w:pPr>
    </w:p>
    <w:p w:rsidR="009A1B10" w:rsidRDefault="00DF6E94">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rsidR="009A1B10" w:rsidRDefault="009A1B10">
      <w:pPr>
        <w:spacing w:after="0" w:line="360" w:lineRule="auto"/>
        <w:jc w:val="both"/>
        <w:rPr>
          <w:rFonts w:ascii="Palatino Linotype" w:eastAsia="Palatino Linotype" w:hAnsi="Palatino Linotype" w:cs="Palatino Linotype"/>
        </w:rPr>
      </w:pPr>
    </w:p>
    <w:p w:rsidR="009A1B10" w:rsidRDefault="00DF6E94">
      <w:pPr>
        <w:tabs>
          <w:tab w:val="left" w:pos="4962"/>
        </w:tabs>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antes expuestas que no comparto este punto del estudio de la resolución dictada, y, por ende se emite el presente </w:t>
      </w:r>
      <w:r>
        <w:rPr>
          <w:rFonts w:ascii="Palatino Linotype" w:eastAsia="Palatino Linotype" w:hAnsi="Palatino Linotype" w:cs="Palatino Linotype"/>
          <w:b/>
        </w:rPr>
        <w:t xml:space="preserve">Voto Particular pues considero que </w:t>
      </w:r>
      <w:r>
        <w:rPr>
          <w:rFonts w:ascii="Palatino Linotype" w:eastAsia="Palatino Linotype" w:hAnsi="Palatino Linotype" w:cs="Palatino Linotype"/>
          <w:b/>
          <w:u w:val="single"/>
        </w:rPr>
        <w:t>no se debe dejar visible la fotografía de las y los servidores públicos que NO cuenten con la calidad de mando medio y/o superior,</w:t>
      </w:r>
      <w:r>
        <w:rPr>
          <w:rFonts w:ascii="Palatino Linotype" w:eastAsia="Palatino Linotype" w:hAnsi="Palatino Linotype" w:cs="Palatino Linotype"/>
        </w:rPr>
        <w:t xml:space="preserve"> </w:t>
      </w:r>
      <w:r>
        <w:rPr>
          <w:rFonts w:ascii="Palatino Linotype" w:eastAsia="Palatino Linotype" w:hAnsi="Palatino Linotype" w:cs="Palatino Linotype"/>
          <w:b/>
          <w:u w:val="single"/>
        </w:rPr>
        <w:t>o no presten atención al público</w:t>
      </w:r>
      <w:r>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Pública del Estado de México y Municipios.</w:t>
      </w:r>
    </w:p>
    <w:p w:rsidR="009A1B10" w:rsidRDefault="009A1B10">
      <w:pPr>
        <w:spacing w:after="0" w:line="360" w:lineRule="auto"/>
        <w:jc w:val="both"/>
        <w:rPr>
          <w:rFonts w:ascii="Palatino Linotype" w:eastAsia="Palatino Linotype" w:hAnsi="Palatino Linotype" w:cs="Palatino Linotype"/>
        </w:rPr>
      </w:pPr>
    </w:p>
    <w:p w:rsidR="009A1B10" w:rsidRDefault="009A1B10">
      <w:pPr>
        <w:spacing w:after="0" w:line="360" w:lineRule="auto"/>
        <w:jc w:val="both"/>
        <w:rPr>
          <w:rFonts w:ascii="Palatino Linotype" w:eastAsia="Palatino Linotype" w:hAnsi="Palatino Linotype" w:cs="Palatino Linotype"/>
        </w:rPr>
      </w:pPr>
    </w:p>
    <w:p w:rsidR="009A1B10" w:rsidRDefault="009A1B10">
      <w:pPr>
        <w:tabs>
          <w:tab w:val="left" w:pos="851"/>
        </w:tabs>
        <w:spacing w:after="0" w:line="240" w:lineRule="auto"/>
        <w:ind w:right="902"/>
        <w:jc w:val="both"/>
        <w:rPr>
          <w:rFonts w:ascii="Palatino Linotype" w:eastAsia="Palatino Linotype" w:hAnsi="Palatino Linotype" w:cs="Palatino Linotype"/>
        </w:rPr>
      </w:pPr>
      <w:bookmarkStart w:id="5" w:name="_heading=h.2et92p0" w:colFirst="0" w:colLast="0"/>
      <w:bookmarkEnd w:id="5"/>
    </w:p>
    <w:p w:rsidR="009A1B10" w:rsidRDefault="009A1B10">
      <w:pPr>
        <w:tabs>
          <w:tab w:val="left" w:pos="851"/>
        </w:tabs>
        <w:spacing w:after="0" w:line="240" w:lineRule="auto"/>
        <w:ind w:right="902"/>
        <w:jc w:val="both"/>
        <w:rPr>
          <w:rFonts w:ascii="Palatino Linotype" w:eastAsia="Palatino Linotype" w:hAnsi="Palatino Linotype" w:cs="Palatino Linotype"/>
          <w:i/>
        </w:rPr>
      </w:pPr>
      <w:bookmarkStart w:id="6" w:name="_heading=h.30j0zll" w:colFirst="0" w:colLast="0"/>
      <w:bookmarkEnd w:id="6"/>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tabs>
          <w:tab w:val="left" w:pos="851"/>
        </w:tabs>
        <w:spacing w:after="0" w:line="240" w:lineRule="auto"/>
        <w:ind w:right="902"/>
        <w:jc w:val="both"/>
        <w:rPr>
          <w:rFonts w:ascii="Palatino Linotype" w:eastAsia="Palatino Linotype" w:hAnsi="Palatino Linotype" w:cs="Palatino Linotype"/>
          <w:i/>
        </w:rPr>
      </w:pPr>
    </w:p>
    <w:p w:rsidR="009A1B10" w:rsidRDefault="009A1B10">
      <w:pPr>
        <w:spacing w:after="0" w:line="360" w:lineRule="auto"/>
        <w:ind w:right="423"/>
        <w:jc w:val="both"/>
        <w:rPr>
          <w:rFonts w:ascii="Palatino Linotype" w:eastAsia="Palatino Linotype" w:hAnsi="Palatino Linotype" w:cs="Palatino Linotype"/>
        </w:rPr>
      </w:pPr>
    </w:p>
    <w:p w:rsidR="009A1B10" w:rsidRDefault="009A1B10">
      <w:pPr>
        <w:tabs>
          <w:tab w:val="left" w:pos="709"/>
        </w:tabs>
        <w:spacing w:after="0" w:line="360" w:lineRule="auto"/>
        <w:jc w:val="both"/>
        <w:rPr>
          <w:rFonts w:ascii="Palatino Linotype" w:eastAsia="Palatino Linotype" w:hAnsi="Palatino Linotype" w:cs="Palatino Linotype"/>
          <w:b/>
        </w:rPr>
      </w:pPr>
    </w:p>
    <w:sectPr w:rsidR="009A1B10">
      <w:headerReference w:type="default" r:id="rId8"/>
      <w:pgSz w:w="12240" w:h="15840"/>
      <w:pgMar w:top="2694"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769" w:rsidRDefault="006A2769">
      <w:pPr>
        <w:spacing w:after="0" w:line="240" w:lineRule="auto"/>
      </w:pPr>
      <w:r>
        <w:separator/>
      </w:r>
    </w:p>
  </w:endnote>
  <w:endnote w:type="continuationSeparator" w:id="0">
    <w:p w:rsidR="006A2769" w:rsidRDefault="006A2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769" w:rsidRDefault="006A2769">
      <w:pPr>
        <w:spacing w:after="0" w:line="240" w:lineRule="auto"/>
      </w:pPr>
      <w:r>
        <w:separator/>
      </w:r>
    </w:p>
  </w:footnote>
  <w:footnote w:type="continuationSeparator" w:id="0">
    <w:p w:rsidR="006A2769" w:rsidRDefault="006A27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B10" w:rsidRDefault="00DF6E9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r>
      <w:rPr>
        <w:noProof/>
        <w:lang w:val="es-MX"/>
      </w:rPr>
      <w:drawing>
        <wp:anchor distT="0" distB="0" distL="0" distR="0" simplePos="0" relativeHeight="251658240" behindDoc="1" locked="0" layoutInCell="1" hidden="0" allowOverlap="1">
          <wp:simplePos x="0" y="0"/>
          <wp:positionH relativeFrom="column">
            <wp:posOffset>-1260472</wp:posOffset>
          </wp:positionH>
          <wp:positionV relativeFrom="paragraph">
            <wp:posOffset>-235581</wp:posOffset>
          </wp:positionV>
          <wp:extent cx="7521053" cy="9897494"/>
          <wp:effectExtent l="0" t="0" r="0" b="0"/>
          <wp:wrapNone/>
          <wp:docPr id="27164074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053" cy="9897494"/>
                  </a:xfrm>
                  <a:prstGeom prst="rect">
                    <a:avLst/>
                  </a:prstGeom>
                  <a:ln/>
                </pic:spPr>
              </pic:pic>
            </a:graphicData>
          </a:graphic>
        </wp:anchor>
      </w:drawing>
    </w:r>
  </w:p>
  <w:p w:rsidR="009A1B10" w:rsidRDefault="00DF6E94">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w:t>
    </w:r>
    <w:r w:rsidR="00DE4C45">
      <w:rPr>
        <w:rFonts w:ascii="Palatino Linotype" w:eastAsia="Palatino Linotype" w:hAnsi="Palatino Linotype" w:cs="Palatino Linotype"/>
        <w:b/>
        <w:color w:val="000000"/>
        <w:sz w:val="20"/>
        <w:szCs w:val="20"/>
      </w:rPr>
      <w:t>1</w:t>
    </w:r>
    <w:r w:rsidR="004A51F5">
      <w:rPr>
        <w:rFonts w:ascii="Palatino Linotype" w:eastAsia="Palatino Linotype" w:hAnsi="Palatino Linotype" w:cs="Palatino Linotype"/>
        <w:b/>
        <w:color w:val="000000"/>
        <w:sz w:val="20"/>
        <w:szCs w:val="20"/>
      </w:rPr>
      <w:t>999</w:t>
    </w:r>
    <w:r>
      <w:rPr>
        <w:rFonts w:ascii="Palatino Linotype" w:eastAsia="Palatino Linotype" w:hAnsi="Palatino Linotype" w:cs="Palatino Linotype"/>
        <w:b/>
        <w:color w:val="000000"/>
        <w:sz w:val="20"/>
        <w:szCs w:val="20"/>
      </w:rPr>
      <w:t>/INFOEM/IP/RR/2025</w:t>
    </w:r>
  </w:p>
  <w:p w:rsidR="009A1B10" w:rsidRDefault="00DF6E94">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4A51F5" w:rsidRPr="004A51F5">
      <w:rPr>
        <w:rFonts w:ascii="Palatino Linotype" w:eastAsia="Palatino Linotype" w:hAnsi="Palatino Linotype" w:cs="Palatino Linotype"/>
        <w:b/>
        <w:color w:val="000000"/>
        <w:sz w:val="20"/>
        <w:szCs w:val="20"/>
      </w:rPr>
      <w:t>Organismo Agua y Saneamiento de Toluca</w:t>
    </w:r>
  </w:p>
  <w:p w:rsidR="009A1B10" w:rsidRDefault="00DF6E94">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 xml:space="preserve">Comisionada Ponente: </w:t>
    </w:r>
    <w:r w:rsidR="00DE4C45">
      <w:rPr>
        <w:rFonts w:ascii="Palatino Linotype" w:eastAsia="Palatino Linotype" w:hAnsi="Palatino Linotype" w:cs="Palatino Linotype"/>
        <w:b/>
        <w:color w:val="000000"/>
        <w:sz w:val="20"/>
        <w:szCs w:val="20"/>
      </w:rPr>
      <w:t>Guadalupe Ramírez Peña</w:t>
    </w:r>
  </w:p>
  <w:p w:rsidR="009A1B10" w:rsidRDefault="009A1B1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9A1B10" w:rsidRDefault="009A1B1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9A1B10" w:rsidRDefault="009A1B1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B6EBF"/>
    <w:multiLevelType w:val="multilevel"/>
    <w:tmpl w:val="D7D21B3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342E0411"/>
    <w:multiLevelType w:val="multilevel"/>
    <w:tmpl w:val="4AF2990C"/>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8CA3ACE"/>
    <w:multiLevelType w:val="multilevel"/>
    <w:tmpl w:val="3CFCF112"/>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10"/>
    <w:rsid w:val="000824C5"/>
    <w:rsid w:val="001554D1"/>
    <w:rsid w:val="00394C34"/>
    <w:rsid w:val="004A51F5"/>
    <w:rsid w:val="006A2769"/>
    <w:rsid w:val="009A1B10"/>
    <w:rsid w:val="00A02AB9"/>
    <w:rsid w:val="00DE4C45"/>
    <w:rsid w:val="00DF6E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6D0620-10A7-4A9E-AD41-D8F5BF6D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customStyle="1" w:styleId="paragraph">
    <w:name w:val="paragraph"/>
    <w:basedOn w:val="Normal"/>
    <w:rsid w:val="00C964C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C964CC"/>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C9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DB499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paragraph" w:styleId="Sinespaciado">
    <w:name w:val="No Spacing"/>
    <w:aliases w:val="Francesa,INAI"/>
    <w:link w:val="SinespaciadoCar"/>
    <w:uiPriority w:val="1"/>
    <w:qFormat/>
    <w:rsid w:val="00515C3E"/>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15C3E"/>
    <w:rPr>
      <w:rFonts w:ascii="Arial" w:eastAsia="Batang" w:hAnsi="Arial" w:cs="Times New Roman"/>
      <w:sz w:val="20"/>
      <w:szCs w:val="24"/>
      <w:lang w:val="es-MX" w:eastAsia="es-ES"/>
    </w:rPr>
  </w:style>
  <w:style w:type="paragraph" w:customStyle="1" w:styleId="Citas">
    <w:name w:val="Citas"/>
    <w:basedOn w:val="Normal"/>
    <w:qFormat/>
    <w:rsid w:val="00537CBA"/>
    <w:pPr>
      <w:spacing w:before="240" w:line="360" w:lineRule="auto"/>
      <w:ind w:left="851" w:right="851"/>
      <w:jc w:val="both"/>
    </w:pPr>
    <w:rPr>
      <w:rFonts w:ascii="Palatino Linotype" w:eastAsiaTheme="minorHAnsi" w:hAnsi="Palatino Linotype" w:cs="Arial"/>
      <w:i/>
      <w:lang w:val="es-MX" w:eastAsia="en-US"/>
    </w:rPr>
  </w:style>
  <w:style w:type="character" w:styleId="Refdecomentario">
    <w:name w:val="annotation reference"/>
    <w:basedOn w:val="Fuentedeprrafopredeter"/>
    <w:uiPriority w:val="99"/>
    <w:semiHidden/>
    <w:unhideWhenUsed/>
    <w:rsid w:val="00537CB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myITwLzG1SivSkWmh+BfM4TrtA==">CgMxLjAyCGguZ2pkZ3hzMg5oLjQ1aHdlOG12MHJhNzIOaC5zZXpuazB2M2t3ZHAyDmgueGV6cjBva2Q1N3RuMgloLjJldDkycDAyCWguMzBqMHpsbDgAciExcjhFU0lIY2NJbXpaek1vQVYtUEM1WUt3d2lYbzk3eWY=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1639</Words>
  <Characters>9015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2</cp:revision>
  <dcterms:created xsi:type="dcterms:W3CDTF">2025-04-28T17:23:00Z</dcterms:created>
  <dcterms:modified xsi:type="dcterms:W3CDTF">2025-04-28T17:23:00Z</dcterms:modified>
</cp:coreProperties>
</file>