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25" w:rsidRDefault="00C93341">
      <w:pPr>
        <w:widowControl w:val="0"/>
        <w:pBdr>
          <w:top w:val="nil"/>
          <w:left w:val="nil"/>
          <w:bottom w:val="nil"/>
          <w:right w:val="nil"/>
          <w:between w:val="nil"/>
        </w:pBdr>
        <w:spacing w:after="0" w:line="276" w:lineRule="auto"/>
      </w:pPr>
      <w:r>
        <w:pict w14:anchorId="50C4C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0pt;height:50pt;z-index:251656704;visibility:hidden">
            <o:lock v:ext="edit" selection="t"/>
          </v:shape>
        </w:pict>
      </w:r>
      <w:r>
        <w:pict w14:anchorId="285C435A">
          <v:shape id="_x0000_s1028" type="#_x0000_t136" style="position:absolute;margin-left:0;margin-top:0;width:50pt;height:50pt;z-index:251657728;visibility:hidden">
            <o:lock v:ext="edit" selection="t"/>
          </v:shape>
        </w:pict>
      </w:r>
      <w:r>
        <w:pict w14:anchorId="22003043">
          <v:shape id="_x0000_s1027" type="#_x0000_t136" style="position:absolute;margin-left:0;margin-top:0;width:50pt;height:50pt;z-index:251658752;visibility:hidden">
            <o:lock v:ext="edit" selection="t"/>
          </v:shape>
        </w:pict>
      </w:r>
      <w:r>
        <w:pict w14:anchorId="7A00E65A">
          <v:shape id="_x0000_s1026" type="#_x0000_t136" style="position:absolute;margin-left:0;margin-top:0;width:50pt;height:50pt;z-index:251659776;visibility:hidden">
            <o:lock v:ext="edit" selection="t"/>
          </v:shape>
        </w:pict>
      </w:r>
    </w:p>
    <w:p w:rsidR="006C3725" w:rsidRDefault="00C93341">
      <w:pPr>
        <w:widowControl w:val="0"/>
        <w:pBdr>
          <w:top w:val="nil"/>
          <w:left w:val="nil"/>
          <w:bottom w:val="nil"/>
          <w:right w:val="nil"/>
          <w:between w:val="nil"/>
        </w:pBdr>
        <w:spacing w:after="0" w:line="360" w:lineRule="auto"/>
        <w:jc w:val="both"/>
      </w:pPr>
      <w:r>
        <w:rPr>
          <w:rFonts w:ascii="Palatino Linotype" w:eastAsia="Palatino Linotype" w:hAnsi="Palatino Linotype" w:cs="Palatino Linotype"/>
          <w:b/>
        </w:rPr>
        <w:t>VOTO PARTICULAR QUE FORMULA LA COMISIONADA GUADALUPE RAMÍREZ PEÑA EN RELACIÓN CON LA RESOLUCIÓN DICTADA POR EL PLENO DEL INSTITUTO DE TRANSPARENCIA, ACCESO A LA INFORMACIÓN PÚBLICA Y PROTECCIÓN DE DATOS PERSONALES DEL ESTADO DE MÉXICO Y MUNICIPIOS, EN LA D</w:t>
      </w:r>
      <w:r>
        <w:rPr>
          <w:rFonts w:ascii="Palatino Linotype" w:eastAsia="Palatino Linotype" w:hAnsi="Palatino Linotype" w:cs="Palatino Linotype"/>
          <w:b/>
        </w:rPr>
        <w:t>ÉCIMO OCTAVA ORDINARIA DEL VEINTIUNO DE MAYO DE DOS MIL VEINTICINCO, EN LO RELATIVO AL RECURSO DE REVISIÓN 01370/INFOEM/IP/RR/2025 Y ACUMULADOS.</w:t>
      </w:r>
    </w:p>
    <w:p w:rsidR="006C3725" w:rsidRDefault="00C9334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El Pleno del Instituto de Transparencia, Acceso a la Información Pública y Protección de Datos Personales del E</w:t>
      </w:r>
      <w:r>
        <w:rPr>
          <w:rFonts w:ascii="Palatino Linotype" w:eastAsia="Palatino Linotype" w:hAnsi="Palatino Linotype" w:cs="Palatino Linotype"/>
        </w:rPr>
        <w:t xml:space="preserve">stado de México y Municipios, aprobó por unanimidad de votos, la resolución relativa </w:t>
      </w:r>
      <w:r>
        <w:rPr>
          <w:rFonts w:ascii="Palatino Linotype" w:eastAsia="Palatino Linotype" w:hAnsi="Palatino Linotype" w:cs="Palatino Linotype"/>
          <w:color w:val="000000"/>
        </w:rPr>
        <w:t xml:space="preserve">al recurso </w:t>
      </w:r>
      <w:r>
        <w:rPr>
          <w:rFonts w:ascii="Palatino Linotype" w:eastAsia="Palatino Linotype" w:hAnsi="Palatino Linotype" w:cs="Palatino Linotype"/>
        </w:rPr>
        <w:t xml:space="preserve">de revisión </w:t>
      </w:r>
      <w:r>
        <w:rPr>
          <w:rFonts w:ascii="Palatino Linotype" w:eastAsia="Palatino Linotype" w:hAnsi="Palatino Linotype" w:cs="Palatino Linotype"/>
          <w:b/>
        </w:rPr>
        <w:t>01370/INFOEM/IP/RR/2025 Y ACUMULADOS</w:t>
      </w:r>
      <w:r>
        <w:rPr>
          <w:rFonts w:ascii="Palatino Linotype" w:eastAsia="Palatino Linotype" w:hAnsi="Palatino Linotype" w:cs="Palatino Linotype"/>
        </w:rPr>
        <w:t xml:space="preserve">, presentada por el </w:t>
      </w:r>
      <w:r>
        <w:rPr>
          <w:rFonts w:ascii="Palatino Linotype" w:eastAsia="Palatino Linotype" w:hAnsi="Palatino Linotype" w:cs="Palatino Linotype"/>
          <w:b/>
        </w:rPr>
        <w:t>Comisionado Presidente José Martínez Vilchis</w:t>
      </w:r>
      <w:r>
        <w:rPr>
          <w:rFonts w:ascii="Palatino Linotype" w:eastAsia="Palatino Linotype" w:hAnsi="Palatino Linotype" w:cs="Palatino Linotype"/>
        </w:rPr>
        <w:t xml:space="preserve">, respecto de la cual, la suscrita formula </w:t>
      </w:r>
      <w:r>
        <w:rPr>
          <w:rFonts w:ascii="Palatino Linotype" w:eastAsia="Palatino Linotype" w:hAnsi="Palatino Linotype" w:cs="Palatino Linotype"/>
          <w:b/>
        </w:rPr>
        <w:t xml:space="preserve">VOTO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 con fundamento en el artículo 14 fracción XI del Reglamento Interior del Instituto de Transparencia, Acceso a la Información Pública y Protección de Datos Personales del Estado de México y Municipios.</w:t>
      </w:r>
    </w:p>
    <w:p w:rsidR="006C3725" w:rsidRDefault="00C9334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Es preciso señalar que la suscrita, compar</w:t>
      </w:r>
      <w:r>
        <w:rPr>
          <w:rFonts w:ascii="Palatino Linotype" w:eastAsia="Palatino Linotype" w:hAnsi="Palatino Linotype" w:cs="Palatino Linotype"/>
        </w:rPr>
        <w:t xml:space="preserve">te en esencia el sentido del estudio realizado en la resolución emitida; sin embargo, resulta necesario destacar ciertas consideraciones de hecho y derecho que debieron ser valoradas en el análisis de la resolución. </w:t>
      </w:r>
    </w:p>
    <w:p w:rsidR="006C3725" w:rsidRDefault="00C93341">
      <w:pPr>
        <w:numPr>
          <w:ilvl w:val="0"/>
          <w:numId w:val="1"/>
        </w:numPr>
        <w:pBdr>
          <w:top w:val="nil"/>
          <w:left w:val="nil"/>
          <w:bottom w:val="nil"/>
          <w:right w:val="nil"/>
          <w:between w:val="nil"/>
        </w:pBdr>
        <w:spacing w:before="240" w:after="0" w:line="360" w:lineRule="auto"/>
        <w:ind w:left="0" w:hanging="142"/>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 Antecedentes</w:t>
      </w:r>
    </w:p>
    <w:p w:rsidR="006C3725" w:rsidRDefault="006C372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C3725" w:rsidRDefault="00C93341">
      <w:pPr>
        <w:pBdr>
          <w:top w:val="nil"/>
          <w:left w:val="nil"/>
          <w:bottom w:val="nil"/>
          <w:right w:val="nil"/>
          <w:between w:val="nil"/>
        </w:pBdr>
        <w:spacing w:after="240" w:line="360" w:lineRule="auto"/>
        <w:jc w:val="both"/>
        <w:rPr>
          <w:rFonts w:ascii="Palatino Linotype" w:eastAsia="Palatino Linotype" w:hAnsi="Palatino Linotype" w:cs="Palatino Linotype"/>
          <w:b/>
          <w:color w:val="000000"/>
          <w:u w:val="single"/>
        </w:rPr>
      </w:pPr>
      <w:r>
        <w:rPr>
          <w:rFonts w:ascii="Palatino Linotype" w:eastAsia="Palatino Linotype" w:hAnsi="Palatino Linotype" w:cs="Palatino Linotype"/>
          <w:color w:val="000000"/>
        </w:rPr>
        <w:t xml:space="preserve">En primera instancia, debe precisarse que la parte Recurrente requirió al </w:t>
      </w:r>
      <w:r>
        <w:rPr>
          <w:rFonts w:ascii="Palatino Linotype" w:eastAsia="Palatino Linotype" w:hAnsi="Palatino Linotype" w:cs="Palatino Linotype"/>
          <w:b/>
          <w:color w:val="000000"/>
        </w:rPr>
        <w:t>Ayuntamiento de Rayón</w:t>
      </w:r>
      <w:r>
        <w:rPr>
          <w:rFonts w:ascii="Palatino Linotype" w:eastAsia="Palatino Linotype" w:hAnsi="Palatino Linotype" w:cs="Palatino Linotype"/>
          <w:color w:val="000000"/>
        </w:rPr>
        <w:t xml:space="preserve"> en su carácter de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le proporcionara todas las actas de cabildo de los </w:t>
      </w:r>
      <w:r>
        <w:rPr>
          <w:rFonts w:ascii="Palatino Linotype" w:eastAsia="Palatino Linotype" w:hAnsi="Palatino Linotype" w:cs="Palatino Linotype"/>
          <w:color w:val="000000"/>
        </w:rPr>
        <w:lastRenderedPageBreak/>
        <w:t>años 2022, 2023 y 2024 certificadas así como la explicación del por qué se</w:t>
      </w:r>
      <w:r>
        <w:rPr>
          <w:rFonts w:ascii="Palatino Linotype" w:eastAsia="Palatino Linotype" w:hAnsi="Palatino Linotype" w:cs="Palatino Linotype"/>
          <w:color w:val="000000"/>
        </w:rPr>
        <w:t xml:space="preserve"> cancelaron los cabildos en determinadas fechas certificada por contraloría.</w:t>
      </w:r>
    </w:p>
    <w:p w:rsidR="006C3725" w:rsidRDefault="00C93341">
      <w:pPr>
        <w:spacing w:before="240" w:after="240"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rPr>
        <w:t>Es de precisar que el Sujeto Obligado fue omiso en proporcionar respuesta a la solicitud de información, lo que trajo consigo la interposición del recurso de revisión, inconformán</w:t>
      </w:r>
      <w:r>
        <w:rPr>
          <w:rFonts w:ascii="Palatino Linotype" w:eastAsia="Palatino Linotype" w:hAnsi="Palatino Linotype" w:cs="Palatino Linotype"/>
        </w:rPr>
        <w:t>dose por la falta de respuesta.</w:t>
      </w:r>
    </w:p>
    <w:p w:rsidR="006C3725" w:rsidRDefault="00C9334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Posteriormente se admitió el recurso de revisión y en la etapa de manifestaciones, se advierte que el Sujeto Obligado se pronunció por conducto del Secretario del Ayuntamiento quien manifiesta que la entrega de las actas de </w:t>
      </w:r>
      <w:r>
        <w:rPr>
          <w:rFonts w:ascii="Palatino Linotype" w:eastAsia="Palatino Linotype" w:hAnsi="Palatino Linotype" w:cs="Palatino Linotype"/>
        </w:rPr>
        <w:t>cabildo de los años 2022, 2023 y 2024  le correspondía al titular de la Secretaría del Ayuntamiento de la administración pasada al mismo tiempo manifiesta que no ha sido enviado el acervo edilicio y que no ha recibido el archivo general.</w:t>
      </w:r>
    </w:p>
    <w:p w:rsidR="006C3725" w:rsidRDefault="00C9334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sentido ma</w:t>
      </w:r>
      <w:r>
        <w:rPr>
          <w:rFonts w:ascii="Palatino Linotype" w:eastAsia="Palatino Linotype" w:hAnsi="Palatino Linotype" w:cs="Palatino Linotype"/>
        </w:rPr>
        <w:t>nifiesta que para su entrega deberá de hacer el pago correspondiente de las copias certificadas además de acreditar el interés jurídico del solicitante y respecto la explicación de la cancelación de los cabildos manifiesta que es ambiguo por lo que no exis</w:t>
      </w:r>
      <w:r>
        <w:rPr>
          <w:rFonts w:ascii="Palatino Linotype" w:eastAsia="Palatino Linotype" w:hAnsi="Palatino Linotype" w:cs="Palatino Linotype"/>
        </w:rPr>
        <w:t>te soporte documental que dé cuenta de lo requerido.</w:t>
      </w:r>
    </w:p>
    <w:p w:rsidR="006C3725" w:rsidRDefault="00C93341">
      <w:pPr>
        <w:spacing w:before="240" w:after="24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En atención a ello, se concluyó que devienen fundadas, las razones de inconformidad en el presente asunto, por lo que se procedió a </w:t>
      </w:r>
      <w:r>
        <w:rPr>
          <w:rFonts w:ascii="Palatino Linotype" w:eastAsia="Palatino Linotype" w:hAnsi="Palatino Linotype" w:cs="Palatino Linotype"/>
          <w:b/>
        </w:rPr>
        <w:t>ORDENAR</w:t>
      </w:r>
      <w:r>
        <w:rPr>
          <w:rFonts w:ascii="Palatino Linotype" w:eastAsia="Palatino Linotype" w:hAnsi="Palatino Linotype" w:cs="Palatino Linotype"/>
        </w:rPr>
        <w:t xml:space="preserve"> la entrega de la siguiente información: </w:t>
      </w:r>
    </w:p>
    <w:p w:rsidR="006C3725" w:rsidRDefault="00C93341">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“PRIMERO. Se ORDENA al</w:t>
      </w:r>
      <w:r>
        <w:rPr>
          <w:rFonts w:ascii="Palatino Linotype" w:eastAsia="Palatino Linotype" w:hAnsi="Palatino Linotype" w:cs="Palatino Linotype"/>
          <w:i/>
          <w:color w:val="000000"/>
        </w:rPr>
        <w:t xml:space="preserve"> Sujeto Obligado que, haga entrega a la parte Recurrente mediante en términos del Considerando TERCERO </w:t>
      </w:r>
      <w:r>
        <w:rPr>
          <w:rFonts w:ascii="Palatino Linotype" w:eastAsia="Palatino Linotype" w:hAnsi="Palatino Linotype" w:cs="Palatino Linotype"/>
          <w:b/>
          <w:i/>
          <w:color w:val="000000"/>
          <w:u w:val="single"/>
        </w:rPr>
        <w:t>de esta resolución en copias certificadas (con costo)</w:t>
      </w:r>
      <w:r>
        <w:rPr>
          <w:rFonts w:ascii="Palatino Linotype" w:eastAsia="Palatino Linotype" w:hAnsi="Palatino Linotype" w:cs="Palatino Linotype"/>
          <w:i/>
          <w:color w:val="000000"/>
        </w:rPr>
        <w:t xml:space="preserve">, por resultar fundados los motivos de inconformidad argüidos por la parte Recurrente en las solicitudes de información 00151/RAYON/IP/2024, 00150/RAYON/IP/2024 y 00149/RAYON/IP/2024 en versión pública de ser procedente, de lo siguiente; </w:t>
      </w:r>
    </w:p>
    <w:p w:rsidR="006C3725" w:rsidRDefault="006C372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C3725" w:rsidRDefault="00C93341">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1.</w:t>
      </w:r>
      <w:r>
        <w:rPr>
          <w:rFonts w:ascii="Palatino Linotype" w:eastAsia="Palatino Linotype" w:hAnsi="Palatino Linotype" w:cs="Palatino Linotype"/>
          <w:i/>
          <w:color w:val="000000"/>
        </w:rPr>
        <w:tab/>
      </w:r>
      <w:r>
        <w:rPr>
          <w:rFonts w:ascii="Palatino Linotype" w:eastAsia="Palatino Linotype" w:hAnsi="Palatino Linotype" w:cs="Palatino Linotype"/>
          <w:i/>
          <w:color w:val="000000"/>
        </w:rPr>
        <w:t>Actas ordinarias y extraordinarias celebradas por el cabildo municipal los años 2022 y 2023.</w:t>
      </w:r>
    </w:p>
    <w:p w:rsidR="006C3725" w:rsidRDefault="006C372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C3725" w:rsidRDefault="00C93341">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2.</w:t>
      </w:r>
      <w:r>
        <w:rPr>
          <w:rFonts w:ascii="Palatino Linotype" w:eastAsia="Palatino Linotype" w:hAnsi="Palatino Linotype" w:cs="Palatino Linotype"/>
          <w:i/>
          <w:color w:val="000000"/>
        </w:rPr>
        <w:tab/>
        <w:t xml:space="preserve">Actas ordinarias y extraordinarias celebradas por el cabildo municipal del primero de enero al diecinueve de diciembre de dos mil veinticuatro. </w:t>
      </w:r>
    </w:p>
    <w:p w:rsidR="006C3725" w:rsidRDefault="006C372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C3725" w:rsidRDefault="00C93341">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Como sustento</w:t>
      </w:r>
      <w:r>
        <w:rPr>
          <w:rFonts w:ascii="Palatino Linotype" w:eastAsia="Palatino Linotype" w:hAnsi="Palatino Linotype" w:cs="Palatino Linotype"/>
          <w:i/>
          <w:color w:val="000000"/>
        </w:rPr>
        <w:t xml:space="preserve"> de la versión pública que se ordena su entrega, se deberá entregar el Acuerdo del Comité de Transparencia correspondiente, en términos del artículo 49, fracción VIII y 132 fracción II, de la Ley de Transparencia y Acceso a la Información Pública del Estad</w:t>
      </w:r>
      <w:r>
        <w:rPr>
          <w:rFonts w:ascii="Palatino Linotype" w:eastAsia="Palatino Linotype" w:hAnsi="Palatino Linotype" w:cs="Palatino Linotype"/>
          <w:i/>
          <w:color w:val="000000"/>
        </w:rPr>
        <w:t>o de México y Municipios, en el que funde y motive las razones sobre los datos que se supriman o eliminen dentro del soporte documental respectivo y se ponga a disposición de la parte Recurrente.</w:t>
      </w:r>
    </w:p>
    <w:p w:rsidR="006C3725" w:rsidRDefault="006C372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C3725" w:rsidRDefault="00C93341">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De ser el caso que  de la información que se ordena en los </w:t>
      </w:r>
      <w:r>
        <w:rPr>
          <w:rFonts w:ascii="Palatino Linotype" w:eastAsia="Palatino Linotype" w:hAnsi="Palatino Linotype" w:cs="Palatino Linotype"/>
          <w:i/>
          <w:color w:val="000000"/>
        </w:rPr>
        <w:t>puntos 1 y 2 no se hayan llevado a cabo sesiones extraordinarias bastara con que el Sujeto Obligado así lo manifieste en términos del segundo párrafo del artículo 19 de la Ley de Transparencia Local.</w:t>
      </w:r>
    </w:p>
    <w:p w:rsidR="006C3725" w:rsidRDefault="006C3725">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p>
    <w:p w:rsidR="006C3725" w:rsidRDefault="00C93341">
      <w:pPr>
        <w:pBdr>
          <w:top w:val="nil"/>
          <w:left w:val="nil"/>
          <w:bottom w:val="nil"/>
          <w:right w:val="nil"/>
          <w:between w:val="nil"/>
        </w:pBdr>
        <w:spacing w:after="0" w:line="240" w:lineRule="auto"/>
        <w:ind w:left="426"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Para la expedición y obtención de la información en cop</w:t>
      </w:r>
      <w:r>
        <w:rPr>
          <w:rFonts w:ascii="Palatino Linotype" w:eastAsia="Palatino Linotype" w:hAnsi="Palatino Linotype" w:cs="Palatino Linotype"/>
          <w:i/>
          <w:color w:val="000000"/>
        </w:rPr>
        <w:t>ias certificadas con costo, el Sujeto Obligado deberá informar al Recurrente mediante SAIMEX el procedimiento exacto y detallado para realizar el pago y para su posterior obtención (lugar, días, horas hábiles, etc.), debiendo acreditar el Sujeto Obligado l</w:t>
      </w:r>
      <w:r>
        <w:rPr>
          <w:rFonts w:ascii="Palatino Linotype" w:eastAsia="Palatino Linotype" w:hAnsi="Palatino Linotype" w:cs="Palatino Linotype"/>
          <w:i/>
          <w:color w:val="000000"/>
        </w:rPr>
        <w:t>a entrega de la información al Recurrente.</w:t>
      </w:r>
      <w:r>
        <w:rPr>
          <w:rFonts w:ascii="Palatino Linotype" w:eastAsia="Palatino Linotype" w:hAnsi="Palatino Linotype" w:cs="Palatino Linotype"/>
          <w:color w:val="000000"/>
          <w:sz w:val="24"/>
          <w:szCs w:val="24"/>
        </w:rPr>
        <w:t>”</w:t>
      </w:r>
    </w:p>
    <w:p w:rsidR="006C3725" w:rsidRDefault="006C3725">
      <w:pPr>
        <w:pBdr>
          <w:top w:val="nil"/>
          <w:left w:val="nil"/>
          <w:bottom w:val="nil"/>
          <w:right w:val="nil"/>
          <w:between w:val="nil"/>
        </w:pBdr>
        <w:spacing w:after="0" w:line="360" w:lineRule="auto"/>
        <w:rPr>
          <w:rFonts w:ascii="Palatino Linotype" w:eastAsia="Palatino Linotype" w:hAnsi="Palatino Linotype" w:cs="Palatino Linotype"/>
          <w:i/>
          <w:color w:val="000000"/>
          <w:sz w:val="24"/>
          <w:szCs w:val="24"/>
        </w:rPr>
      </w:pPr>
    </w:p>
    <w:p w:rsidR="006C3725" w:rsidRDefault="00C93341">
      <w:pPr>
        <w:numPr>
          <w:ilvl w:val="0"/>
          <w:numId w:val="2"/>
        </w:numPr>
        <w:pBdr>
          <w:top w:val="nil"/>
          <w:left w:val="nil"/>
          <w:bottom w:val="nil"/>
          <w:right w:val="nil"/>
          <w:between w:val="nil"/>
        </w:pBdr>
        <w:spacing w:after="0" w:line="360" w:lineRule="auto"/>
        <w:ind w:left="426" w:hanging="284"/>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Razones del Voto Particular</w:t>
      </w:r>
    </w:p>
    <w:p w:rsidR="006C3725" w:rsidRDefault="00C93341">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 vez expuesto los antecedentes del asunto, resulta importante señalar que se comparte en esencia, el sentido de la resolución, sin embargo, resulta necesario realizar las siguientes precisiones que debieron ser tomadas en cuenta al momento de formular l</w:t>
      </w:r>
      <w:r>
        <w:rPr>
          <w:rFonts w:ascii="Palatino Linotype" w:eastAsia="Palatino Linotype" w:hAnsi="Palatino Linotype" w:cs="Palatino Linotype"/>
          <w:color w:val="000000"/>
        </w:rPr>
        <w:t>a resolución de los asuntos mencionados al rubro:</w:t>
      </w:r>
    </w:p>
    <w:p w:rsidR="006C3725" w:rsidRDefault="006C372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C3725" w:rsidRDefault="00C93341">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una aproximación inicial a los requerimientos de información, observamos que si bien es cierto, </w:t>
      </w:r>
      <w:r>
        <w:rPr>
          <w:rFonts w:ascii="Palatino Linotype" w:eastAsia="Palatino Linotype" w:hAnsi="Palatino Linotype" w:cs="Palatino Linotype"/>
          <w:b/>
          <w:color w:val="000000"/>
        </w:rPr>
        <w:t>la parte Recurrente</w:t>
      </w:r>
      <w:r>
        <w:rPr>
          <w:rFonts w:ascii="Palatino Linotype" w:eastAsia="Palatino Linotype" w:hAnsi="Palatino Linotype" w:cs="Palatino Linotype"/>
          <w:color w:val="000000"/>
        </w:rPr>
        <w:t xml:space="preserve"> en el texto de las solicitudes requiere la información en copias </w:t>
      </w:r>
      <w:r>
        <w:rPr>
          <w:rFonts w:ascii="Palatino Linotype" w:eastAsia="Palatino Linotype" w:hAnsi="Palatino Linotype" w:cs="Palatino Linotype"/>
          <w:color w:val="000000"/>
        </w:rPr>
        <w:lastRenderedPageBreak/>
        <w:t>certificadas, no meno</w:t>
      </w:r>
      <w:r>
        <w:rPr>
          <w:rFonts w:ascii="Palatino Linotype" w:eastAsia="Palatino Linotype" w:hAnsi="Palatino Linotype" w:cs="Palatino Linotype"/>
          <w:color w:val="000000"/>
        </w:rPr>
        <w:t>s cierto es que dentro de las modalidades de entrega, se aprecia que señala expresamente que requiere la información vía SAIMEX, se inserta la siguiente ilustración para mejor proveer del presente voto:</w:t>
      </w:r>
    </w:p>
    <w:p w:rsidR="006C3725" w:rsidRDefault="006C372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C3725" w:rsidRDefault="00C93341">
      <w:pPr>
        <w:pBdr>
          <w:top w:val="nil"/>
          <w:left w:val="nil"/>
          <w:bottom w:val="nil"/>
          <w:right w:val="nil"/>
          <w:between w:val="nil"/>
        </w:pBdr>
        <w:spacing w:after="0" w:line="360" w:lineRule="auto"/>
        <w:jc w:val="center"/>
        <w:rPr>
          <w:rFonts w:ascii="Palatino Linotype" w:eastAsia="Palatino Linotype" w:hAnsi="Palatino Linotype" w:cs="Palatino Linotype"/>
          <w:color w:val="000000"/>
        </w:rPr>
      </w:pPr>
      <w:r>
        <w:rPr>
          <w:noProof/>
        </w:rPr>
        <w:drawing>
          <wp:inline distT="0" distB="0" distL="0" distR="0">
            <wp:extent cx="2895213" cy="688591"/>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895213" cy="688591"/>
                    </a:xfrm>
                    <a:prstGeom prst="rect">
                      <a:avLst/>
                    </a:prstGeom>
                    <a:ln/>
                  </pic:spPr>
                </pic:pic>
              </a:graphicData>
            </a:graphic>
          </wp:inline>
        </w:drawing>
      </w:r>
    </w:p>
    <w:p w:rsidR="006C3725" w:rsidRDefault="00C93341">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esa tesitura, el Instituto debió tomar en cuent</w:t>
      </w:r>
      <w:r>
        <w:rPr>
          <w:rFonts w:ascii="Palatino Linotype" w:eastAsia="Palatino Linotype" w:hAnsi="Palatino Linotype" w:cs="Palatino Linotype"/>
          <w:color w:val="000000"/>
        </w:rPr>
        <w:t>a lo estipulado por la Ley de Transparencia y Acceso a la Información Pública del Estado de México y Municipios, la cual mandata en su artículo 164, lo siguiente:</w:t>
      </w:r>
    </w:p>
    <w:p w:rsidR="006C3725" w:rsidRDefault="006C3725">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rsidR="006C3725" w:rsidRDefault="00C93341">
      <w:pPr>
        <w:pBdr>
          <w:top w:val="nil"/>
          <w:left w:val="nil"/>
          <w:bottom w:val="nil"/>
          <w:right w:val="nil"/>
          <w:between w:val="nil"/>
        </w:pBdr>
        <w:spacing w:after="0" w:line="276" w:lineRule="auto"/>
        <w:ind w:left="567" w:right="99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“Artículo 164. </w:t>
      </w:r>
      <w:r>
        <w:rPr>
          <w:rFonts w:ascii="Palatino Linotype" w:eastAsia="Palatino Linotype" w:hAnsi="Palatino Linotype" w:cs="Palatino Linotype"/>
          <w:b/>
          <w:i/>
          <w:color w:val="000000"/>
          <w:u w:val="single"/>
        </w:rPr>
        <w:t>El acceso se dará en la modalidad de entrega y, en su caso, de envío elegidos por el solicitante</w:t>
      </w:r>
      <w:r>
        <w:rPr>
          <w:rFonts w:ascii="Palatino Linotype" w:eastAsia="Palatino Linotype" w:hAnsi="Palatino Linotype" w:cs="Palatino Linotype"/>
          <w:i/>
          <w:color w:val="000000"/>
        </w:rPr>
        <w:t>. Cuando la información no pueda entregarse o enviarse en la modalidad solicitada, el sujeto obligado deberá ofrecer otra u otras modalidades de entrega.”</w:t>
      </w:r>
    </w:p>
    <w:p w:rsidR="006C3725" w:rsidRDefault="006C3725">
      <w:pPr>
        <w:pBdr>
          <w:top w:val="nil"/>
          <w:left w:val="nil"/>
          <w:bottom w:val="nil"/>
          <w:right w:val="nil"/>
          <w:between w:val="nil"/>
        </w:pBdr>
        <w:spacing w:after="0" w:line="360" w:lineRule="auto"/>
        <w:ind w:right="-3"/>
        <w:jc w:val="both"/>
        <w:rPr>
          <w:rFonts w:ascii="Palatino Linotype" w:eastAsia="Palatino Linotype" w:hAnsi="Palatino Linotype" w:cs="Palatino Linotype"/>
        </w:rPr>
      </w:pPr>
    </w:p>
    <w:p w:rsidR="006C3725" w:rsidRDefault="00C93341">
      <w:pPr>
        <w:pBdr>
          <w:top w:val="nil"/>
          <w:left w:val="nil"/>
          <w:bottom w:val="nil"/>
          <w:right w:val="nil"/>
          <w:between w:val="nil"/>
        </w:pBdr>
        <w:spacing w:after="0" w:line="360" w:lineRule="auto"/>
        <w:ind w:right="-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anterior, se insiste que al momento de emitir la resolución, el Instituto debió tener en observancia lo que dispone este precepto legal, para efecto de otorgar la información vía SAIMEX y en copias certificadas, pues al condicionar la entrega de la </w:t>
      </w:r>
      <w:r>
        <w:rPr>
          <w:rFonts w:ascii="Palatino Linotype" w:eastAsia="Palatino Linotype" w:hAnsi="Palatino Linotype" w:cs="Palatino Linotype"/>
          <w:color w:val="000000"/>
        </w:rPr>
        <w:t>documentación a un pago en estricto sentido, transgrede el principio de gratuidad del derecho de acceso a la información pública.</w:t>
      </w:r>
    </w:p>
    <w:p w:rsidR="006C3725" w:rsidRDefault="00C93341">
      <w:pPr>
        <w:spacing w:before="240" w:after="240" w:line="360" w:lineRule="auto"/>
        <w:jc w:val="both"/>
        <w:rPr>
          <w:rFonts w:ascii="Times New Roman" w:eastAsia="Times New Roman" w:hAnsi="Times New Roman" w:cs="Times New Roman"/>
        </w:rPr>
      </w:pPr>
      <w:r>
        <w:rPr>
          <w:rFonts w:ascii="Palatino Linotype" w:eastAsia="Palatino Linotype" w:hAnsi="Palatino Linotype" w:cs="Palatino Linotype"/>
        </w:rPr>
        <w:t>Es importante señalar que a través del principio de gratuidad del acceso a la información pública, se busca que el mayor númer</w:t>
      </w:r>
      <w:r>
        <w:rPr>
          <w:rFonts w:ascii="Palatino Linotype" w:eastAsia="Palatino Linotype" w:hAnsi="Palatino Linotype" w:cs="Palatino Linotype"/>
        </w:rPr>
        <w:t>o posible de personas pueda</w:t>
      </w:r>
      <w:r w:rsidR="00015E52">
        <w:rPr>
          <w:rFonts w:ascii="Palatino Linotype" w:eastAsia="Palatino Linotype" w:hAnsi="Palatino Linotype" w:cs="Palatino Linotype"/>
        </w:rPr>
        <w:t>n</w:t>
      </w:r>
      <w:bookmarkStart w:id="0" w:name="_GoBack"/>
      <w:bookmarkEnd w:id="0"/>
      <w:r>
        <w:rPr>
          <w:rFonts w:ascii="Palatino Linotype" w:eastAsia="Palatino Linotype" w:hAnsi="Palatino Linotype" w:cs="Palatino Linotype"/>
        </w:rPr>
        <w:t xml:space="preserve"> ejercer el derecho fundamental de acceso a la información, con la finalidad de que la condición económica de las personas, no constituya un obstáculo para el ejercicio de acceso a la información, o bien y </w:t>
      </w:r>
      <w:r>
        <w:rPr>
          <w:rFonts w:ascii="Palatino Linotype" w:eastAsia="Palatino Linotype" w:hAnsi="Palatino Linotype" w:cs="Palatino Linotype"/>
        </w:rPr>
        <w:lastRenderedPageBreak/>
        <w:t>en virtud de la modalid</w:t>
      </w:r>
      <w:r>
        <w:rPr>
          <w:rFonts w:ascii="Palatino Linotype" w:eastAsia="Palatino Linotype" w:hAnsi="Palatino Linotype" w:cs="Palatino Linotype"/>
        </w:rPr>
        <w:t>ad de acceso a la información solicitada, su costo represente una barrera fácilmente franqueable.</w:t>
      </w:r>
    </w:p>
    <w:p w:rsidR="006C3725" w:rsidRDefault="00C93341">
      <w:pPr>
        <w:spacing w:before="240" w:after="240" w:line="360" w:lineRule="auto"/>
        <w:jc w:val="both"/>
        <w:rPr>
          <w:rFonts w:ascii="Times New Roman" w:eastAsia="Times New Roman" w:hAnsi="Times New Roman" w:cs="Times New Roman"/>
        </w:rPr>
      </w:pPr>
      <w:r>
        <w:rPr>
          <w:rFonts w:ascii="Palatino Linotype" w:eastAsia="Palatino Linotype" w:hAnsi="Palatino Linotype" w:cs="Palatino Linotype"/>
        </w:rPr>
        <w:t>Atentos a lo anterior, nuestra Constitución Federal, así como la Constitución Política de nuestro Estado, contemplan el ejercicio del derecho de acceso a la i</w:t>
      </w:r>
      <w:r>
        <w:rPr>
          <w:rFonts w:ascii="Palatino Linotype" w:eastAsia="Palatino Linotype" w:hAnsi="Palatino Linotype" w:cs="Palatino Linotype"/>
        </w:rPr>
        <w:t>nformación bajo el principio de gratuidad, garantizando la protección a un derecho fundamental que tienen dimensión social, al ser un condicionante necesario para el funcionamiento de una sociedad democrática, por lo que cualquier afectación a éste exige u</w:t>
      </w:r>
      <w:r>
        <w:rPr>
          <w:rFonts w:ascii="Palatino Linotype" w:eastAsia="Palatino Linotype" w:hAnsi="Palatino Linotype" w:cs="Palatino Linotype"/>
        </w:rPr>
        <w:t>na justificación y jamás puede tener efectos recaudatorios, al menos que la reproducción de la información sea en fotocopias, respaldos informativos, entre otros.</w:t>
      </w:r>
    </w:p>
    <w:p w:rsidR="006C3725" w:rsidRDefault="00C93341">
      <w:pPr>
        <w:spacing w:before="240" w:after="240" w:line="360" w:lineRule="auto"/>
        <w:jc w:val="both"/>
        <w:rPr>
          <w:rFonts w:ascii="Times New Roman" w:eastAsia="Times New Roman" w:hAnsi="Times New Roman" w:cs="Times New Roman"/>
        </w:rPr>
      </w:pPr>
      <w:r>
        <w:rPr>
          <w:rFonts w:ascii="Palatino Linotype" w:eastAsia="Palatino Linotype" w:hAnsi="Palatino Linotype" w:cs="Palatino Linotype"/>
        </w:rPr>
        <w:t>Por otra parte, la Ley de Transparencia y Acceso a la Información Pública del Estado de Méxic</w:t>
      </w:r>
      <w:r>
        <w:rPr>
          <w:rFonts w:ascii="Palatino Linotype" w:eastAsia="Palatino Linotype" w:hAnsi="Palatino Linotype" w:cs="Palatino Linotype"/>
        </w:rPr>
        <w:t xml:space="preserve">o y Municipios, que tiene entre sus objetivos el de proveer lo necesario para garantizar a toda persona el derecho de acceso a la información pública, a través de procedimientos sencillos, expeditos, oportunos y </w:t>
      </w:r>
      <w:r>
        <w:rPr>
          <w:rFonts w:ascii="Palatino Linotype" w:eastAsia="Palatino Linotype" w:hAnsi="Palatino Linotype" w:cs="Palatino Linotype"/>
          <w:b/>
          <w:i/>
        </w:rPr>
        <w:t>gratuitos</w:t>
      </w:r>
      <w:r>
        <w:rPr>
          <w:rFonts w:ascii="Palatino Linotype" w:eastAsia="Palatino Linotype" w:hAnsi="Palatino Linotype" w:cs="Palatino Linotype"/>
          <w:b/>
        </w:rPr>
        <w:t xml:space="preserve">, </w:t>
      </w:r>
      <w:r>
        <w:rPr>
          <w:rFonts w:ascii="Palatino Linotype" w:eastAsia="Palatino Linotype" w:hAnsi="Palatino Linotype" w:cs="Palatino Linotype"/>
        </w:rPr>
        <w:t> refiere en los artículos 17 y 15</w:t>
      </w:r>
      <w:r>
        <w:rPr>
          <w:rFonts w:ascii="Palatino Linotype" w:eastAsia="Palatino Linotype" w:hAnsi="Palatino Linotype" w:cs="Palatino Linotype"/>
        </w:rPr>
        <w:t xml:space="preserve">0, que la búsqueda y acceso a la información es gratuita y </w:t>
      </w:r>
      <w:r>
        <w:rPr>
          <w:rFonts w:ascii="Palatino Linotype" w:eastAsia="Palatino Linotype" w:hAnsi="Palatino Linotype" w:cs="Palatino Linotype"/>
          <w:b/>
          <w:i/>
        </w:rPr>
        <w:t>sólo se cubrirá en su caso, los gastos de reproducción</w:t>
      </w:r>
      <w:r>
        <w:rPr>
          <w:rFonts w:ascii="Palatino Linotype" w:eastAsia="Palatino Linotype" w:hAnsi="Palatino Linotype" w:cs="Palatino Linotype"/>
        </w:rPr>
        <w:t xml:space="preserve">, </w:t>
      </w:r>
      <w:r>
        <w:rPr>
          <w:rFonts w:ascii="Palatino Linotype" w:eastAsia="Palatino Linotype" w:hAnsi="Palatino Linotype" w:cs="Palatino Linotype"/>
          <w:b/>
          <w:i/>
          <w:u w:val="single"/>
        </w:rPr>
        <w:t>por la modalidad de entrega solicitada</w:t>
      </w:r>
      <w:r>
        <w:rPr>
          <w:rFonts w:ascii="Palatino Linotype" w:eastAsia="Palatino Linotype" w:hAnsi="Palatino Linotype" w:cs="Palatino Linotype"/>
          <w:u w:val="single"/>
        </w:rPr>
        <w:t xml:space="preserve">, </w:t>
      </w:r>
      <w:r>
        <w:rPr>
          <w:rFonts w:ascii="Palatino Linotype" w:eastAsia="Palatino Linotype" w:hAnsi="Palatino Linotype" w:cs="Palatino Linotype"/>
          <w:b/>
          <w:i/>
          <w:u w:val="single"/>
        </w:rPr>
        <w:t>o por el envío</w:t>
      </w:r>
      <w:r>
        <w:rPr>
          <w:rFonts w:ascii="Palatino Linotype" w:eastAsia="Palatino Linotype" w:hAnsi="Palatino Linotype" w:cs="Palatino Linotype"/>
          <w:u w:val="single"/>
        </w:rPr>
        <w:t xml:space="preserve"> </w:t>
      </w:r>
      <w:r>
        <w:rPr>
          <w:rFonts w:ascii="Palatino Linotype" w:eastAsia="Palatino Linotype" w:hAnsi="Palatino Linotype" w:cs="Palatino Linotype"/>
        </w:rPr>
        <w:t>de conformidad con los derechos, productos y aprovechamientos establecidos en la legis</w:t>
      </w:r>
      <w:r>
        <w:rPr>
          <w:rFonts w:ascii="Palatino Linotype" w:eastAsia="Palatino Linotype" w:hAnsi="Palatino Linotype" w:cs="Palatino Linotype"/>
        </w:rPr>
        <w:t xml:space="preserve">lación aplicable, en razón de que el procedimiento de acceso a la información es la garantía primaria del derecho en cuestión y </w:t>
      </w:r>
      <w:r>
        <w:rPr>
          <w:rFonts w:ascii="Palatino Linotype" w:eastAsia="Palatino Linotype" w:hAnsi="Palatino Linotype" w:cs="Palatino Linotype"/>
          <w:i/>
        </w:rPr>
        <w:t>se rige por los principios de simplicidad, rapidez, gratuidad,</w:t>
      </w:r>
      <w:r>
        <w:rPr>
          <w:rFonts w:ascii="Palatino Linotype" w:eastAsia="Palatino Linotype" w:hAnsi="Palatino Linotype" w:cs="Palatino Linotype"/>
        </w:rPr>
        <w:t xml:space="preserve"> auxilio y orientación a los particulares, en virtud de que consti</w:t>
      </w:r>
      <w:r>
        <w:rPr>
          <w:rFonts w:ascii="Palatino Linotype" w:eastAsia="Palatino Linotype" w:hAnsi="Palatino Linotype" w:cs="Palatino Linotype"/>
        </w:rPr>
        <w:t>tuye el primer paso para integrar activamente a la ciudadanía en la acción gubernamental, toda vez que con la información proporcionada por medio de las políticas de transparencia, los ciudadanos son partícipes de las acciones realizadas por los entes públ</w:t>
      </w:r>
      <w:r>
        <w:rPr>
          <w:rFonts w:ascii="Palatino Linotype" w:eastAsia="Palatino Linotype" w:hAnsi="Palatino Linotype" w:cs="Palatino Linotype"/>
        </w:rPr>
        <w:t>icos, lo que favorece la rendición de cuentas.</w:t>
      </w:r>
    </w:p>
    <w:p w:rsidR="006C3725" w:rsidRDefault="00C9334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En este tenor, por regla general la entrega de la información que se solicite en ejercicio del derecho de acceso a la información pública, deberá ser en congruencia con el principio de gratuidad y solamente en</w:t>
      </w:r>
      <w:r>
        <w:rPr>
          <w:rFonts w:ascii="Palatino Linotype" w:eastAsia="Palatino Linotype" w:hAnsi="Palatino Linotype" w:cs="Palatino Linotype"/>
        </w:rPr>
        <w:t xml:space="preserve"> casos excepcionales se procederá al cobro para la entrega de la información, lo cual ocurrirá  </w:t>
      </w:r>
      <w:r>
        <w:rPr>
          <w:rFonts w:ascii="Palatino Linotype" w:eastAsia="Palatino Linotype" w:hAnsi="Palatino Linotype" w:cs="Palatino Linotype"/>
          <w:b/>
          <w:i/>
        </w:rPr>
        <w:t>en caso de que se tenga que generar un gasto por la reproducción, por el envío, o por la modalidad de entrega solicitada,</w:t>
      </w:r>
      <w:r>
        <w:rPr>
          <w:rFonts w:ascii="Palatino Linotype" w:eastAsia="Palatino Linotype" w:hAnsi="Palatino Linotype" w:cs="Palatino Linotype"/>
        </w:rPr>
        <w:t xml:space="preserve"> supuestos que encuadran con lo  establ</w:t>
      </w:r>
      <w:r>
        <w:rPr>
          <w:rFonts w:ascii="Palatino Linotype" w:eastAsia="Palatino Linotype" w:hAnsi="Palatino Linotype" w:cs="Palatino Linotype"/>
        </w:rPr>
        <w:t>ecido en los artículos 9 fracción III, 17, 165, 174, 175 de la Ley de Acceso a la Información Pública del Estado de México y Municipios.</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 xml:space="preserve">“Artículo 9. </w:t>
      </w:r>
      <w:r>
        <w:rPr>
          <w:rFonts w:ascii="Palatino Linotype" w:eastAsia="Palatino Linotype" w:hAnsi="Palatino Linotype" w:cs="Palatino Linotype"/>
          <w:i/>
        </w:rPr>
        <w:t>El Instituto deberá regir su funcionamiento de acuerdo a los siguientes principios:</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 xml:space="preserve">III. Gratuidad: </w:t>
      </w:r>
      <w:r>
        <w:rPr>
          <w:rFonts w:ascii="Palatino Linotype" w:eastAsia="Palatino Linotype" w:hAnsi="Palatino Linotype" w:cs="Palatino Linotype"/>
          <w:i/>
        </w:rPr>
        <w:t>Co</w:t>
      </w:r>
      <w:r>
        <w:rPr>
          <w:rFonts w:ascii="Palatino Linotype" w:eastAsia="Palatino Linotype" w:hAnsi="Palatino Linotype" w:cs="Palatino Linotype"/>
          <w:i/>
        </w:rPr>
        <w:t xml:space="preserve">nsiste en que el acceso a la información pública no genera costo alguno para los solicitantes, </w:t>
      </w:r>
      <w:r>
        <w:rPr>
          <w:rFonts w:ascii="Palatino Linotype" w:eastAsia="Palatino Linotype" w:hAnsi="Palatino Linotype" w:cs="Palatino Linotype"/>
          <w:b/>
          <w:i/>
        </w:rPr>
        <w:t xml:space="preserve">sólo podrá requerirse el cobro correspondiente a la modalidad de reproducción y entrega solicitada </w:t>
      </w:r>
      <w:r>
        <w:rPr>
          <w:rFonts w:ascii="Palatino Linotype" w:eastAsia="Palatino Linotype" w:hAnsi="Palatino Linotype" w:cs="Palatino Linotype"/>
          <w:i/>
        </w:rPr>
        <w:t>conforme a lo establecido en la presente Ley y demás disposici</w:t>
      </w:r>
      <w:r>
        <w:rPr>
          <w:rFonts w:ascii="Palatino Linotype" w:eastAsia="Palatino Linotype" w:hAnsi="Palatino Linotype" w:cs="Palatino Linotype"/>
          <w:i/>
        </w:rPr>
        <w:t>ones jurídicas aplicables;</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 xml:space="preserve">Artículo 17. </w:t>
      </w:r>
      <w:r>
        <w:rPr>
          <w:rFonts w:ascii="Palatino Linotype" w:eastAsia="Palatino Linotype" w:hAnsi="Palatino Linotype" w:cs="Palatino Linotype"/>
          <w:i/>
        </w:rPr>
        <w:t xml:space="preserve">La búsqueda y acceso a la información es gratuita y </w:t>
      </w:r>
      <w:r>
        <w:rPr>
          <w:rFonts w:ascii="Palatino Linotype" w:eastAsia="Palatino Linotype" w:hAnsi="Palatino Linotype" w:cs="Palatino Linotype"/>
          <w:b/>
          <w:i/>
        </w:rPr>
        <w:t>solo se cubrirán los gastos de reproducción, o por la modalidad de entrega solicitada</w:t>
      </w:r>
      <w:r>
        <w:rPr>
          <w:rFonts w:ascii="Palatino Linotype" w:eastAsia="Palatino Linotype" w:hAnsi="Palatino Linotype" w:cs="Palatino Linotype"/>
          <w:i/>
        </w:rPr>
        <w:t xml:space="preserve">, </w:t>
      </w:r>
      <w:r>
        <w:rPr>
          <w:rFonts w:ascii="Palatino Linotype" w:eastAsia="Palatino Linotype" w:hAnsi="Palatino Linotype" w:cs="Palatino Linotype"/>
          <w:b/>
          <w:i/>
        </w:rPr>
        <w:t>así como por el envío</w:t>
      </w:r>
      <w:r>
        <w:rPr>
          <w:rFonts w:ascii="Palatino Linotype" w:eastAsia="Palatino Linotype" w:hAnsi="Palatino Linotype" w:cs="Palatino Linotype"/>
          <w:i/>
        </w:rPr>
        <w:t>, que en su caso se genere, de conformidad con los d</w:t>
      </w:r>
      <w:r>
        <w:rPr>
          <w:rFonts w:ascii="Palatino Linotype" w:eastAsia="Palatino Linotype" w:hAnsi="Palatino Linotype" w:cs="Palatino Linotype"/>
          <w:i/>
        </w:rPr>
        <w:t>erechos, productos y aprovechamientos establecidos en la legislación aplicable, sin que exceda de los límites establecidos en la presente Ley.</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Artículo 165. …</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 xml:space="preserve">La información que se entregue en versión pública, </w:t>
      </w:r>
      <w:r>
        <w:rPr>
          <w:rFonts w:ascii="Palatino Linotype" w:eastAsia="Palatino Linotype" w:hAnsi="Palatino Linotype" w:cs="Palatino Linotype"/>
          <w:b/>
          <w:i/>
        </w:rPr>
        <w:t xml:space="preserve">cuya modalidad de reproducción o envío tenga un costo, </w:t>
      </w:r>
      <w:r>
        <w:rPr>
          <w:rFonts w:ascii="Palatino Linotype" w:eastAsia="Palatino Linotype" w:hAnsi="Palatino Linotype" w:cs="Palatino Linotype"/>
          <w:i/>
        </w:rPr>
        <w:t>procederá una vez que se acredite el pago respectivo. No puede entenderse como reproducción la elaboración de la misma.</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 Artículo 174. En caso de existir costos para obtener la información</w:t>
      </w:r>
      <w:r>
        <w:rPr>
          <w:rFonts w:ascii="Palatino Linotype" w:eastAsia="Palatino Linotype" w:hAnsi="Palatino Linotype" w:cs="Palatino Linotype"/>
          <w:i/>
        </w:rPr>
        <w:t xml:space="preserve"> deberán </w:t>
      </w:r>
      <w:r>
        <w:rPr>
          <w:rFonts w:ascii="Palatino Linotype" w:eastAsia="Palatino Linotype" w:hAnsi="Palatino Linotype" w:cs="Palatino Linotype"/>
          <w:i/>
        </w:rPr>
        <w:t xml:space="preserve">cubrirse de manera previa a la entrega y </w:t>
      </w:r>
      <w:r>
        <w:rPr>
          <w:rFonts w:ascii="Palatino Linotype" w:eastAsia="Palatino Linotype" w:hAnsi="Palatino Linotype" w:cs="Palatino Linotype"/>
          <w:b/>
          <w:i/>
        </w:rPr>
        <w:t>no podrán ser superiores a la suma de</w:t>
      </w:r>
      <w:r>
        <w:rPr>
          <w:rFonts w:ascii="Palatino Linotype" w:eastAsia="Palatino Linotype" w:hAnsi="Palatino Linotype" w:cs="Palatino Linotype"/>
          <w:i/>
        </w:rPr>
        <w:t>:</w:t>
      </w:r>
    </w:p>
    <w:p w:rsidR="006C3725" w:rsidRDefault="006C3725">
      <w:pPr>
        <w:spacing w:after="0" w:line="240" w:lineRule="auto"/>
        <w:rPr>
          <w:rFonts w:ascii="Times New Roman" w:eastAsia="Times New Roman" w:hAnsi="Times New Roman" w:cs="Times New Roman"/>
          <w:sz w:val="24"/>
          <w:szCs w:val="24"/>
        </w:rPr>
      </w:pP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costo de los materiales utilizados en la reproducción</w:t>
      </w:r>
      <w:r>
        <w:rPr>
          <w:rFonts w:ascii="Palatino Linotype" w:eastAsia="Palatino Linotype" w:hAnsi="Palatino Linotype" w:cs="Palatino Linotype"/>
          <w:i/>
        </w:rPr>
        <w:t xml:space="preserve"> de la información;</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costo de envío</w:t>
      </w:r>
      <w:r>
        <w:rPr>
          <w:rFonts w:ascii="Palatino Linotype" w:eastAsia="Palatino Linotype" w:hAnsi="Palatino Linotype" w:cs="Palatino Linotype"/>
          <w:i/>
        </w:rPr>
        <w:t>, en su caso; y</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w:t>
      </w:r>
      <w:r>
        <w:rPr>
          <w:rFonts w:ascii="Palatino Linotype" w:eastAsia="Palatino Linotype" w:hAnsi="Palatino Linotype" w:cs="Palatino Linotype"/>
          <w:b/>
          <w:i/>
        </w:rPr>
        <w:t>El pago de la certificación de los documentos</w:t>
      </w:r>
      <w:r>
        <w:rPr>
          <w:rFonts w:ascii="Palatino Linotype" w:eastAsia="Palatino Linotype" w:hAnsi="Palatino Linotype" w:cs="Palatino Linotype"/>
          <w:i/>
        </w:rPr>
        <w:t xml:space="preserve">, cuando </w:t>
      </w:r>
      <w:r>
        <w:rPr>
          <w:rFonts w:ascii="Palatino Linotype" w:eastAsia="Palatino Linotype" w:hAnsi="Palatino Linotype" w:cs="Palatino Linotype"/>
          <w:i/>
        </w:rPr>
        <w:t>proceda.</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 xml:space="preserve">Las cuotas de los derechos aplicables deberán establecerse, en su caso, en el </w:t>
      </w:r>
      <w:r>
        <w:rPr>
          <w:rFonts w:ascii="Palatino Linotype" w:eastAsia="Palatino Linotype" w:hAnsi="Palatino Linotype" w:cs="Palatino Linotype"/>
          <w:b/>
          <w:i/>
        </w:rPr>
        <w:t>Código Financiero del Estado de México y Municipios</w:t>
      </w:r>
      <w:r>
        <w:rPr>
          <w:rFonts w:ascii="Palatino Linotype" w:eastAsia="Palatino Linotype" w:hAnsi="Palatino Linotype" w:cs="Palatino Linotype"/>
          <w:i/>
        </w:rPr>
        <w:t xml:space="preserve"> y demás disposiciones jurídicas aplicables, las cuales se publicarán en los sitios de internet de los sujetos obligad</w:t>
      </w:r>
      <w:r>
        <w:rPr>
          <w:rFonts w:ascii="Palatino Linotype" w:eastAsia="Palatino Linotype" w:hAnsi="Palatino Linotype" w:cs="Palatino Linotype"/>
          <w:i/>
        </w:rPr>
        <w:t>os…” </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b/>
          <w:i/>
        </w:rPr>
        <w:t xml:space="preserve">Artículo 175. </w:t>
      </w:r>
      <w:r>
        <w:rPr>
          <w:rFonts w:ascii="Palatino Linotype" w:eastAsia="Palatino Linotype" w:hAnsi="Palatino Linotype" w:cs="Palatino Linotype"/>
          <w:i/>
        </w:rPr>
        <w:t>…</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En ningún caso, el pago de derechos deberá exceder el</w:t>
      </w:r>
      <w:r>
        <w:rPr>
          <w:rFonts w:ascii="Palatino Linotype" w:eastAsia="Palatino Linotype" w:hAnsi="Palatino Linotype" w:cs="Palatino Linotype"/>
          <w:b/>
          <w:i/>
        </w:rPr>
        <w:t xml:space="preserve"> costo de reproducción de la información en el material solicitado</w:t>
      </w:r>
      <w:r>
        <w:rPr>
          <w:rFonts w:ascii="Palatino Linotype" w:eastAsia="Palatino Linotype" w:hAnsi="Palatino Linotype" w:cs="Palatino Linotype"/>
          <w:i/>
        </w:rPr>
        <w:t>.”</w:t>
      </w:r>
    </w:p>
    <w:p w:rsidR="006C3725" w:rsidRDefault="00C93341">
      <w:pPr>
        <w:spacing w:before="120" w:after="120" w:line="240" w:lineRule="auto"/>
        <w:ind w:left="567" w:right="902"/>
        <w:jc w:val="both"/>
        <w:rPr>
          <w:rFonts w:ascii="Times New Roman" w:eastAsia="Times New Roman" w:hAnsi="Times New Roman" w:cs="Times New Roman"/>
          <w:sz w:val="24"/>
          <w:szCs w:val="24"/>
        </w:rPr>
      </w:pPr>
      <w:r>
        <w:rPr>
          <w:rFonts w:ascii="Palatino Linotype" w:eastAsia="Palatino Linotype" w:hAnsi="Palatino Linotype" w:cs="Palatino Linotype"/>
          <w:i/>
        </w:rPr>
        <w:t>“</w:t>
      </w:r>
      <w:r>
        <w:rPr>
          <w:rFonts w:ascii="Palatino Linotype" w:eastAsia="Palatino Linotype" w:hAnsi="Palatino Linotype" w:cs="Palatino Linotype"/>
          <w:b/>
          <w:i/>
        </w:rPr>
        <w:t>Artículo 4.22</w:t>
      </w:r>
      <w:r>
        <w:rPr>
          <w:rFonts w:ascii="Palatino Linotype" w:eastAsia="Palatino Linotype" w:hAnsi="Palatino Linotype" w:cs="Palatino Linotype"/>
          <w:i/>
        </w:rPr>
        <w:t>.- Cuando los solicitantes requieran de los sujetos obligados la expedición de copias simple</w:t>
      </w:r>
      <w:r>
        <w:rPr>
          <w:rFonts w:ascii="Palatino Linotype" w:eastAsia="Palatino Linotype" w:hAnsi="Palatino Linotype" w:cs="Palatino Linotype"/>
          <w:i/>
        </w:rPr>
        <w:t>s, certificadas o en cualquier otro medio físico que contenga la información solicitada, y que pueda ser reproducida por tener los elementos necesarios para ello, o bien, que por disposiciones legales aplicables puedan ser materia de su reproducción, deber</w:t>
      </w:r>
      <w:r>
        <w:rPr>
          <w:rFonts w:ascii="Palatino Linotype" w:eastAsia="Palatino Linotype" w:hAnsi="Palatino Linotype" w:cs="Palatino Linotype"/>
          <w:i/>
        </w:rPr>
        <w:t>án acreditar previamente el pago por concepto de derechos, productos o aprovechamientos establecidos en el Código Financiero del Estado de México y Municipios, y demás normatividad aplicable. Los términos y plazos para que los sujetos obligados cumplan con</w:t>
      </w:r>
      <w:r>
        <w:rPr>
          <w:rFonts w:ascii="Palatino Linotype" w:eastAsia="Palatino Linotype" w:hAnsi="Palatino Linotype" w:cs="Palatino Linotype"/>
          <w:i/>
        </w:rPr>
        <w:t xml:space="preserve"> las obligaciones correspondientes, se contarán a partir del día en que se acredite debidamente el pago, ante las unidades de información.”</w:t>
      </w:r>
    </w:p>
    <w:p w:rsidR="006C3725" w:rsidRDefault="006C3725">
      <w:pPr>
        <w:spacing w:after="0" w:line="360" w:lineRule="auto"/>
        <w:ind w:right="49"/>
        <w:jc w:val="both"/>
        <w:rPr>
          <w:rFonts w:ascii="Palatino Linotype" w:eastAsia="Palatino Linotype" w:hAnsi="Palatino Linotype" w:cs="Palatino Linotype"/>
        </w:rPr>
      </w:pPr>
    </w:p>
    <w:p w:rsidR="006C3725" w:rsidRDefault="00C93341">
      <w:pPr>
        <w:spacing w:after="0" w:line="360" w:lineRule="auto"/>
        <w:ind w:right="49"/>
        <w:jc w:val="both"/>
        <w:rPr>
          <w:rFonts w:ascii="Palatino Linotype" w:eastAsia="Palatino Linotype" w:hAnsi="Palatino Linotype" w:cs="Palatino Linotype"/>
          <w:color w:val="000000"/>
        </w:rPr>
      </w:pPr>
      <w:bookmarkStart w:id="1" w:name="_heading=h.huqkfiks8wvf" w:colFirst="0" w:colLast="0"/>
      <w:bookmarkEnd w:id="1"/>
      <w:r>
        <w:rPr>
          <w:rFonts w:ascii="Palatino Linotype" w:eastAsia="Palatino Linotype" w:hAnsi="Palatino Linotype" w:cs="Palatino Linotype"/>
        </w:rPr>
        <w:t xml:space="preserve">De tal suerte que en el caso concreto, si bien es cierto, la información solicitada de manera certificada, también </w:t>
      </w:r>
      <w:r>
        <w:rPr>
          <w:rFonts w:ascii="Palatino Linotype" w:eastAsia="Palatino Linotype" w:hAnsi="Palatino Linotype" w:cs="Palatino Linotype"/>
        </w:rPr>
        <w:t xml:space="preserve">lo es que esta fue solicitada por </w:t>
      </w:r>
      <w:r>
        <w:rPr>
          <w:rFonts w:ascii="Palatino Linotype" w:eastAsia="Palatino Linotype" w:hAnsi="Palatino Linotype" w:cs="Palatino Linotype"/>
          <w:b/>
          <w:u w:val="single"/>
        </w:rPr>
        <w:t>medios digitales</w:t>
      </w:r>
      <w:r>
        <w:rPr>
          <w:rFonts w:ascii="Palatino Linotype" w:eastAsia="Palatino Linotype" w:hAnsi="Palatino Linotype" w:cs="Palatino Linotype"/>
        </w:rPr>
        <w:t>, por lo que, se insiste  que para dar cumplimiento al derecho de acceso a la información del particular de manera cabal, debió ordenarse la entrega de la información de manera digitalizada y asimismo poner</w:t>
      </w:r>
      <w:r>
        <w:rPr>
          <w:rFonts w:ascii="Palatino Linotype" w:eastAsia="Palatino Linotype" w:hAnsi="Palatino Linotype" w:cs="Palatino Linotype"/>
        </w:rPr>
        <w:t>la a su disposición en copias certificadas para efecto de dar cumplimiento a las modalidades requeridas por el particular y así otorgarle la posibilidad de optar por el medio  que a su interés convenga.</w:t>
      </w:r>
    </w:p>
    <w:p w:rsidR="006C3725" w:rsidRDefault="00C93341">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No obstante lo anterior, al no contemplarse dicha sit</w:t>
      </w:r>
      <w:r>
        <w:rPr>
          <w:rFonts w:ascii="Palatino Linotype" w:eastAsia="Palatino Linotype" w:hAnsi="Palatino Linotype" w:cs="Palatino Linotype"/>
        </w:rPr>
        <w:t>uación, es que con fundamento en lo dispuesto por el artículo 14 fracciones X y XI del Reglamento Interior del Instituto de Transparencia, Acceso a la Información Pública y Protección de Datos Personales del Estado de México y Municipios, la suscrita Comis</w:t>
      </w:r>
      <w:r>
        <w:rPr>
          <w:rFonts w:ascii="Palatino Linotype" w:eastAsia="Palatino Linotype" w:hAnsi="Palatino Linotype" w:cs="Palatino Linotype"/>
        </w:rPr>
        <w:t xml:space="preserve">ionada emite el presente </w:t>
      </w:r>
      <w:r>
        <w:rPr>
          <w:rFonts w:ascii="Palatino Linotype" w:eastAsia="Palatino Linotype" w:hAnsi="Palatino Linotype" w:cs="Palatino Linotype"/>
          <w:b/>
        </w:rPr>
        <w:t>VOTO PARTICULAR</w:t>
      </w:r>
      <w:r>
        <w:rPr>
          <w:rFonts w:ascii="Palatino Linotype" w:eastAsia="Palatino Linotype" w:hAnsi="Palatino Linotype" w:cs="Palatino Linotype"/>
        </w:rPr>
        <w:t xml:space="preserve"> en los términos precisados.</w:t>
      </w:r>
      <w:r>
        <w:rPr>
          <w:noProof/>
        </w:rPr>
        <mc:AlternateContent>
          <mc:Choice Requires="wpg">
            <w:drawing>
              <wp:anchor distT="0" distB="0" distL="114300" distR="114300" simplePos="0" relativeHeight="251655680" behindDoc="0" locked="0" layoutInCell="1" hidden="0" allowOverlap="1">
                <wp:simplePos x="0" y="0"/>
                <wp:positionH relativeFrom="column">
                  <wp:posOffset>-63499</wp:posOffset>
                </wp:positionH>
                <wp:positionV relativeFrom="paragraph">
                  <wp:posOffset>1447800</wp:posOffset>
                </wp:positionV>
                <wp:extent cx="5324475" cy="6305550"/>
                <wp:effectExtent l="0" t="0" r="0" b="0"/>
                <wp:wrapNone/>
                <wp:docPr id="22" name=""/>
                <wp:cNvGraphicFramePr/>
                <a:graphic xmlns:a="http://schemas.openxmlformats.org/drawingml/2006/main">
                  <a:graphicData uri="http://schemas.microsoft.com/office/word/2010/wordprocessingShape">
                    <wps:wsp>
                      <wps:cNvCnPr/>
                      <wps:spPr>
                        <a:xfrm>
                          <a:off x="2688525" y="631988"/>
                          <a:ext cx="5314950" cy="62960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1447800</wp:posOffset>
                </wp:positionV>
                <wp:extent cx="5324475" cy="6305550"/>
                <wp:effectExtent b="0" l="0" r="0" t="0"/>
                <wp:wrapNone/>
                <wp:docPr id="2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324475" cy="6305550"/>
                        </a:xfrm>
                        <a:prstGeom prst="rect"/>
                        <a:ln/>
                      </pic:spPr>
                    </pic:pic>
                  </a:graphicData>
                </a:graphic>
              </wp:anchor>
            </w:drawing>
          </mc:Fallback>
        </mc:AlternateContent>
      </w:r>
    </w:p>
    <w:p w:rsidR="006C3725" w:rsidRDefault="00C93341">
      <w:pPr>
        <w:tabs>
          <w:tab w:val="left" w:pos="2730"/>
        </w:tabs>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b/>
      </w:r>
    </w:p>
    <w:p w:rsidR="006C3725" w:rsidRDefault="00C93341">
      <w:pPr>
        <w:spacing w:before="240" w:after="240" w:line="360" w:lineRule="auto"/>
        <w:rPr>
          <w:rFonts w:ascii="Palatino Linotype" w:eastAsia="Palatino Linotype" w:hAnsi="Palatino Linotype" w:cs="Palatino Linotype"/>
          <w:b/>
          <w:sz w:val="24"/>
          <w:szCs w:val="24"/>
        </w:rPr>
        <w:sectPr w:rsidR="006C3725">
          <w:headerReference w:type="even" r:id="rId10"/>
          <w:headerReference w:type="default" r:id="rId11"/>
          <w:footerReference w:type="even" r:id="rId12"/>
          <w:footerReference w:type="default" r:id="rId13"/>
          <w:headerReference w:type="first" r:id="rId14"/>
          <w:footerReference w:type="first" r:id="rId15"/>
          <w:pgSz w:w="12240" w:h="15840"/>
          <w:pgMar w:top="1871" w:right="1327" w:bottom="2836" w:left="1985" w:header="709" w:footer="586" w:gutter="0"/>
          <w:pgNumType w:start="1"/>
          <w:cols w:space="720"/>
        </w:sectPr>
      </w:pPr>
      <w:r>
        <w:rPr>
          <w:rFonts w:ascii="Palatino Linotype" w:eastAsia="Palatino Linotype" w:hAnsi="Palatino Linotype" w:cs="Palatino Linotype"/>
          <w:b/>
          <w:sz w:val="24"/>
          <w:szCs w:val="24"/>
        </w:rPr>
        <w:t xml:space="preserve"> </w:t>
      </w:r>
    </w:p>
    <w:p w:rsidR="006C3725" w:rsidRDefault="006C3725">
      <w:pPr>
        <w:spacing w:before="240" w:after="240" w:line="360" w:lineRule="auto"/>
        <w:rPr>
          <w:rFonts w:ascii="Palatino Linotype" w:eastAsia="Palatino Linotype" w:hAnsi="Palatino Linotype" w:cs="Palatino Linotype"/>
          <w:b/>
          <w:sz w:val="24"/>
          <w:szCs w:val="24"/>
        </w:rPr>
      </w:pPr>
    </w:p>
    <w:sectPr w:rsidR="006C3725">
      <w:headerReference w:type="even" r:id="rId16"/>
      <w:headerReference w:type="default" r:id="rId17"/>
      <w:headerReference w:type="first" r:id="rId18"/>
      <w:pgSz w:w="12240" w:h="15840"/>
      <w:pgMar w:top="1871" w:right="1327" w:bottom="2836" w:left="1985" w:header="709"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93341">
      <w:pPr>
        <w:spacing w:after="0" w:line="240" w:lineRule="auto"/>
      </w:pPr>
      <w:r>
        <w:separator/>
      </w:r>
    </w:p>
  </w:endnote>
  <w:endnote w:type="continuationSeparator" w:id="0">
    <w:p w:rsidR="00000000" w:rsidRDefault="00C9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6C372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C9334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015E52">
      <w:rPr>
        <w:rFonts w:ascii="Arial" w:eastAsia="Arial" w:hAnsi="Arial" w:cs="Arial"/>
        <w:b/>
        <w:color w:val="000000"/>
        <w:sz w:val="20"/>
        <w:szCs w:val="20"/>
      </w:rPr>
      <w:fldChar w:fldCharType="separate"/>
    </w:r>
    <w:r>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015E52">
      <w:rPr>
        <w:rFonts w:ascii="Arial" w:eastAsia="Arial" w:hAnsi="Arial" w:cs="Arial"/>
        <w:b/>
        <w:color w:val="000000"/>
        <w:sz w:val="20"/>
        <w:szCs w:val="20"/>
      </w:rPr>
      <w:fldChar w:fldCharType="separate"/>
    </w:r>
    <w:r>
      <w:rPr>
        <w:rFonts w:ascii="Arial" w:eastAsia="Arial" w:hAnsi="Arial" w:cs="Arial"/>
        <w:b/>
        <w:noProof/>
        <w:color w:val="000000"/>
        <w:sz w:val="20"/>
        <w:szCs w:val="20"/>
      </w:rPr>
      <w:t>9</w:t>
    </w:r>
    <w:r>
      <w:rPr>
        <w:rFonts w:ascii="Arial" w:eastAsia="Arial" w:hAnsi="Arial" w:cs="Arial"/>
        <w:b/>
        <w:color w:val="000000"/>
        <w:sz w:val="20"/>
        <w:szCs w:val="20"/>
      </w:rPr>
      <w:fldChar w:fldCharType="end"/>
    </w:r>
  </w:p>
  <w:p w:rsidR="006C3725" w:rsidRDefault="006C3725">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6C372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93341">
      <w:pPr>
        <w:spacing w:after="0" w:line="240" w:lineRule="auto"/>
      </w:pPr>
      <w:r>
        <w:separator/>
      </w:r>
    </w:p>
  </w:footnote>
  <w:footnote w:type="continuationSeparator" w:id="0">
    <w:p w:rsidR="00000000" w:rsidRDefault="00C93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C9334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9367496" cy="9367496"/>
              <wp:effectExtent l="0" t="0" r="0" b="0"/>
              <wp:wrapNone/>
              <wp:docPr id="21" name=""/>
              <wp:cNvGraphicFramePr/>
              <a:graphic xmlns:a="http://schemas.openxmlformats.org/drawingml/2006/main">
                <a:graphicData uri="http://schemas.microsoft.com/office/word/2010/wordprocessingShape">
                  <wps:wsp>
                    <wps:cNvSpPr/>
                    <wps:spPr>
                      <a:xfrm rot="-2700000">
                        <a:off x="2440875" y="3394238"/>
                        <a:ext cx="5810250" cy="771525"/>
                      </a:xfrm>
                      <a:prstGeom prst="rect">
                        <a:avLst/>
                      </a:prstGeom>
                      <a:noFill/>
                      <a:ln>
                        <a:noFill/>
                      </a:ln>
                    </wps:spPr>
                    <wps:txbx>
                      <w:txbxContent>
                        <w:p w:rsidR="006C3725" w:rsidRDefault="00C93341">
                          <w:pPr>
                            <w:spacing w:after="0" w:line="240" w:lineRule="auto"/>
                            <w:jc w:val="center"/>
                            <w:textDirection w:val="btLr"/>
                          </w:pPr>
                          <w:r>
                            <w:rPr>
                              <w:rFonts w:ascii="Arial" w:eastAsia="Arial" w:hAnsi="Arial" w:cs="Arial"/>
                              <w:color w:val="ED7D31"/>
                              <w:sz w:val="144"/>
                            </w:rPr>
                            <w:t>VOTO DISIDENTE</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9367496" cy="9367496"/>
              <wp:effectExtent b="0" l="0" r="0" t="0"/>
              <wp:wrapNone/>
              <wp:docPr id="2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367496" cy="9367496"/>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C93341">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8240" behindDoc="1" locked="0" layoutInCell="1" hidden="0" allowOverlap="1">
          <wp:simplePos x="0" y="0"/>
          <wp:positionH relativeFrom="column">
            <wp:posOffset>-1260472</wp:posOffset>
          </wp:positionH>
          <wp:positionV relativeFrom="paragraph">
            <wp:posOffset>-293367</wp:posOffset>
          </wp:positionV>
          <wp:extent cx="7510780" cy="988250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780" cy="9882505"/>
                  </a:xfrm>
                  <a:prstGeom prst="rect">
                    <a:avLst/>
                  </a:prstGeom>
                  <a:ln/>
                </pic:spPr>
              </pic:pic>
            </a:graphicData>
          </a:graphic>
        </wp:anchor>
      </w:drawing>
    </w:r>
  </w:p>
  <w:p w:rsidR="006C3725" w:rsidRDefault="006C37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C3725" w:rsidRDefault="006C37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C3725" w:rsidRDefault="00C933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w:t>
    </w:r>
  </w:p>
  <w:p w:rsidR="006C3725" w:rsidRDefault="00C933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RECURSO DE REVISIÓN 01370/INFOEM/IP/RR/2025 Y ACUMULADOS</w:t>
    </w:r>
  </w:p>
  <w:p w:rsidR="006C3725" w:rsidRDefault="006C372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6C372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6C372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6C37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C3725" w:rsidRDefault="006C37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C3725" w:rsidRDefault="006C372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p w:rsidR="006C3725" w:rsidRDefault="006C372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25" w:rsidRDefault="006C372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96E95"/>
    <w:multiLevelType w:val="multilevel"/>
    <w:tmpl w:val="0D8CF46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632943"/>
    <w:multiLevelType w:val="multilevel"/>
    <w:tmpl w:val="785A96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25"/>
    <w:rsid w:val="00015E52"/>
    <w:rsid w:val="006C3725"/>
    <w:rsid w:val="00C93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AC5BF28-DE03-4E63-A5A8-AF72902C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link w:val="Prrafodelista"/>
    <w:uiPriority w:val="34"/>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table" w:styleId="Tablaconcuadrcula">
    <w:name w:val="Table Grid"/>
    <w:basedOn w:val="Tablanormal"/>
    <w:uiPriority w:val="39"/>
    <w:rsid w:val="00C3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5760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5760C"/>
    <w:rPr>
      <w:rFonts w:ascii="Arial" w:eastAsia="Times New Roman" w:hAnsi="Arial" w:cs="Arial"/>
      <w:sz w:val="18"/>
      <w:szCs w:val="20"/>
      <w:lang w:val="es-ES" w:eastAsia="es-ES"/>
    </w:rPr>
  </w:style>
  <w:style w:type="paragraph" w:styleId="Textosinformato">
    <w:name w:val="Plain Text"/>
    <w:basedOn w:val="Normal"/>
    <w:link w:val="TextosinformatoCar"/>
    <w:unhideWhenUsed/>
    <w:rsid w:val="0085760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5760C"/>
    <w:rPr>
      <w:rFonts w:ascii="Courier New" w:eastAsia="Times New Roman" w:hAnsi="Courier New"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9861E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861E6"/>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861E6"/>
    <w:rPr>
      <w:vertAlign w:val="superscript"/>
    </w:rPr>
  </w:style>
  <w:style w:type="paragraph" w:styleId="Sinespaciado">
    <w:name w:val="No Spacing"/>
    <w:aliases w:val="Francesa,INAI"/>
    <w:link w:val="SinespaciadoCar"/>
    <w:uiPriority w:val="1"/>
    <w:qFormat/>
    <w:rsid w:val="00AA49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A4906"/>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9SJBRyLu/LKrak35xLKozROQg==">CgMxLjAyDmguaHVxa2Zpa3M4d3ZmOAByITFxYXNvS2M3RFMxVGhKM2JjbXhDWi11SUtRNTJFU0tXYw==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1913</Words>
  <Characters>10525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INFOEM505</cp:lastModifiedBy>
  <cp:revision>3</cp:revision>
  <cp:lastPrinted>2025-05-26T16:57:00Z</cp:lastPrinted>
  <dcterms:created xsi:type="dcterms:W3CDTF">2025-05-26T16:57:00Z</dcterms:created>
  <dcterms:modified xsi:type="dcterms:W3CDTF">2025-05-26T16:57:00Z</dcterms:modified>
</cp:coreProperties>
</file>