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14" w:rsidRDefault="00D42D73">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066A99">
        <w:rPr>
          <w:rFonts w:ascii="Palatino Linotype" w:eastAsia="Palatino Linotype" w:hAnsi="Palatino Linotype" w:cs="Palatino Linotype"/>
          <w:b/>
        </w:rPr>
        <w:t>DÉCIMA PRIMERA</w:t>
      </w:r>
      <w:r>
        <w:rPr>
          <w:rFonts w:ascii="Palatino Linotype" w:eastAsia="Palatino Linotype" w:hAnsi="Palatino Linotype" w:cs="Palatino Linotype"/>
          <w:b/>
        </w:rPr>
        <w:t xml:space="preserve"> SESIÓN ORDINARIA DEL VEINTISÉIS DE </w:t>
      </w:r>
      <w:r w:rsidR="00066A99">
        <w:rPr>
          <w:rFonts w:ascii="Palatino Linotype" w:eastAsia="Palatino Linotype" w:hAnsi="Palatino Linotype" w:cs="Palatino Linotype"/>
          <w:b/>
        </w:rPr>
        <w:t xml:space="preserve">MARZO </w:t>
      </w:r>
      <w:r>
        <w:rPr>
          <w:rFonts w:ascii="Palatino Linotype" w:eastAsia="Palatino Linotype" w:hAnsi="Palatino Linotype" w:cs="Palatino Linotype"/>
          <w:b/>
        </w:rPr>
        <w:t>DE DOS MIL VEINTICINC</w:t>
      </w:r>
      <w:r w:rsidR="00066A99">
        <w:rPr>
          <w:rFonts w:ascii="Palatino Linotype" w:eastAsia="Palatino Linotype" w:hAnsi="Palatino Linotype" w:cs="Palatino Linotype"/>
          <w:b/>
        </w:rPr>
        <w:t>O, EN EL RECURSO DE REVISIÓN 0135</w:t>
      </w:r>
      <w:r>
        <w:rPr>
          <w:rFonts w:ascii="Palatino Linotype" w:eastAsia="Palatino Linotype" w:hAnsi="Palatino Linotype" w:cs="Palatino Linotype"/>
          <w:b/>
        </w:rPr>
        <w:t>9/INFOEM/IP/RR/2025.</w:t>
      </w:r>
    </w:p>
    <w:p w:rsidR="00163914" w:rsidRDefault="00163914">
      <w:pPr>
        <w:spacing w:after="0" w:line="360" w:lineRule="auto"/>
        <w:jc w:val="both"/>
        <w:rPr>
          <w:rFonts w:ascii="Palatino Linotype" w:eastAsia="Palatino Linotype" w:hAnsi="Palatino Linotype" w:cs="Palatino Linotype"/>
          <w:b/>
        </w:rPr>
      </w:pPr>
      <w:bookmarkStart w:id="1" w:name="_heading=h.asawwzic8e7e" w:colFirst="0" w:colLast="0"/>
      <w:bookmarkEnd w:id="1"/>
    </w:p>
    <w:p w:rsidR="00163914" w:rsidRDefault="00D42D73">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resolvió por unanimidad de votos, la Resolu</w:t>
      </w:r>
      <w:bookmarkStart w:id="2" w:name="_GoBack"/>
      <w:bookmarkEnd w:id="2"/>
      <w:r>
        <w:rPr>
          <w:rFonts w:ascii="Palatino Linotype" w:eastAsia="Palatino Linotype" w:hAnsi="Palatino Linotype" w:cs="Palatino Linotype"/>
        </w:rPr>
        <w:t xml:space="preserve">ción relativa al Recurso de Revisión </w:t>
      </w:r>
      <w:r w:rsidR="00071282">
        <w:rPr>
          <w:rFonts w:ascii="Palatino Linotype" w:eastAsia="Palatino Linotype" w:hAnsi="Palatino Linotype" w:cs="Palatino Linotype"/>
          <w:b/>
          <w:color w:val="000000"/>
        </w:rPr>
        <w:t>01359</w:t>
      </w:r>
      <w:r>
        <w:rPr>
          <w:rFonts w:ascii="Palatino Linotype" w:eastAsia="Palatino Linotype" w:hAnsi="Palatino Linotype" w:cs="Palatino Linotype"/>
          <w:b/>
          <w:color w:val="000000"/>
        </w:rPr>
        <w:t>/INFOEM/IP/RR/2025</w:t>
      </w:r>
      <w:r>
        <w:rPr>
          <w:rFonts w:ascii="Palatino Linotype" w:eastAsia="Palatino Linotype" w:hAnsi="Palatino Linotype" w:cs="Palatino Linotype"/>
          <w:b/>
        </w:rPr>
        <w:t xml:space="preserve">, </w:t>
      </w:r>
      <w:r w:rsidR="003D332F" w:rsidRPr="003D332F">
        <w:rPr>
          <w:rFonts w:ascii="Palatino Linotype" w:eastAsia="Palatino Linotype" w:hAnsi="Palatino Linotype" w:cs="Palatino Linotype"/>
        </w:rPr>
        <w:t>el cual fue engrosado</w:t>
      </w:r>
      <w:r w:rsidR="003D332F" w:rsidRPr="003D332F">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163914" w:rsidRDefault="00163914">
      <w:pPr>
        <w:spacing w:after="0" w:line="360" w:lineRule="auto"/>
        <w:ind w:right="-93"/>
        <w:jc w:val="both"/>
        <w:rPr>
          <w:rFonts w:ascii="Palatino Linotype" w:eastAsia="Palatino Linotype" w:hAnsi="Palatino Linotype" w:cs="Palatino Linotype"/>
        </w:rPr>
      </w:pPr>
    </w:p>
    <w:p w:rsidR="00163914" w:rsidRDefault="00D42D73">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163914" w:rsidRDefault="00163914">
      <w:pPr>
        <w:spacing w:after="0" w:line="360" w:lineRule="auto"/>
        <w:ind w:right="-93"/>
        <w:jc w:val="both"/>
        <w:rPr>
          <w:rFonts w:ascii="Palatino Linotype" w:eastAsia="Palatino Linotype" w:hAnsi="Palatino Linotype" w:cs="Palatino Linotype"/>
        </w:rPr>
      </w:pPr>
    </w:p>
    <w:p w:rsidR="00163914" w:rsidRDefault="00D42D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w:t>
      </w:r>
      <w:r>
        <w:rPr>
          <w:rFonts w:ascii="Palatino Linotype" w:eastAsia="Palatino Linotype" w:hAnsi="Palatino Linotype" w:cs="Palatino Linotype"/>
        </w:rPr>
        <w:lastRenderedPageBreak/>
        <w:t xml:space="preserve">los servidores públicos sin importar el nivel o cargo y en cualquier documento que se encuentre vinculado con el cumplimiento de disposiciones legales debe ser pública. </w:t>
      </w:r>
    </w:p>
    <w:p w:rsidR="00163914" w:rsidRDefault="00163914">
      <w:pPr>
        <w:spacing w:after="0" w:line="360" w:lineRule="auto"/>
        <w:jc w:val="both"/>
        <w:rPr>
          <w:rFonts w:ascii="Palatino Linotype" w:eastAsia="Palatino Linotype" w:hAnsi="Palatino Linotype" w:cs="Palatino Linotype"/>
        </w:rPr>
      </w:pPr>
    </w:p>
    <w:p w:rsidR="00163914" w:rsidRDefault="00D42D73">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163914" w:rsidRDefault="00163914">
      <w:pPr>
        <w:spacing w:line="276" w:lineRule="auto"/>
        <w:ind w:left="851" w:right="706"/>
        <w:jc w:val="both"/>
        <w:rPr>
          <w:rFonts w:ascii="Palatino Linotype" w:eastAsia="Palatino Linotype" w:hAnsi="Palatino Linotype" w:cs="Palatino Linotype"/>
          <w:i/>
          <w:color w:val="000000"/>
        </w:rPr>
      </w:pPr>
    </w:p>
    <w:p w:rsidR="00071282" w:rsidRDefault="00D42D73" w:rsidP="00071282">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00071282" w:rsidRPr="00071282">
        <w:rPr>
          <w:rFonts w:ascii="Palatino Linotype" w:eastAsia="Palatino Linotype" w:hAnsi="Palatino Linotype" w:cs="Palatino Linotype"/>
          <w:i/>
          <w:color w:val="000000"/>
        </w:rPr>
        <w:t>Por otro lado, respecto a la fotografía es de señalar que dicho dato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071282" w:rsidRPr="00071282" w:rsidRDefault="00071282" w:rsidP="00071282">
      <w:pPr>
        <w:spacing w:after="0" w:line="276" w:lineRule="auto"/>
        <w:ind w:left="851" w:right="706"/>
        <w:jc w:val="both"/>
        <w:rPr>
          <w:rFonts w:ascii="Palatino Linotype" w:eastAsia="Palatino Linotype" w:hAnsi="Palatino Linotype" w:cs="Palatino Linotype"/>
          <w:i/>
          <w:color w:val="000000"/>
        </w:rPr>
      </w:pPr>
    </w:p>
    <w:p w:rsidR="00071282" w:rsidRDefault="00071282" w:rsidP="00071282">
      <w:pPr>
        <w:spacing w:after="0" w:line="276" w:lineRule="auto"/>
        <w:ind w:left="851" w:right="706"/>
        <w:jc w:val="both"/>
        <w:rPr>
          <w:rFonts w:ascii="Palatino Linotype" w:eastAsia="Palatino Linotype" w:hAnsi="Palatino Linotype" w:cs="Palatino Linotype"/>
          <w:i/>
          <w:color w:val="000000"/>
        </w:rPr>
      </w:pPr>
      <w:r w:rsidRPr="00071282">
        <w:rPr>
          <w:rFonts w:ascii="Palatino Linotype" w:eastAsia="Palatino Linotype" w:hAnsi="Palatino Linotype" w:cs="Palatino Linotype"/>
          <w:i/>
          <w:color w:val="000000"/>
        </w:rPr>
        <w:t>Sin embargo, en materia de administración pública acreditaría e identificaría a una persona como servidor público, por lo que es posible advertir que existe cierto interés público, cuando la fotografía obra en documentos de servidores públicos vinculados con el cumplimiento de disposiciones legales.</w:t>
      </w:r>
    </w:p>
    <w:p w:rsidR="00071282" w:rsidRPr="00071282" w:rsidRDefault="00071282" w:rsidP="00071282">
      <w:pPr>
        <w:spacing w:after="0" w:line="276" w:lineRule="auto"/>
        <w:ind w:left="851" w:right="706"/>
        <w:jc w:val="both"/>
        <w:rPr>
          <w:rFonts w:ascii="Palatino Linotype" w:eastAsia="Palatino Linotype" w:hAnsi="Palatino Linotype" w:cs="Palatino Linotype"/>
          <w:i/>
          <w:color w:val="000000"/>
        </w:rPr>
      </w:pPr>
    </w:p>
    <w:p w:rsidR="00071282" w:rsidRDefault="00071282" w:rsidP="00071282">
      <w:pPr>
        <w:spacing w:after="0" w:line="276" w:lineRule="auto"/>
        <w:ind w:left="851" w:right="706"/>
        <w:jc w:val="both"/>
        <w:rPr>
          <w:rFonts w:ascii="Palatino Linotype" w:eastAsia="Palatino Linotype" w:hAnsi="Palatino Linotype" w:cs="Palatino Linotype"/>
          <w:i/>
          <w:color w:val="000000"/>
        </w:rPr>
      </w:pPr>
      <w:r w:rsidRPr="00071282">
        <w:rPr>
          <w:rFonts w:ascii="Palatino Linotype" w:eastAsia="Palatino Linotype" w:hAnsi="Palatino Linotype" w:cs="Palatino Linotype"/>
          <w:i/>
          <w:color w:val="000000"/>
        </w:rPr>
        <w:t>Así, cuando las fotografías de los servidores públicos obran en documentos que dan cuenta del cumplimiento de funciones, requisitos legales o los acredita como servidores públicos, no puede ser un dato que se clasifique como confidencial, pues en este caso, es superado por el interés público de conocer si en realidad la persona que se ostenta en carácter de servidor público, se encuentra en ese encargo, si realiza las funciones o si cumple con los requisitos legales.</w:t>
      </w:r>
    </w:p>
    <w:p w:rsidR="00071282" w:rsidRPr="00071282" w:rsidRDefault="00071282" w:rsidP="00071282">
      <w:pPr>
        <w:spacing w:after="0" w:line="276" w:lineRule="auto"/>
        <w:ind w:left="851" w:right="706"/>
        <w:jc w:val="both"/>
        <w:rPr>
          <w:rFonts w:ascii="Palatino Linotype" w:eastAsia="Palatino Linotype" w:hAnsi="Palatino Linotype" w:cs="Palatino Linotype"/>
          <w:i/>
          <w:color w:val="000000"/>
        </w:rPr>
      </w:pPr>
    </w:p>
    <w:p w:rsidR="00163914" w:rsidRDefault="00071282" w:rsidP="00071282">
      <w:pPr>
        <w:spacing w:after="0" w:line="276" w:lineRule="auto"/>
        <w:ind w:left="851" w:right="706"/>
        <w:jc w:val="both"/>
        <w:rPr>
          <w:rFonts w:ascii="Palatino Linotype" w:eastAsia="Palatino Linotype" w:hAnsi="Palatino Linotype" w:cs="Palatino Linotype"/>
          <w:i/>
        </w:rPr>
      </w:pPr>
      <w:r w:rsidRPr="00071282">
        <w:rPr>
          <w:rFonts w:ascii="Palatino Linotype" w:eastAsia="Palatino Linotype" w:hAnsi="Palatino Linotype" w:cs="Palatino Linotype"/>
          <w:i/>
          <w:color w:val="000000"/>
        </w:rPr>
        <w:lastRenderedPageBreak/>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emitan, no pod</w:t>
      </w:r>
      <w:r>
        <w:rPr>
          <w:rFonts w:ascii="Palatino Linotype" w:eastAsia="Palatino Linotype" w:hAnsi="Palatino Linotype" w:cs="Palatino Linotype"/>
          <w:i/>
          <w:color w:val="000000"/>
        </w:rPr>
        <w:t>rá clasificarse esa información</w:t>
      </w:r>
      <w:r w:rsidR="00D42D73">
        <w:rPr>
          <w:rFonts w:ascii="Palatino Linotype" w:eastAsia="Palatino Linotype" w:hAnsi="Palatino Linotype" w:cs="Palatino Linotype"/>
          <w:i/>
          <w:color w:val="000000"/>
        </w:rPr>
        <w:t xml:space="preserve">.” </w:t>
      </w:r>
    </w:p>
    <w:p w:rsidR="00163914" w:rsidRDefault="00163914">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163914" w:rsidRDefault="00D42D73">
      <w:pPr>
        <w:spacing w:after="0" w:line="360" w:lineRule="auto"/>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163914" w:rsidRDefault="00163914">
      <w:pPr>
        <w:spacing w:after="0" w:line="360" w:lineRule="auto"/>
        <w:jc w:val="both"/>
        <w:rPr>
          <w:rFonts w:ascii="Palatino Linotype" w:eastAsia="Palatino Linotype" w:hAnsi="Palatino Linotype" w:cs="Palatino Linotype"/>
        </w:rPr>
      </w:pPr>
    </w:p>
    <w:p w:rsidR="00163914" w:rsidRDefault="00D42D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163914" w:rsidRDefault="00163914">
      <w:pPr>
        <w:spacing w:after="0" w:line="360" w:lineRule="auto"/>
        <w:jc w:val="both"/>
        <w:rPr>
          <w:rFonts w:ascii="Palatino Linotype" w:eastAsia="Palatino Linotype" w:hAnsi="Palatino Linotype" w:cs="Palatino Linotype"/>
        </w:rPr>
      </w:pPr>
    </w:p>
    <w:p w:rsidR="00163914" w:rsidRDefault="00D42D73">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163914" w:rsidRDefault="00163914">
      <w:pPr>
        <w:spacing w:after="0" w:line="360" w:lineRule="auto"/>
        <w:ind w:right="140"/>
        <w:jc w:val="both"/>
        <w:rPr>
          <w:rFonts w:ascii="Palatino Linotype" w:eastAsia="Palatino Linotype" w:hAnsi="Palatino Linotype" w:cs="Palatino Linotype"/>
        </w:rPr>
      </w:pPr>
    </w:p>
    <w:p w:rsidR="00163914" w:rsidRDefault="00D42D73">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163914" w:rsidRDefault="00163914">
      <w:pPr>
        <w:tabs>
          <w:tab w:val="left" w:pos="4962"/>
        </w:tabs>
        <w:spacing w:after="0" w:line="360" w:lineRule="auto"/>
        <w:jc w:val="both"/>
        <w:rPr>
          <w:rFonts w:ascii="Palatino Linotype" w:eastAsia="Palatino Linotype" w:hAnsi="Palatino Linotype" w:cs="Palatino Linotype"/>
        </w:rPr>
      </w:pPr>
    </w:p>
    <w:p w:rsidR="00163914" w:rsidRDefault="00D42D73">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163914" w:rsidRDefault="00163914">
      <w:pPr>
        <w:spacing w:after="0" w:line="360" w:lineRule="auto"/>
        <w:jc w:val="both"/>
        <w:rPr>
          <w:rFonts w:ascii="Palatino Linotype" w:eastAsia="Palatino Linotype" w:hAnsi="Palatino Linotype" w:cs="Palatino Linotype"/>
        </w:rPr>
      </w:pPr>
    </w:p>
    <w:p w:rsidR="00163914" w:rsidRDefault="00D42D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163914" w:rsidRDefault="00163914">
      <w:pPr>
        <w:spacing w:after="0" w:line="360" w:lineRule="auto"/>
        <w:jc w:val="both"/>
        <w:rPr>
          <w:rFonts w:ascii="Palatino Linotype" w:eastAsia="Palatino Linotype" w:hAnsi="Palatino Linotype" w:cs="Palatino Linotype"/>
        </w:rPr>
      </w:pPr>
    </w:p>
    <w:p w:rsidR="00163914" w:rsidRDefault="00D42D73">
      <w:pPr>
        <w:tabs>
          <w:tab w:val="left" w:pos="4962"/>
        </w:tabs>
        <w:spacing w:after="0" w:line="360" w:lineRule="auto"/>
        <w:jc w:val="both"/>
        <w:rPr>
          <w:rFonts w:ascii="Palatino Linotype" w:eastAsia="Palatino Linotype" w:hAnsi="Palatino Linotype" w:cs="Palatino Linotype"/>
        </w:rPr>
        <w:sectPr w:rsidR="00163914">
          <w:headerReference w:type="even" r:id="rId7"/>
          <w:headerReference w:type="default" r:id="rId8"/>
          <w:footerReference w:type="even" r:id="rId9"/>
          <w:footerReference w:type="default" r:id="rId10"/>
          <w:headerReference w:type="first" r:id="rId11"/>
          <w:footerReference w:type="first" r:id="rId12"/>
          <w:pgSz w:w="12240" w:h="15840"/>
          <w:pgMar w:top="1871" w:right="1327" w:bottom="2836" w:left="1985" w:header="709" w:footer="586" w:gutter="0"/>
          <w:pgNumType w:start="1"/>
          <w:cols w:space="720"/>
        </w:sectPr>
      </w:pPr>
      <w:bookmarkStart w:id="5" w:name="_heading=h.2et92p0" w:colFirst="0" w:colLast="0"/>
      <w:bookmarkEnd w:id="5"/>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163914" w:rsidRDefault="00163914">
      <w:pPr>
        <w:tabs>
          <w:tab w:val="left" w:pos="4962"/>
        </w:tabs>
        <w:spacing w:after="0" w:line="360" w:lineRule="auto"/>
        <w:jc w:val="both"/>
        <w:rPr>
          <w:rFonts w:ascii="Palatino Linotype" w:eastAsia="Palatino Linotype" w:hAnsi="Palatino Linotype" w:cs="Palatino Linotype"/>
        </w:rPr>
      </w:pPr>
    </w:p>
    <w:sectPr w:rsidR="00163914">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D73" w:rsidRDefault="00D42D73">
      <w:pPr>
        <w:spacing w:after="0" w:line="240" w:lineRule="auto"/>
      </w:pPr>
      <w:r>
        <w:separator/>
      </w:r>
    </w:p>
  </w:endnote>
  <w:endnote w:type="continuationSeparator" w:id="0">
    <w:p w:rsidR="00D42D73" w:rsidRDefault="00D4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14" w:rsidRDefault="0016391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14" w:rsidRDefault="00D42D7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71282">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71282">
      <w:rPr>
        <w:rFonts w:ascii="Arial" w:eastAsia="Arial" w:hAnsi="Arial" w:cs="Arial"/>
        <w:b/>
        <w:noProof/>
        <w:color w:val="000000"/>
        <w:sz w:val="20"/>
        <w:szCs w:val="20"/>
      </w:rPr>
      <w:t>6</w:t>
    </w:r>
    <w:r>
      <w:rPr>
        <w:rFonts w:ascii="Arial" w:eastAsia="Arial" w:hAnsi="Arial" w:cs="Arial"/>
        <w:b/>
        <w:color w:val="000000"/>
        <w:sz w:val="20"/>
        <w:szCs w:val="20"/>
      </w:rPr>
      <w:fldChar w:fldCharType="end"/>
    </w:r>
  </w:p>
  <w:p w:rsidR="00163914" w:rsidRDefault="0016391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14" w:rsidRDefault="00163914">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14" w:rsidRDefault="0007128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t>6</w:t>
    </w:r>
    <w:r w:rsidR="00D42D73">
      <w:rPr>
        <w:rFonts w:ascii="Arial" w:eastAsia="Arial" w:hAnsi="Arial" w:cs="Arial"/>
        <w:color w:val="000000"/>
        <w:sz w:val="20"/>
        <w:szCs w:val="20"/>
      </w:rPr>
      <w:t xml:space="preserve"> de </w:t>
    </w:r>
    <w:r w:rsidR="00D42D73">
      <w:rPr>
        <w:rFonts w:ascii="Arial" w:eastAsia="Arial" w:hAnsi="Arial" w:cs="Arial"/>
        <w:b/>
        <w:color w:val="000000"/>
        <w:sz w:val="20"/>
        <w:szCs w:val="20"/>
      </w:rPr>
      <w:fldChar w:fldCharType="begin"/>
    </w:r>
    <w:r w:rsidR="00D42D73">
      <w:rPr>
        <w:rFonts w:ascii="Arial" w:eastAsia="Arial" w:hAnsi="Arial" w:cs="Arial"/>
        <w:b/>
        <w:color w:val="000000"/>
        <w:sz w:val="20"/>
        <w:szCs w:val="20"/>
      </w:rPr>
      <w:instrText>NUMPAGES</w:instrText>
    </w:r>
    <w:r w:rsidR="00D42D73">
      <w:rPr>
        <w:rFonts w:ascii="Arial" w:eastAsia="Arial" w:hAnsi="Arial" w:cs="Arial"/>
        <w:b/>
        <w:color w:val="000000"/>
        <w:sz w:val="20"/>
        <w:szCs w:val="20"/>
      </w:rPr>
      <w:fldChar w:fldCharType="separate"/>
    </w:r>
    <w:r>
      <w:rPr>
        <w:rFonts w:ascii="Arial" w:eastAsia="Arial" w:hAnsi="Arial" w:cs="Arial"/>
        <w:b/>
        <w:noProof/>
        <w:color w:val="000000"/>
        <w:sz w:val="20"/>
        <w:szCs w:val="20"/>
      </w:rPr>
      <w:t>6</w:t>
    </w:r>
    <w:r w:rsidR="00D42D73">
      <w:rPr>
        <w:rFonts w:ascii="Arial" w:eastAsia="Arial" w:hAnsi="Arial" w:cs="Arial"/>
        <w:b/>
        <w:color w:val="000000"/>
        <w:sz w:val="20"/>
        <w:szCs w:val="20"/>
      </w:rPr>
      <w:fldChar w:fldCharType="end"/>
    </w:r>
  </w:p>
  <w:p w:rsidR="00163914" w:rsidRDefault="0016391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D73" w:rsidRDefault="00D42D73">
      <w:pPr>
        <w:spacing w:after="0" w:line="240" w:lineRule="auto"/>
      </w:pPr>
      <w:r>
        <w:separator/>
      </w:r>
    </w:p>
  </w:footnote>
  <w:footnote w:type="continuationSeparator" w:id="0">
    <w:p w:rsidR="00D42D73" w:rsidRDefault="00D42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14" w:rsidRDefault="0016391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14" w:rsidRDefault="00D42D7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-1171563</wp:posOffset>
          </wp:positionH>
          <wp:positionV relativeFrom="paragraph">
            <wp:posOffset>-486396</wp:posOffset>
          </wp:positionV>
          <wp:extent cx="7510628" cy="988377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163914" w:rsidRDefault="00D42D73">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163914" w:rsidRDefault="00D42D73">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w:t>
    </w:r>
    <w:r w:rsidR="00066A99">
      <w:rPr>
        <w:rFonts w:ascii="Palatino Linotype" w:eastAsia="Palatino Linotype" w:hAnsi="Palatino Linotype" w:cs="Palatino Linotype"/>
        <w:b/>
        <w:color w:val="000000"/>
        <w:sz w:val="20"/>
        <w:szCs w:val="20"/>
      </w:rPr>
      <w:t>0135</w:t>
    </w:r>
    <w:r>
      <w:rPr>
        <w:rFonts w:ascii="Palatino Linotype" w:eastAsia="Palatino Linotype" w:hAnsi="Palatino Linotype" w:cs="Palatino Linotype"/>
        <w:b/>
        <w:color w:val="000000"/>
        <w:sz w:val="20"/>
        <w:szCs w:val="20"/>
      </w:rPr>
      <w:t>9/INFOEM/IP/RR/2025</w:t>
    </w:r>
  </w:p>
  <w:p w:rsidR="00163914" w:rsidRDefault="00D42D73">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066A99" w:rsidRPr="00066A99">
      <w:rPr>
        <w:rFonts w:ascii="Palatino Linotype" w:eastAsia="Palatino Linotype" w:hAnsi="Palatino Linotype" w:cs="Palatino Linotype"/>
        <w:b/>
        <w:color w:val="000000"/>
        <w:sz w:val="20"/>
        <w:szCs w:val="20"/>
      </w:rPr>
      <w:t>Ayuntamiento de Toluca</w:t>
    </w:r>
  </w:p>
  <w:p w:rsidR="00163914" w:rsidRDefault="00D42D73">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highlight w:val="red"/>
      </w:rPr>
    </w:pPr>
    <w:r>
      <w:rPr>
        <w:rFonts w:ascii="Palatino Linotype" w:eastAsia="Palatino Linotype" w:hAnsi="Palatino Linotype" w:cs="Palatino Linotype"/>
        <w:b/>
        <w:color w:val="000000"/>
        <w:sz w:val="20"/>
        <w:szCs w:val="20"/>
      </w:rPr>
      <w:t xml:space="preserve">Comisionada Ponente: </w:t>
    </w:r>
    <w:r>
      <w:rPr>
        <w:rFonts w:ascii="Palatino Linotype" w:eastAsia="Palatino Linotype" w:hAnsi="Palatino Linotype" w:cs="Palatino Linotype"/>
        <w:b/>
        <w:sz w:val="20"/>
        <w:szCs w:val="20"/>
      </w:rPr>
      <w:t>Guadalupe Ramírez Peña</w:t>
    </w:r>
  </w:p>
  <w:p w:rsidR="00163914" w:rsidRDefault="0016391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14" w:rsidRDefault="00163914">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14" w:rsidRDefault="0016391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163914" w:rsidRDefault="0016391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14"/>
    <w:rsid w:val="00066A99"/>
    <w:rsid w:val="00071282"/>
    <w:rsid w:val="00163914"/>
    <w:rsid w:val="00301F7F"/>
    <w:rsid w:val="003D332F"/>
    <w:rsid w:val="00D42D73"/>
    <w:rsid w:val="00E27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ECFAB-226D-4784-A4E8-A0E3E12C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wRLeYx3DhIhFWe5S6RVU114RCw==">CgMxLjAyCGguZ2pkZ3hzMg5oLmFzYXd3emljOGU3ZTIOaC5zZXpuazB2M2t3ZHAyDmgueGV6cjBva2Q1N3RuMgloLjJldDkycDA4AHIhMXpTNWZ5T3dDZlZNcmFTeE1Da3pmM3drS0xTXzk4dVZs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1271</Words>
  <Characters>6991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4</cp:revision>
  <cp:lastPrinted>2025-03-04T18:14:00Z</cp:lastPrinted>
  <dcterms:created xsi:type="dcterms:W3CDTF">2025-03-27T20:59:00Z</dcterms:created>
  <dcterms:modified xsi:type="dcterms:W3CDTF">2025-03-27T21:06:00Z</dcterms:modified>
</cp:coreProperties>
</file>