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C80C985" w14:textId="77777777" w:rsidR="00126A6F" w:rsidRPr="008B7FB6" w:rsidRDefault="00126A6F" w:rsidP="00126A6F">
      <w:pPr>
        <w:tabs>
          <w:tab w:val="center" w:pos="4252"/>
          <w:tab w:val="right" w:pos="8504"/>
        </w:tabs>
        <w:spacing w:after="0" w:line="360" w:lineRule="auto"/>
        <w:contextualSpacing/>
        <w:jc w:val="both"/>
        <w:rPr>
          <w:rFonts w:ascii="Palatino Linotype" w:hAnsi="Palatino Linotype" w:cs="Tahoma"/>
          <w:b/>
          <w:lang w:val="es-ES"/>
        </w:rPr>
      </w:pPr>
    </w:p>
    <w:p w14:paraId="53BFCFA1" w14:textId="4B9D4373" w:rsidR="00126A6F" w:rsidRPr="00126A6F" w:rsidRDefault="00126A6F" w:rsidP="00126A6F">
      <w:pPr>
        <w:tabs>
          <w:tab w:val="center" w:pos="4252"/>
          <w:tab w:val="right" w:pos="8504"/>
        </w:tabs>
        <w:spacing w:after="0" w:line="360" w:lineRule="auto"/>
        <w:contextualSpacing/>
        <w:jc w:val="both"/>
        <w:rPr>
          <w:rFonts w:ascii="Palatino Linotype" w:hAnsi="Palatino Linotype" w:cs="Tahoma"/>
          <w:b/>
        </w:rPr>
      </w:pPr>
      <w:r w:rsidRPr="005142CB">
        <w:rPr>
          <w:rFonts w:ascii="Palatino Linotype" w:hAnsi="Palatino Linotype" w:cs="Tahoma"/>
          <w:b/>
          <w:lang w:val="es-ES"/>
        </w:rPr>
        <w:t xml:space="preserve">VOTO PARTICULAR QUE FORMULA EL COMISIONADO LUIS GUSTAVO PARRA NORIEGA, CON RELACIÓN A LA RESOLUCIÓN DEL RECURSO DE REVISIÓN </w:t>
      </w:r>
      <w:r w:rsidRPr="005142CB">
        <w:rPr>
          <w:rFonts w:ascii="Palatino Linotype" w:hAnsi="Palatino Linotype"/>
          <w:b/>
          <w:lang w:val="es-ES_tradnl"/>
        </w:rPr>
        <w:t>0</w:t>
      </w:r>
      <w:r>
        <w:rPr>
          <w:rFonts w:ascii="Palatino Linotype" w:hAnsi="Palatino Linotype"/>
          <w:b/>
          <w:lang w:val="es-ES_tradnl"/>
        </w:rPr>
        <w:t>19</w:t>
      </w:r>
      <w:r w:rsidR="00B83EDA">
        <w:rPr>
          <w:rFonts w:ascii="Palatino Linotype" w:hAnsi="Palatino Linotype"/>
          <w:b/>
          <w:lang w:val="es-ES_tradnl"/>
        </w:rPr>
        <w:t>2</w:t>
      </w:r>
      <w:r>
        <w:rPr>
          <w:rFonts w:ascii="Palatino Linotype" w:hAnsi="Palatino Linotype"/>
          <w:b/>
          <w:lang w:val="es-ES_tradnl"/>
        </w:rPr>
        <w:t>5</w:t>
      </w:r>
      <w:r w:rsidRPr="005142CB">
        <w:rPr>
          <w:rFonts w:ascii="Palatino Linotype" w:hAnsi="Palatino Linotype"/>
          <w:b/>
          <w:lang w:val="es-ES_tradnl"/>
        </w:rPr>
        <w:t>/INFOEM/IP/RR/202</w:t>
      </w:r>
      <w:r>
        <w:rPr>
          <w:rFonts w:ascii="Palatino Linotype" w:hAnsi="Palatino Linotype"/>
          <w:b/>
          <w:lang w:val="es-ES_tradnl"/>
        </w:rPr>
        <w:t>5</w:t>
      </w:r>
      <w:r w:rsidRPr="005142CB">
        <w:rPr>
          <w:rFonts w:ascii="Palatino Linotype" w:hAnsi="Palatino Linotype" w:cs="Tahoma"/>
          <w:b/>
          <w:lang w:val="es-ES"/>
        </w:rPr>
        <w:t>, PROMOVIDO EN CONTRA</w:t>
      </w:r>
      <w:r>
        <w:rPr>
          <w:rFonts w:ascii="Palatino Linotype" w:hAnsi="Palatino Linotype" w:cs="Tahoma"/>
          <w:b/>
          <w:lang w:val="es-ES"/>
        </w:rPr>
        <w:t xml:space="preserve"> DE LA </w:t>
      </w:r>
      <w:r w:rsidRPr="00126A6F">
        <w:rPr>
          <w:rFonts w:ascii="Palatino Linotype" w:hAnsi="Palatino Linotype" w:cs="Tahoma"/>
          <w:b/>
        </w:rPr>
        <w:t>SECRETARÍA DE EDUCACIÓN, CIENCIA, TECNOLOGÍA E INNOVACIÓN</w:t>
      </w:r>
    </w:p>
    <w:p w14:paraId="008D24F1" w14:textId="77777777" w:rsidR="00126A6F" w:rsidRPr="005142CB" w:rsidRDefault="00126A6F" w:rsidP="00126A6F">
      <w:pPr>
        <w:spacing w:after="0" w:line="360" w:lineRule="auto"/>
        <w:contextualSpacing/>
        <w:jc w:val="both"/>
        <w:rPr>
          <w:rFonts w:ascii="Palatino Linotype" w:hAnsi="Palatino Linotype" w:cs="Tahoma"/>
          <w:sz w:val="18"/>
          <w:lang w:val="es-ES"/>
        </w:rPr>
      </w:pPr>
    </w:p>
    <w:p w14:paraId="41CECFAC" w14:textId="60A26C45" w:rsidR="00126A6F" w:rsidRDefault="00126A6F" w:rsidP="00126A6F">
      <w:pPr>
        <w:tabs>
          <w:tab w:val="left" w:pos="1843"/>
        </w:tabs>
        <w:spacing w:after="0" w:line="360" w:lineRule="auto"/>
        <w:jc w:val="both"/>
        <w:rPr>
          <w:rFonts w:ascii="Palatino Linotype" w:eastAsia="Palatino Linotype" w:hAnsi="Palatino Linotype" w:cs="Palatino Linotype"/>
          <w:bCs/>
          <w:lang w:val="es-ES"/>
        </w:rPr>
      </w:pPr>
      <w:r w:rsidRPr="005142CB">
        <w:rPr>
          <w:rFonts w:ascii="Palatino Linotype" w:hAnsi="Palatino Linotype" w:cs="Tahoma"/>
          <w:lang w:val="es-ES"/>
        </w:rPr>
        <w:t xml:space="preserve">En términos de lo dispuesto por los artículos 189, párrafo primero, de la Ley de Transparencia y Acceso a la Información Pública del Estado de México y Municipios; 14, fracción XI, del Reglamento Interior del Instituto de Transparencia, Acceso a la Información Pública y Protección de Datos Personales del Estado de México y Municipios; 2°, fracción XX, 45, 48, fracción I, de los Lineamientos para el funcionamiento del Pleno y las Comisiones del Instituto de Transparencia, Acceso a la Información Pública y Protección de Datos Personales del Estado de México y Municipios, emito el presente </w:t>
      </w:r>
      <w:r w:rsidRPr="005142CB">
        <w:rPr>
          <w:rFonts w:ascii="Palatino Linotype" w:hAnsi="Palatino Linotype" w:cs="Tahoma"/>
          <w:b/>
          <w:lang w:val="es-ES"/>
        </w:rPr>
        <w:t>Voto Particular</w:t>
      </w:r>
      <w:r w:rsidRPr="005142CB">
        <w:rPr>
          <w:rFonts w:ascii="Palatino Linotype" w:hAnsi="Palatino Linotype" w:cs="Tahoma"/>
          <w:lang w:val="es-ES"/>
        </w:rPr>
        <w:t xml:space="preserve">, que sustenta la Resolución del Recurso de Revisión </w:t>
      </w:r>
      <w:r w:rsidRPr="005142CB">
        <w:rPr>
          <w:rFonts w:ascii="Palatino Linotype" w:hAnsi="Palatino Linotype"/>
          <w:b/>
          <w:lang w:val="es-ES_tradnl"/>
        </w:rPr>
        <w:t>0</w:t>
      </w:r>
      <w:r>
        <w:rPr>
          <w:rFonts w:ascii="Palatino Linotype" w:hAnsi="Palatino Linotype"/>
          <w:b/>
          <w:lang w:val="es-ES_tradnl"/>
        </w:rPr>
        <w:t>19</w:t>
      </w:r>
      <w:r w:rsidR="00B83EDA">
        <w:rPr>
          <w:rFonts w:ascii="Palatino Linotype" w:hAnsi="Palatino Linotype"/>
          <w:b/>
          <w:lang w:val="es-ES_tradnl"/>
        </w:rPr>
        <w:t>2</w:t>
      </w:r>
      <w:r>
        <w:rPr>
          <w:rFonts w:ascii="Palatino Linotype" w:hAnsi="Palatino Linotype"/>
          <w:b/>
          <w:lang w:val="es-ES_tradnl"/>
        </w:rPr>
        <w:t>5</w:t>
      </w:r>
      <w:r w:rsidRPr="005142CB">
        <w:rPr>
          <w:rFonts w:ascii="Palatino Linotype" w:hAnsi="Palatino Linotype"/>
          <w:b/>
          <w:lang w:val="es-ES_tradnl"/>
        </w:rPr>
        <w:t>/INFOEM/IP/RR/202</w:t>
      </w:r>
      <w:r>
        <w:rPr>
          <w:rFonts w:ascii="Palatino Linotype" w:hAnsi="Palatino Linotype"/>
          <w:b/>
          <w:lang w:val="es-ES_tradnl"/>
        </w:rPr>
        <w:t>5</w:t>
      </w:r>
      <w:r w:rsidRPr="005142CB">
        <w:rPr>
          <w:rFonts w:ascii="Palatino Linotype" w:eastAsia="Palatino Linotype" w:hAnsi="Palatino Linotype" w:cs="Palatino Linotype"/>
          <w:b/>
          <w:lang w:val="es-ES"/>
        </w:rPr>
        <w:t xml:space="preserve">, </w:t>
      </w:r>
      <w:r w:rsidRPr="005142CB">
        <w:rPr>
          <w:rFonts w:ascii="Palatino Linotype" w:eastAsia="Palatino Linotype" w:hAnsi="Palatino Linotype" w:cs="Palatino Linotype"/>
          <w:bCs/>
          <w:lang w:val="es-ES"/>
        </w:rPr>
        <w:t>por considerar lo siguiente:</w:t>
      </w:r>
    </w:p>
    <w:p w14:paraId="3601D413" w14:textId="77777777" w:rsidR="00126A6F" w:rsidRDefault="00126A6F" w:rsidP="00126A6F">
      <w:pPr>
        <w:tabs>
          <w:tab w:val="left" w:pos="1843"/>
        </w:tabs>
        <w:spacing w:after="0" w:line="360" w:lineRule="auto"/>
        <w:jc w:val="both"/>
        <w:rPr>
          <w:rFonts w:ascii="Palatino Linotype" w:eastAsia="Palatino Linotype" w:hAnsi="Palatino Linotype" w:cs="Palatino Linotype"/>
          <w:bCs/>
          <w:lang w:val="es-ES"/>
        </w:rPr>
      </w:pPr>
    </w:p>
    <w:p w14:paraId="30ACAF2A" w14:textId="3D7118ED" w:rsidR="00126A6F" w:rsidRPr="00B83EDA" w:rsidRDefault="00126A6F" w:rsidP="00B83EDA">
      <w:pPr>
        <w:spacing w:after="0" w:line="360" w:lineRule="auto"/>
        <w:jc w:val="both"/>
        <w:rPr>
          <w:rFonts w:ascii="Palatino Linotype" w:hAnsi="Palatino Linotype" w:cs="Tahoma"/>
        </w:rPr>
      </w:pPr>
      <w:r w:rsidRPr="00885189">
        <w:rPr>
          <w:rFonts w:ascii="Palatino Linotype" w:hAnsi="Palatino Linotype" w:cs="Tahoma"/>
        </w:rPr>
        <w:t>Como se desprende de la Resolución en comento, el Particular</w:t>
      </w:r>
      <w:r>
        <w:rPr>
          <w:rFonts w:ascii="Palatino Linotype" w:hAnsi="Palatino Linotype" w:cs="Tahoma"/>
        </w:rPr>
        <w:t xml:space="preserve"> requirió las quejas realizadas ante el Órgano Interno de Control del primero de enero de dos mil quince, al treinta y uno de enero de dos mil veinticuatro, así, derivado de la respuesta, se determinó modificar y ordenar el acuerdo de clasificación emitido por el Comité de Transparencia donde se confirmara la clasificación en sentido afirmativo o negativo, sobre la existencia de quejas que formaran parte de algún procedimiento administrativo no grave </w:t>
      </w:r>
      <w:r w:rsidR="00B83EDA">
        <w:rPr>
          <w:rFonts w:ascii="Palatino Linotype" w:hAnsi="Palatino Linotype" w:cs="Tahoma"/>
        </w:rPr>
        <w:t>o</w:t>
      </w:r>
      <w:r>
        <w:rPr>
          <w:rFonts w:ascii="Palatino Linotype" w:hAnsi="Palatino Linotype" w:cs="Tahoma"/>
        </w:rPr>
        <w:t xml:space="preserve"> de procedimientos de sanciones graves absolutorias concluidas, así como la entrega de los documentos donde constaran las quejas que formaran parte de expedientes iniciados por presunta responsabilidad</w:t>
      </w:r>
      <w:r w:rsidR="00B83EDA">
        <w:rPr>
          <w:rFonts w:ascii="Palatino Linotype" w:hAnsi="Palatino Linotype" w:cs="Tahoma"/>
        </w:rPr>
        <w:t xml:space="preserve"> relacionados con actos de corrupción o violaciones a derechos humanos contra la servidora pública referida en la solicitud</w:t>
      </w:r>
      <w:r>
        <w:rPr>
          <w:rFonts w:ascii="Palatino Linotype" w:eastAsia="Palatino Linotype" w:hAnsi="Palatino Linotype" w:cs="Palatino Linotype"/>
          <w:bCs/>
          <w:lang w:val="es-ES"/>
        </w:rPr>
        <w:t>.</w:t>
      </w:r>
    </w:p>
    <w:p w14:paraId="6BC89F85" w14:textId="77777777" w:rsidR="00126A6F" w:rsidRDefault="00126A6F" w:rsidP="00126A6F">
      <w:pPr>
        <w:tabs>
          <w:tab w:val="left" w:pos="1843"/>
        </w:tabs>
        <w:spacing w:after="0" w:line="360" w:lineRule="auto"/>
        <w:jc w:val="both"/>
        <w:rPr>
          <w:rFonts w:ascii="Palatino Linotype" w:eastAsia="Palatino Linotype" w:hAnsi="Palatino Linotype" w:cs="Palatino Linotype"/>
          <w:bCs/>
          <w:lang w:val="es-ES"/>
        </w:rPr>
      </w:pPr>
      <w:r w:rsidRPr="005142CB">
        <w:rPr>
          <w:rFonts w:ascii="Palatino Linotype" w:eastAsia="Palatino Linotype" w:hAnsi="Palatino Linotype" w:cs="Palatino Linotype"/>
          <w:bCs/>
          <w:lang w:val="es-ES"/>
        </w:rPr>
        <w:lastRenderedPageBreak/>
        <w:t>De acuerdo con lo expuesto, emito el presente Voto Particular, en virtud de que considero que el nombre de los servidores públicos que sean investigados y absueltos de responsabilidad administrativa debe ser público ya que se trata de procedimientos concluidos por falta de elementos en donde la conducta investigada pudo no ser contraria a derecho o no haber sido cometida por el servidor público investigado; por lo que, entregar su nombre, daría a conocer que las conductas que se le atribuían, no le eran imputables, lo cual permitiría la rendición de cuentas, pues se podría observar, que dicho trabajador, ha cumplido con sus obligaciones, no ha cometido actos irregulares, ha actuado conforme a las normatividad aplicable y principalmente que una queja fue atendida hasta su resolución con el resultado apegado a Derecho.</w:t>
      </w:r>
    </w:p>
    <w:p w14:paraId="0A9C932D" w14:textId="77777777" w:rsidR="00126A6F" w:rsidRDefault="00126A6F" w:rsidP="00126A6F">
      <w:pPr>
        <w:tabs>
          <w:tab w:val="left" w:pos="1843"/>
        </w:tabs>
        <w:spacing w:after="0" w:line="360" w:lineRule="auto"/>
        <w:jc w:val="both"/>
        <w:rPr>
          <w:rFonts w:ascii="Palatino Linotype" w:eastAsia="Palatino Linotype" w:hAnsi="Palatino Linotype" w:cs="Palatino Linotype"/>
          <w:bCs/>
          <w:lang w:val="es-ES"/>
        </w:rPr>
      </w:pPr>
    </w:p>
    <w:p w14:paraId="33C6E184" w14:textId="77777777" w:rsidR="00126A6F" w:rsidRDefault="00126A6F" w:rsidP="00126A6F">
      <w:pPr>
        <w:tabs>
          <w:tab w:val="left" w:pos="1843"/>
        </w:tabs>
        <w:spacing w:after="0" w:line="360" w:lineRule="auto"/>
        <w:jc w:val="both"/>
        <w:rPr>
          <w:rFonts w:ascii="Palatino Linotype" w:eastAsia="Palatino Linotype" w:hAnsi="Palatino Linotype" w:cs="Palatino Linotype"/>
          <w:bCs/>
          <w:lang w:val="es-ES"/>
        </w:rPr>
      </w:pPr>
      <w:r w:rsidRPr="005142CB">
        <w:rPr>
          <w:rFonts w:ascii="Palatino Linotype" w:eastAsia="Palatino Linotype" w:hAnsi="Palatino Linotype" w:cs="Palatino Linotype"/>
          <w:bCs/>
          <w:lang w:val="es-ES"/>
        </w:rPr>
        <w:t>Además, proporcionar su nombre, no generaría una afectación a su honor, intimidad o buena imagen, pues contrario a esto, a través de los expedientes, es posible conocer que los motivos señalados en estas, no fueron comprobadas y que el servidor público ha ejercido su cargo, de manera honesta, responsable y conforme a lo establecido en las diversas disposiciones, por lo que no implicaría una vulneración a su honor o intimidad, ya que dichos procedimientos suponen la falta de elementos para sancionarlo.</w:t>
      </w:r>
    </w:p>
    <w:p w14:paraId="6FC65952" w14:textId="77777777" w:rsidR="00126A6F" w:rsidRDefault="00126A6F" w:rsidP="00126A6F">
      <w:pPr>
        <w:tabs>
          <w:tab w:val="left" w:pos="1843"/>
        </w:tabs>
        <w:spacing w:after="0" w:line="360" w:lineRule="auto"/>
        <w:jc w:val="both"/>
        <w:rPr>
          <w:rFonts w:ascii="Palatino Linotype" w:eastAsia="Palatino Linotype" w:hAnsi="Palatino Linotype" w:cs="Palatino Linotype"/>
          <w:bCs/>
          <w:lang w:val="es-ES"/>
        </w:rPr>
      </w:pPr>
    </w:p>
    <w:p w14:paraId="275D8CDC" w14:textId="77777777" w:rsidR="00126A6F" w:rsidRDefault="00126A6F" w:rsidP="00126A6F">
      <w:pPr>
        <w:tabs>
          <w:tab w:val="left" w:pos="1843"/>
        </w:tabs>
        <w:spacing w:after="0" w:line="360" w:lineRule="auto"/>
        <w:jc w:val="both"/>
        <w:rPr>
          <w:rFonts w:ascii="Palatino Linotype" w:eastAsia="Palatino Linotype" w:hAnsi="Palatino Linotype" w:cs="Palatino Linotype"/>
          <w:bCs/>
          <w:lang w:val="es-ES"/>
        </w:rPr>
      </w:pPr>
      <w:r w:rsidRPr="005142CB">
        <w:rPr>
          <w:rFonts w:ascii="Palatino Linotype" w:eastAsia="Palatino Linotype" w:hAnsi="Palatino Linotype" w:cs="Palatino Linotype"/>
          <w:bCs/>
          <w:lang w:val="es-ES"/>
        </w:rPr>
        <w:t xml:space="preserve">Igualmente, debe traerse a colación la jurisprudencia con el rubro </w:t>
      </w:r>
      <w:r w:rsidRPr="005142CB">
        <w:rPr>
          <w:rFonts w:ascii="Palatino Linotype" w:eastAsia="Palatino Linotype" w:hAnsi="Palatino Linotype" w:cs="Palatino Linotype"/>
          <w:b/>
          <w:i/>
          <w:iCs/>
          <w:lang w:val="es-ES"/>
        </w:rPr>
        <w:t>“LIBERTAD DE EXPRESIÓN Y DERECHO AL HONOR. EXPRESIONES QUE SE ENCUENTRAN PROTEGIDAS CONSTITUCIONALMENTE”</w:t>
      </w:r>
      <w:r w:rsidRPr="005142CB">
        <w:rPr>
          <w:rFonts w:ascii="Palatino Linotype" w:eastAsia="Palatino Linotype" w:hAnsi="Palatino Linotype" w:cs="Palatino Linotype"/>
          <w:bCs/>
          <w:lang w:val="es-ES"/>
        </w:rPr>
        <w:t xml:space="preserve">, de la que se desprende que la Suprema Corte de Justicia de la Nación, considera que existe una presunción general de cobertura constitucional de todo discurso expresivo cuando las ideas expresadas tienen por objeto exteriorizar un sentir positivo o favorable hacia una persona, por lo que resulta indiscutible que no habría una intromisión al derecho al honor de la persona sobre la cual se vierten ideas u opiniones cuando son de esa naturaleza. Asimismo, prevé que el estándar de </w:t>
      </w:r>
      <w:r w:rsidRPr="005142CB">
        <w:rPr>
          <w:rFonts w:ascii="Palatino Linotype" w:eastAsia="Palatino Linotype" w:hAnsi="Palatino Linotype" w:cs="Palatino Linotype"/>
          <w:bCs/>
          <w:lang w:val="es-ES"/>
        </w:rPr>
        <w:lastRenderedPageBreak/>
        <w:t>constitucionalidad de las opiniones emitidas en ejercicio de la libertad de expresión es el de relevancia pública, el cual depende del interés general por la materia y por las personas que en ella intervienen, cuando las noticias comunicadas o las expresiones proferidas redunden</w:t>
      </w:r>
      <w:r w:rsidRPr="005142CB">
        <w:t xml:space="preserve"> </w:t>
      </w:r>
      <w:r w:rsidRPr="005142CB">
        <w:rPr>
          <w:rFonts w:ascii="Palatino Linotype" w:eastAsia="Palatino Linotype" w:hAnsi="Palatino Linotype" w:cs="Palatino Linotype"/>
          <w:bCs/>
          <w:lang w:val="es-ES"/>
        </w:rPr>
        <w:t>en descrédito del afectado, pues en caso contrario ni siquiera existiría un conflicto entre derechos fundamentales, al no observarse una intromisión al derecho al honor.</w:t>
      </w:r>
    </w:p>
    <w:p w14:paraId="4AF1A751" w14:textId="77777777" w:rsidR="00126A6F" w:rsidRDefault="00126A6F" w:rsidP="00126A6F">
      <w:pPr>
        <w:tabs>
          <w:tab w:val="left" w:pos="1843"/>
        </w:tabs>
        <w:spacing w:after="0" w:line="360" w:lineRule="auto"/>
        <w:jc w:val="both"/>
        <w:rPr>
          <w:rFonts w:ascii="Palatino Linotype" w:eastAsia="Palatino Linotype" w:hAnsi="Palatino Linotype" w:cs="Palatino Linotype"/>
          <w:bCs/>
          <w:lang w:val="es-ES"/>
        </w:rPr>
      </w:pPr>
    </w:p>
    <w:p w14:paraId="33ACAEA3" w14:textId="77777777" w:rsidR="00126A6F" w:rsidRDefault="00126A6F" w:rsidP="00126A6F">
      <w:pPr>
        <w:tabs>
          <w:tab w:val="left" w:pos="1843"/>
        </w:tabs>
        <w:spacing w:after="0" w:line="360" w:lineRule="auto"/>
        <w:jc w:val="both"/>
        <w:rPr>
          <w:rFonts w:ascii="Palatino Linotype" w:eastAsia="Palatino Linotype" w:hAnsi="Palatino Linotype" w:cs="Palatino Linotype"/>
          <w:bCs/>
          <w:lang w:val="es-ES"/>
        </w:rPr>
      </w:pPr>
      <w:r w:rsidRPr="00195A2D">
        <w:rPr>
          <w:rFonts w:ascii="Palatino Linotype" w:eastAsia="Palatino Linotype" w:hAnsi="Palatino Linotype" w:cs="Palatino Linotype"/>
          <w:bCs/>
          <w:lang w:val="es-ES"/>
        </w:rPr>
        <w:t>Si bien, el caso que nos ocupa se refiere a un asunto de acceso a la información y no de libertad de expresión, es aplicable la tesis por analogía, en tanto que dar a conocer que existieron procedimientos en contra un servidor público identificado en los que se determinó que no se actualizaba alguna responsabilidad, no representa un dato negativo o desfavorable que lo desacredite, lo cual es uno de los requisitos necesarios para que pueda considerarse que existe una intromisión al derecho al honor de una persona.</w:t>
      </w:r>
    </w:p>
    <w:p w14:paraId="02B45F63" w14:textId="77777777" w:rsidR="00126A6F" w:rsidRDefault="00126A6F" w:rsidP="00126A6F">
      <w:pPr>
        <w:tabs>
          <w:tab w:val="left" w:pos="1843"/>
        </w:tabs>
        <w:spacing w:after="0" w:line="360" w:lineRule="auto"/>
        <w:jc w:val="both"/>
        <w:rPr>
          <w:rFonts w:ascii="Palatino Linotype" w:eastAsia="Palatino Linotype" w:hAnsi="Palatino Linotype" w:cs="Palatino Linotype"/>
          <w:bCs/>
          <w:lang w:val="es-ES"/>
        </w:rPr>
      </w:pPr>
    </w:p>
    <w:p w14:paraId="5CBC06F8" w14:textId="77777777" w:rsidR="00126A6F" w:rsidRDefault="00126A6F" w:rsidP="00126A6F">
      <w:pPr>
        <w:tabs>
          <w:tab w:val="left" w:pos="1843"/>
        </w:tabs>
        <w:spacing w:after="0" w:line="360" w:lineRule="auto"/>
        <w:jc w:val="both"/>
        <w:rPr>
          <w:rFonts w:ascii="Palatino Linotype" w:eastAsia="Palatino Linotype" w:hAnsi="Palatino Linotype" w:cs="Palatino Linotype"/>
          <w:bCs/>
          <w:lang w:val="es-ES"/>
        </w:rPr>
      </w:pPr>
      <w:r w:rsidRPr="00195A2D">
        <w:rPr>
          <w:rFonts w:ascii="Palatino Linotype" w:eastAsia="Palatino Linotype" w:hAnsi="Palatino Linotype" w:cs="Palatino Linotype"/>
          <w:bCs/>
          <w:lang w:val="es-ES"/>
        </w:rPr>
        <w:t xml:space="preserve">Por otro lado, en la tesis aislada con el rubro </w:t>
      </w:r>
      <w:r w:rsidRPr="00195A2D">
        <w:rPr>
          <w:rFonts w:ascii="Palatino Linotype" w:eastAsia="Palatino Linotype" w:hAnsi="Palatino Linotype" w:cs="Palatino Linotype"/>
          <w:b/>
          <w:i/>
          <w:iCs/>
          <w:lang w:val="es-ES"/>
        </w:rPr>
        <w:t>“DERECHO A SER INFORMADO Y DERECHO AL HONOR. ESTÁNDAR PARA DETERMINAR SU PREVALENCIA”</w:t>
      </w:r>
      <w:r w:rsidRPr="00195A2D">
        <w:rPr>
          <w:rFonts w:ascii="Palatino Linotype" w:eastAsia="Palatino Linotype" w:hAnsi="Palatino Linotype" w:cs="Palatino Linotype"/>
          <w:bCs/>
          <w:lang w:val="es-ES"/>
        </w:rPr>
        <w:t>, la Suprema Corte de Justicia de la Nación ha señalado que el derecho a la información no es absoluto, pues si bien el Estado tiene la obligación de informar a la población sobre temas de relevancia pública, también debe proteger y garantizar el derecho al honor a la reputación de las personas; por lo que, para que la autoridad pueda difundir ciertos datos, debe cerciorarse que los mismos sean de relevancia pública o interés general, o bien, versen sobre personas con un impacto público o social. Además, la información debe constituir una certera aproximación a la realidad, lo cual puede derivar de que la autoridad emisora de la información la obtenga de investigaciones, informes o estadísticas propios o de otras autoridades, así como, de hechos notorios para la sociedad. Finalmente, debe carecer de toda intervención de juicios o valoraciones subjetivas que no tengan como fin informar a la sociedad, sino que pretendan establecer una postura, opinión o crítica hacia la persona.</w:t>
      </w:r>
    </w:p>
    <w:p w14:paraId="05E4A396" w14:textId="77777777" w:rsidR="00126A6F" w:rsidRDefault="00126A6F" w:rsidP="00126A6F">
      <w:pPr>
        <w:tabs>
          <w:tab w:val="left" w:pos="1843"/>
        </w:tabs>
        <w:spacing w:after="0" w:line="360" w:lineRule="auto"/>
        <w:jc w:val="both"/>
        <w:rPr>
          <w:rFonts w:ascii="Palatino Linotype" w:eastAsia="Palatino Linotype" w:hAnsi="Palatino Linotype" w:cs="Palatino Linotype"/>
          <w:bCs/>
          <w:lang w:val="es-ES"/>
        </w:rPr>
      </w:pPr>
      <w:r w:rsidRPr="00195A2D">
        <w:rPr>
          <w:rFonts w:ascii="Palatino Linotype" w:eastAsia="Palatino Linotype" w:hAnsi="Palatino Linotype" w:cs="Palatino Linotype"/>
          <w:bCs/>
          <w:lang w:val="es-ES"/>
        </w:rPr>
        <w:lastRenderedPageBreak/>
        <w:t>Así, la información, trata sobre las actuaciones realizadas por un servidor público en ejercicio de sus funciones, las cuales no derivaron en alguna responsabilidad, además que transparenta la gestión pública y la rendición de cuentas de este, pues da a conocer que se</w:t>
      </w:r>
      <w:r>
        <w:rPr>
          <w:rFonts w:ascii="Palatino Linotype" w:eastAsia="Palatino Linotype" w:hAnsi="Palatino Linotype" w:cs="Palatino Linotype"/>
          <w:bCs/>
          <w:lang w:val="es-ES"/>
        </w:rPr>
        <w:t xml:space="preserve"> </w:t>
      </w:r>
      <w:r w:rsidRPr="00195A2D">
        <w:rPr>
          <w:rFonts w:ascii="Palatino Linotype" w:eastAsia="Palatino Linotype" w:hAnsi="Palatino Linotype" w:cs="Palatino Linotype"/>
          <w:bCs/>
          <w:lang w:val="es-ES"/>
        </w:rPr>
        <w:t>ha conducido conforme a Derecho, es decir, de conformidad a sus objetivos, atribuciones y obligaciones</w:t>
      </w:r>
      <w:r>
        <w:rPr>
          <w:rFonts w:ascii="Palatino Linotype" w:eastAsia="Palatino Linotype" w:hAnsi="Palatino Linotype" w:cs="Palatino Linotype"/>
          <w:bCs/>
          <w:lang w:val="es-ES"/>
        </w:rPr>
        <w:t>.</w:t>
      </w:r>
    </w:p>
    <w:p w14:paraId="2F645B4E" w14:textId="77777777" w:rsidR="00126A6F" w:rsidRDefault="00126A6F" w:rsidP="00126A6F">
      <w:pPr>
        <w:tabs>
          <w:tab w:val="left" w:pos="1843"/>
        </w:tabs>
        <w:spacing w:after="0" w:line="360" w:lineRule="auto"/>
        <w:jc w:val="both"/>
        <w:rPr>
          <w:rFonts w:ascii="Palatino Linotype" w:eastAsia="Palatino Linotype" w:hAnsi="Palatino Linotype" w:cs="Palatino Linotype"/>
          <w:bCs/>
          <w:lang w:val="es-ES"/>
        </w:rPr>
      </w:pPr>
    </w:p>
    <w:p w14:paraId="380F8073" w14:textId="77777777" w:rsidR="00126A6F" w:rsidRDefault="00126A6F" w:rsidP="00126A6F">
      <w:pPr>
        <w:tabs>
          <w:tab w:val="left" w:pos="1843"/>
        </w:tabs>
        <w:spacing w:after="0" w:line="360" w:lineRule="auto"/>
        <w:jc w:val="both"/>
        <w:rPr>
          <w:rFonts w:ascii="Palatino Linotype" w:eastAsia="Palatino Linotype" w:hAnsi="Palatino Linotype" w:cs="Palatino Linotype"/>
          <w:bCs/>
          <w:lang w:val="es-ES"/>
        </w:rPr>
      </w:pPr>
      <w:r w:rsidRPr="00195A2D">
        <w:rPr>
          <w:rFonts w:ascii="Palatino Linotype" w:eastAsia="Palatino Linotype" w:hAnsi="Palatino Linotype" w:cs="Palatino Linotype"/>
          <w:bCs/>
          <w:lang w:val="es-ES"/>
        </w:rPr>
        <w:t>Asimismo, dar a conocer el nombre del servidor público de algún procedimiento de responsabilidad concluido absolutorio, no actualiza la causal de clasificación prevista en el artículo 143, fracción I de la Ley de Transparencia y Acceso a la Información Pública del Estado de México y Municipios, pues como se precisó dicha información no afecta, su intimidad, honor y buen nombre.</w:t>
      </w:r>
    </w:p>
    <w:p w14:paraId="45BF8FB2" w14:textId="77777777" w:rsidR="00126A6F" w:rsidRDefault="00126A6F" w:rsidP="00126A6F">
      <w:pPr>
        <w:tabs>
          <w:tab w:val="left" w:pos="1843"/>
        </w:tabs>
        <w:spacing w:after="0" w:line="360" w:lineRule="auto"/>
        <w:jc w:val="both"/>
        <w:rPr>
          <w:rFonts w:ascii="Palatino Linotype" w:eastAsia="Palatino Linotype" w:hAnsi="Palatino Linotype" w:cs="Palatino Linotype"/>
          <w:bCs/>
          <w:lang w:val="es-ES"/>
        </w:rPr>
      </w:pPr>
    </w:p>
    <w:p w14:paraId="60F88A49" w14:textId="77777777" w:rsidR="00126A6F" w:rsidRDefault="00126A6F" w:rsidP="00126A6F">
      <w:pPr>
        <w:tabs>
          <w:tab w:val="left" w:pos="1843"/>
        </w:tabs>
        <w:spacing w:after="0" w:line="360" w:lineRule="auto"/>
        <w:jc w:val="both"/>
        <w:rPr>
          <w:rFonts w:ascii="Palatino Linotype" w:eastAsia="Palatino Linotype" w:hAnsi="Palatino Linotype" w:cs="Palatino Linotype"/>
          <w:bCs/>
          <w:lang w:val="es-ES"/>
        </w:rPr>
      </w:pPr>
      <w:r w:rsidRPr="00195A2D">
        <w:rPr>
          <w:rFonts w:ascii="Palatino Linotype" w:eastAsia="Palatino Linotype" w:hAnsi="Palatino Linotype" w:cs="Palatino Linotype"/>
          <w:bCs/>
          <w:lang w:val="es-ES"/>
        </w:rPr>
        <w:t xml:space="preserve">Aunado a lo anterior, por cuanto hace a la colisión entre el derecho a la información y el derecho a la intimidad o a la vida privada, el Poder Judicial de la Federación ha sostenido la </w:t>
      </w:r>
      <w:r w:rsidRPr="00195A2D">
        <w:rPr>
          <w:rFonts w:ascii="Palatino Linotype" w:eastAsia="Palatino Linotype" w:hAnsi="Palatino Linotype" w:cs="Palatino Linotype"/>
          <w:b/>
          <w:lang w:val="es-ES"/>
        </w:rPr>
        <w:t>necesidad de resolver el conflicto apuntado mediante el ejercicio de ponderación; además, que el interés público que tenga cierta información, será concepto legitimador de las intromisiones en la intimidad o la vida privada, en donde este derecho debe ceder a favor del derecho a comunicar y recibir información, atendiendo a las circunstancias de cada caso en concreto</w:t>
      </w:r>
      <w:r w:rsidRPr="00195A2D">
        <w:rPr>
          <w:rFonts w:ascii="Palatino Linotype" w:eastAsia="Palatino Linotype" w:hAnsi="Palatino Linotype" w:cs="Palatino Linotype"/>
          <w:bCs/>
          <w:lang w:val="es-ES"/>
        </w:rPr>
        <w:t>, tal y como se desprende de la tesis 1a. XLIII/2010, emitida por la Primera Sala de la Suprema Corte de Justicia de la Nación, publicada en el Semanario Judicial de la Federación y su Gaceta, Tomo XXXI, página 928, de marzo de 2010, Novena Época, materia constitucional.</w:t>
      </w:r>
    </w:p>
    <w:p w14:paraId="39DDFE91" w14:textId="77777777" w:rsidR="00126A6F" w:rsidRDefault="00126A6F" w:rsidP="00126A6F">
      <w:pPr>
        <w:tabs>
          <w:tab w:val="left" w:pos="1843"/>
        </w:tabs>
        <w:spacing w:after="0" w:line="360" w:lineRule="auto"/>
        <w:jc w:val="both"/>
        <w:rPr>
          <w:rFonts w:ascii="Palatino Linotype" w:eastAsia="Palatino Linotype" w:hAnsi="Palatino Linotype" w:cs="Palatino Linotype"/>
          <w:bCs/>
          <w:lang w:val="es-ES"/>
        </w:rPr>
      </w:pPr>
    </w:p>
    <w:p w14:paraId="147BD7AC" w14:textId="77777777" w:rsidR="00126A6F" w:rsidRDefault="00126A6F" w:rsidP="00126A6F">
      <w:pPr>
        <w:tabs>
          <w:tab w:val="left" w:pos="1843"/>
        </w:tabs>
        <w:spacing w:after="0" w:line="360" w:lineRule="auto"/>
        <w:jc w:val="both"/>
        <w:rPr>
          <w:rFonts w:ascii="Palatino Linotype" w:eastAsia="Palatino Linotype" w:hAnsi="Palatino Linotype" w:cs="Palatino Linotype"/>
          <w:bCs/>
          <w:lang w:val="es-ES"/>
        </w:rPr>
      </w:pPr>
      <w:r w:rsidRPr="00195A2D">
        <w:rPr>
          <w:rFonts w:ascii="Palatino Linotype" w:eastAsia="Palatino Linotype" w:hAnsi="Palatino Linotype" w:cs="Palatino Linotype"/>
          <w:bCs/>
          <w:lang w:val="es-ES"/>
        </w:rPr>
        <w:t xml:space="preserve">En ese mismo sentido y atendiendo a la naturaleza del derecho a la protección de datos personales, por analogía, este debe ceder cuando exista un interés público mayor de acuerdo a las circunstancias del caso. Señalado lo anterior, resulta necesario realizar una ponderación </w:t>
      </w:r>
      <w:r w:rsidRPr="00195A2D">
        <w:rPr>
          <w:rFonts w:ascii="Palatino Linotype" w:eastAsia="Palatino Linotype" w:hAnsi="Palatino Linotype" w:cs="Palatino Linotype"/>
          <w:bCs/>
          <w:lang w:val="es-ES"/>
        </w:rPr>
        <w:lastRenderedPageBreak/>
        <w:t>de los dos intereses jurídicos tutelados que convergen en la controversia que se dirime; para lo cual, el artículo 184 de la Ley de Transparencia y Acceso a la Información Pública del Estado de México y Municipios prevé que cuando exista una colisión de derechos, al resolver el recurso de revisión, se debe aplicar una prueba de interés público con base en elementos de idoneidad, necesidad y proporcionalidad. Para estos efectos, se entenderá por</w:t>
      </w:r>
      <w:r>
        <w:rPr>
          <w:rFonts w:ascii="Palatino Linotype" w:eastAsia="Palatino Linotype" w:hAnsi="Palatino Linotype" w:cs="Palatino Linotype"/>
          <w:bCs/>
          <w:lang w:val="es-ES"/>
        </w:rPr>
        <w:t>:</w:t>
      </w:r>
    </w:p>
    <w:p w14:paraId="6E0D9089" w14:textId="77777777" w:rsidR="00126A6F" w:rsidRDefault="00126A6F" w:rsidP="00126A6F">
      <w:pPr>
        <w:tabs>
          <w:tab w:val="left" w:pos="1843"/>
        </w:tabs>
        <w:spacing w:after="0" w:line="360" w:lineRule="auto"/>
        <w:jc w:val="both"/>
        <w:rPr>
          <w:rFonts w:ascii="Palatino Linotype" w:eastAsia="Palatino Linotype" w:hAnsi="Palatino Linotype" w:cs="Palatino Linotype"/>
          <w:bCs/>
          <w:lang w:val="es-ES"/>
        </w:rPr>
      </w:pPr>
    </w:p>
    <w:p w14:paraId="196EDAAC" w14:textId="77777777" w:rsidR="00126A6F" w:rsidRPr="00195A2D" w:rsidRDefault="00126A6F" w:rsidP="00126A6F">
      <w:pPr>
        <w:pStyle w:val="Prrafodelista"/>
        <w:numPr>
          <w:ilvl w:val="0"/>
          <w:numId w:val="1"/>
        </w:numPr>
        <w:tabs>
          <w:tab w:val="left" w:pos="1843"/>
        </w:tabs>
        <w:spacing w:after="0" w:line="360" w:lineRule="auto"/>
        <w:ind w:left="0"/>
        <w:jc w:val="both"/>
        <w:rPr>
          <w:rFonts w:ascii="Palatino Linotype" w:eastAsia="Palatino Linotype" w:hAnsi="Palatino Linotype" w:cs="Palatino Linotype"/>
          <w:bCs/>
          <w:lang w:val="es-ES"/>
        </w:rPr>
      </w:pPr>
      <w:r w:rsidRPr="00195A2D">
        <w:rPr>
          <w:rFonts w:ascii="Palatino Linotype" w:eastAsia="Palatino Linotype" w:hAnsi="Palatino Linotype" w:cs="Palatino Linotype"/>
          <w:b/>
          <w:lang w:val="es-ES"/>
        </w:rPr>
        <w:t>Idoneidad:</w:t>
      </w:r>
      <w:r w:rsidRPr="00195A2D">
        <w:rPr>
          <w:rFonts w:ascii="Palatino Linotype" w:eastAsia="Palatino Linotype" w:hAnsi="Palatino Linotype" w:cs="Palatino Linotype"/>
          <w:bCs/>
          <w:lang w:val="es-ES"/>
        </w:rPr>
        <w:t xml:space="preserve"> La legitimidad del derecho adoptado como preferente, que sea el adecuado para el logro de un fin constitucionalmente válido o apto para conseguir el fin pretendido; </w:t>
      </w:r>
    </w:p>
    <w:p w14:paraId="4CC7B88C" w14:textId="77777777" w:rsidR="00126A6F" w:rsidRPr="00195A2D" w:rsidRDefault="00126A6F" w:rsidP="00126A6F">
      <w:pPr>
        <w:pStyle w:val="Prrafodelista"/>
        <w:numPr>
          <w:ilvl w:val="0"/>
          <w:numId w:val="1"/>
        </w:numPr>
        <w:tabs>
          <w:tab w:val="left" w:pos="1843"/>
        </w:tabs>
        <w:spacing w:after="0" w:line="360" w:lineRule="auto"/>
        <w:ind w:left="0"/>
        <w:jc w:val="both"/>
        <w:rPr>
          <w:rFonts w:ascii="Palatino Linotype" w:eastAsia="Palatino Linotype" w:hAnsi="Palatino Linotype" w:cs="Palatino Linotype"/>
          <w:bCs/>
          <w:lang w:val="es-ES"/>
        </w:rPr>
      </w:pPr>
      <w:r w:rsidRPr="00195A2D">
        <w:rPr>
          <w:rFonts w:ascii="Palatino Linotype" w:eastAsia="Palatino Linotype" w:hAnsi="Palatino Linotype" w:cs="Palatino Linotype"/>
          <w:b/>
          <w:lang w:val="es-ES"/>
        </w:rPr>
        <w:t>Necesidad:</w:t>
      </w:r>
      <w:r w:rsidRPr="00195A2D">
        <w:rPr>
          <w:rFonts w:ascii="Palatino Linotype" w:eastAsia="Palatino Linotype" w:hAnsi="Palatino Linotype" w:cs="Palatino Linotype"/>
          <w:bCs/>
          <w:lang w:val="es-ES"/>
        </w:rPr>
        <w:t xml:space="preserve"> La falta de un medio alternativo menos lesivo a la apertura de la información, para satisfacer el interés público, y </w:t>
      </w:r>
    </w:p>
    <w:p w14:paraId="24FFB850" w14:textId="77777777" w:rsidR="00126A6F" w:rsidRDefault="00126A6F" w:rsidP="00126A6F">
      <w:pPr>
        <w:pStyle w:val="Prrafodelista"/>
        <w:numPr>
          <w:ilvl w:val="0"/>
          <w:numId w:val="1"/>
        </w:numPr>
        <w:tabs>
          <w:tab w:val="left" w:pos="1843"/>
        </w:tabs>
        <w:spacing w:after="0" w:line="360" w:lineRule="auto"/>
        <w:ind w:left="0"/>
        <w:jc w:val="both"/>
        <w:rPr>
          <w:rFonts w:ascii="Palatino Linotype" w:eastAsia="Palatino Linotype" w:hAnsi="Palatino Linotype" w:cs="Palatino Linotype"/>
          <w:bCs/>
          <w:lang w:val="es-ES"/>
        </w:rPr>
      </w:pPr>
      <w:r w:rsidRPr="00195A2D">
        <w:rPr>
          <w:rFonts w:ascii="Palatino Linotype" w:eastAsia="Palatino Linotype" w:hAnsi="Palatino Linotype" w:cs="Palatino Linotype"/>
          <w:b/>
          <w:lang w:val="es-ES"/>
        </w:rPr>
        <w:t>Proporcionalidad:</w:t>
      </w:r>
      <w:r w:rsidRPr="00195A2D">
        <w:rPr>
          <w:rFonts w:ascii="Palatino Linotype" w:eastAsia="Palatino Linotype" w:hAnsi="Palatino Linotype" w:cs="Palatino Linotype"/>
          <w:bCs/>
          <w:lang w:val="es-ES"/>
        </w:rPr>
        <w:t xml:space="preserve"> El equilibrio entre perjuicio y beneficio a favor del interés público, a fin de que la decisión tomada represente un beneficio mayor al perjuicio que podría causar a la población.</w:t>
      </w:r>
    </w:p>
    <w:p w14:paraId="014EACA8" w14:textId="77777777" w:rsidR="00126A6F" w:rsidRDefault="00126A6F" w:rsidP="00126A6F">
      <w:pPr>
        <w:tabs>
          <w:tab w:val="left" w:pos="1843"/>
        </w:tabs>
        <w:spacing w:after="0" w:line="360" w:lineRule="auto"/>
        <w:jc w:val="both"/>
        <w:rPr>
          <w:rFonts w:ascii="Palatino Linotype" w:eastAsia="Palatino Linotype" w:hAnsi="Palatino Linotype" w:cs="Palatino Linotype"/>
          <w:lang w:val="es-ES"/>
        </w:rPr>
      </w:pPr>
    </w:p>
    <w:p w14:paraId="42426978" w14:textId="77777777" w:rsidR="00126A6F" w:rsidRDefault="00126A6F" w:rsidP="00126A6F">
      <w:pPr>
        <w:tabs>
          <w:tab w:val="left" w:pos="1843"/>
        </w:tabs>
        <w:spacing w:after="0" w:line="360" w:lineRule="auto"/>
        <w:jc w:val="both"/>
        <w:rPr>
          <w:rFonts w:ascii="Palatino Linotype" w:eastAsia="Palatino Linotype" w:hAnsi="Palatino Linotype" w:cs="Palatino Linotype"/>
          <w:bCs/>
          <w:lang w:val="es-ES"/>
        </w:rPr>
      </w:pPr>
      <w:r w:rsidRPr="00FC7E77">
        <w:rPr>
          <w:rFonts w:ascii="Palatino Linotype" w:eastAsia="Palatino Linotype" w:hAnsi="Palatino Linotype" w:cs="Palatino Linotype"/>
          <w:bCs/>
          <w:lang w:val="es-ES"/>
        </w:rPr>
        <w:t>En ese orden de ideas, resulta procedente analizar cada uno de los elementos referidos, partiendo de que, en el caso concreto, se estima como preferente el derecho de acceso a la información, bajo las consideraciones que se verterán a continuación</w:t>
      </w:r>
      <w:r>
        <w:rPr>
          <w:rFonts w:ascii="Palatino Linotype" w:eastAsia="Palatino Linotype" w:hAnsi="Palatino Linotype" w:cs="Palatino Linotype"/>
          <w:bCs/>
          <w:lang w:val="es-ES"/>
        </w:rPr>
        <w:t>.</w:t>
      </w:r>
    </w:p>
    <w:p w14:paraId="08D50288" w14:textId="77777777" w:rsidR="00126A6F" w:rsidRDefault="00126A6F" w:rsidP="00126A6F">
      <w:pPr>
        <w:tabs>
          <w:tab w:val="left" w:pos="1843"/>
        </w:tabs>
        <w:spacing w:after="0" w:line="360" w:lineRule="auto"/>
        <w:jc w:val="both"/>
        <w:rPr>
          <w:rFonts w:ascii="Palatino Linotype" w:eastAsia="Palatino Linotype" w:hAnsi="Palatino Linotype" w:cs="Palatino Linotype"/>
          <w:bCs/>
          <w:lang w:val="es-ES"/>
        </w:rPr>
      </w:pPr>
    </w:p>
    <w:p w14:paraId="6ECEC37E" w14:textId="77777777" w:rsidR="00126A6F" w:rsidRDefault="00126A6F" w:rsidP="00126A6F">
      <w:pPr>
        <w:tabs>
          <w:tab w:val="left" w:pos="1843"/>
        </w:tabs>
        <w:spacing w:after="0" w:line="360" w:lineRule="auto"/>
        <w:jc w:val="both"/>
        <w:rPr>
          <w:rFonts w:ascii="Palatino Linotype" w:eastAsia="Palatino Linotype" w:hAnsi="Palatino Linotype" w:cs="Palatino Linotype"/>
          <w:bCs/>
          <w:lang w:val="es-ES"/>
        </w:rPr>
      </w:pPr>
      <w:r w:rsidRPr="00FC7E77">
        <w:rPr>
          <w:rFonts w:ascii="Palatino Linotype" w:eastAsia="Palatino Linotype" w:hAnsi="Palatino Linotype" w:cs="Palatino Linotype"/>
          <w:b/>
          <w:lang w:val="es-ES"/>
        </w:rPr>
        <w:t>a) Idoneidad.</w:t>
      </w:r>
      <w:r w:rsidRPr="00FC7E77">
        <w:rPr>
          <w:rFonts w:ascii="Palatino Linotype" w:eastAsia="Palatino Linotype" w:hAnsi="Palatino Linotype" w:cs="Palatino Linotype"/>
          <w:bCs/>
          <w:lang w:val="es-ES"/>
        </w:rPr>
        <w:t xml:space="preserve"> El presente asunto representa un caso en el que el ejercicio del derecho de acceso a la información se contrapone al derecho a la vida privada; los cuales se encuentran reconocidos en el plano constitucional, en igualdad de características para los gobernados.</w:t>
      </w:r>
    </w:p>
    <w:p w14:paraId="0D2E996F" w14:textId="77777777" w:rsidR="00126A6F" w:rsidRDefault="00126A6F" w:rsidP="00126A6F">
      <w:pPr>
        <w:rPr>
          <w:rFonts w:ascii="Palatino Linotype" w:eastAsia="Palatino Linotype" w:hAnsi="Palatino Linotype" w:cs="Palatino Linotype"/>
          <w:bCs/>
          <w:lang w:val="es-ES"/>
        </w:rPr>
      </w:pPr>
    </w:p>
    <w:p w14:paraId="4FC0F716" w14:textId="77777777" w:rsidR="00126A6F" w:rsidRDefault="00126A6F" w:rsidP="00126A6F">
      <w:pPr>
        <w:tabs>
          <w:tab w:val="left" w:pos="1843"/>
        </w:tabs>
        <w:spacing w:after="0" w:line="360" w:lineRule="auto"/>
        <w:jc w:val="both"/>
        <w:rPr>
          <w:rFonts w:ascii="Palatino Linotype" w:eastAsia="Palatino Linotype" w:hAnsi="Palatino Linotype" w:cs="Palatino Linotype"/>
          <w:bCs/>
          <w:lang w:val="es-ES"/>
        </w:rPr>
      </w:pPr>
      <w:r w:rsidRPr="00FC7E77">
        <w:rPr>
          <w:rFonts w:ascii="Palatino Linotype" w:eastAsia="Palatino Linotype" w:hAnsi="Palatino Linotype" w:cs="Palatino Linotype"/>
          <w:bCs/>
          <w:lang w:val="es-ES"/>
        </w:rPr>
        <w:t xml:space="preserve">Sin embargo, en el presente caso, se trata procedimientos concluidos, en donde </w:t>
      </w:r>
      <w:r w:rsidRPr="00FC7E77">
        <w:rPr>
          <w:rFonts w:ascii="Palatino Linotype" w:eastAsia="Palatino Linotype" w:hAnsi="Palatino Linotype" w:cs="Palatino Linotype"/>
          <w:b/>
          <w:lang w:val="es-ES"/>
        </w:rPr>
        <w:t>la conducta investigada no fue contraria en derecho o no fue cometida por la persona señalada;</w:t>
      </w:r>
      <w:r w:rsidRPr="00FC7E77">
        <w:rPr>
          <w:rFonts w:ascii="Palatino Linotype" w:eastAsia="Palatino Linotype" w:hAnsi="Palatino Linotype" w:cs="Palatino Linotype"/>
          <w:bCs/>
          <w:lang w:val="es-ES"/>
        </w:rPr>
        <w:t xml:space="preserve"> por lo que, entregar el nombre del servidor público, se daría a conocer que las conductas que se le </w:t>
      </w:r>
      <w:r w:rsidRPr="00FC7E77">
        <w:rPr>
          <w:rFonts w:ascii="Palatino Linotype" w:eastAsia="Palatino Linotype" w:hAnsi="Palatino Linotype" w:cs="Palatino Linotype"/>
          <w:bCs/>
          <w:lang w:val="es-ES"/>
        </w:rPr>
        <w:lastRenderedPageBreak/>
        <w:t>atribuían, no eran ciertas, lo cual permite la rendición de cuentas de este, pues se observa, que dicho trabajador, ha cumplido con sus obligaciones</w:t>
      </w:r>
      <w:r>
        <w:rPr>
          <w:rFonts w:ascii="Palatino Linotype" w:eastAsia="Palatino Linotype" w:hAnsi="Palatino Linotype" w:cs="Palatino Linotype"/>
          <w:bCs/>
          <w:lang w:val="es-ES"/>
        </w:rPr>
        <w:t>.</w:t>
      </w:r>
    </w:p>
    <w:p w14:paraId="38D3F6F0" w14:textId="77777777" w:rsidR="00126A6F" w:rsidRDefault="00126A6F" w:rsidP="00126A6F">
      <w:pPr>
        <w:tabs>
          <w:tab w:val="left" w:pos="1843"/>
        </w:tabs>
        <w:spacing w:after="0" w:line="360" w:lineRule="auto"/>
        <w:jc w:val="both"/>
        <w:rPr>
          <w:rFonts w:ascii="Palatino Linotype" w:eastAsia="Palatino Linotype" w:hAnsi="Palatino Linotype" w:cs="Palatino Linotype"/>
          <w:bCs/>
          <w:lang w:val="es-ES"/>
        </w:rPr>
      </w:pPr>
    </w:p>
    <w:p w14:paraId="36B516E7" w14:textId="77777777" w:rsidR="00126A6F" w:rsidRDefault="00126A6F" w:rsidP="00126A6F">
      <w:pPr>
        <w:tabs>
          <w:tab w:val="left" w:pos="1843"/>
        </w:tabs>
        <w:spacing w:after="0" w:line="360" w:lineRule="auto"/>
        <w:jc w:val="both"/>
        <w:rPr>
          <w:rFonts w:ascii="Palatino Linotype" w:eastAsia="Palatino Linotype" w:hAnsi="Palatino Linotype" w:cs="Palatino Linotype"/>
          <w:bCs/>
          <w:lang w:val="es-ES"/>
        </w:rPr>
      </w:pPr>
      <w:r w:rsidRPr="00FC7E77">
        <w:rPr>
          <w:rFonts w:ascii="Palatino Linotype" w:eastAsia="Palatino Linotype" w:hAnsi="Palatino Linotype" w:cs="Palatino Linotype"/>
          <w:bCs/>
          <w:lang w:val="es-ES"/>
        </w:rPr>
        <w:t>Además, proporcionar su nombre, no genera una afectación a su honor, intimidad o buena imagen, pues a través de los expedientes, es posible conocer que los motivos señalados en estas, no fueron comprobadas y que el servidor público ha ejercido su cargo, de manera correcta conforme a lo establecido en las diversas disposiciones, por lo que no implicaría una vulneración a su honor o intimidad, ya que la conclusión de los procedimientos por falta de elementos dan cuenta que ha actuado dentro de lo permitido para evitar ser sancionarlo.</w:t>
      </w:r>
    </w:p>
    <w:p w14:paraId="5C3C5ADB" w14:textId="77777777" w:rsidR="00126A6F" w:rsidRDefault="00126A6F" w:rsidP="00126A6F">
      <w:pPr>
        <w:tabs>
          <w:tab w:val="left" w:pos="1843"/>
        </w:tabs>
        <w:spacing w:after="0" w:line="360" w:lineRule="auto"/>
        <w:jc w:val="both"/>
        <w:rPr>
          <w:rFonts w:ascii="Palatino Linotype" w:eastAsia="Palatino Linotype" w:hAnsi="Palatino Linotype" w:cs="Palatino Linotype"/>
          <w:bCs/>
          <w:lang w:val="es-ES"/>
        </w:rPr>
      </w:pPr>
    </w:p>
    <w:p w14:paraId="12767394" w14:textId="77777777" w:rsidR="00126A6F" w:rsidRDefault="00126A6F" w:rsidP="00126A6F">
      <w:pPr>
        <w:tabs>
          <w:tab w:val="left" w:pos="1843"/>
        </w:tabs>
        <w:spacing w:after="0" w:line="360" w:lineRule="auto"/>
        <w:jc w:val="both"/>
        <w:rPr>
          <w:rFonts w:ascii="Palatino Linotype" w:eastAsia="Palatino Linotype" w:hAnsi="Palatino Linotype" w:cs="Palatino Linotype"/>
          <w:bCs/>
          <w:lang w:val="es-ES"/>
        </w:rPr>
      </w:pPr>
      <w:r w:rsidRPr="00FC7E77">
        <w:rPr>
          <w:rFonts w:ascii="Palatino Linotype" w:eastAsia="Palatino Linotype" w:hAnsi="Palatino Linotype" w:cs="Palatino Linotype"/>
          <w:bCs/>
          <w:lang w:val="es-ES"/>
        </w:rPr>
        <w:t>Ahora bien, respecto al derecho al honor y a la privacidad, es establecido que cuando se hace referencia a servidores públicos, el umbral de protección del derecho a su honor debe permitir el más amplio control ciudadano sobre el ejercicio de sus funciones, porque el funcionario público se expone voluntariamente al escrutinio de la sociedad al asumir ciertas responsabilidades profesionales -lo que conlleva naturalmente mayores riesgos de sufrir afectaciones en su honor- y porque su condición le permite tener mayor influencia social y acceder con facilidad a los medios de comunicación para dar explicaciones o reaccionar ante hechos que lo involucren.</w:t>
      </w:r>
    </w:p>
    <w:p w14:paraId="653CBD72" w14:textId="77777777" w:rsidR="00126A6F" w:rsidRDefault="00126A6F" w:rsidP="00126A6F">
      <w:pPr>
        <w:rPr>
          <w:rFonts w:ascii="Palatino Linotype" w:eastAsia="Palatino Linotype" w:hAnsi="Palatino Linotype" w:cs="Palatino Linotype"/>
          <w:bCs/>
          <w:lang w:val="es-ES"/>
        </w:rPr>
      </w:pPr>
    </w:p>
    <w:p w14:paraId="663C9F98" w14:textId="77777777" w:rsidR="00126A6F" w:rsidRDefault="00126A6F" w:rsidP="00126A6F">
      <w:pPr>
        <w:tabs>
          <w:tab w:val="left" w:pos="1843"/>
        </w:tabs>
        <w:spacing w:after="0" w:line="360" w:lineRule="auto"/>
        <w:jc w:val="both"/>
        <w:rPr>
          <w:rFonts w:ascii="Palatino Linotype" w:eastAsia="Palatino Linotype" w:hAnsi="Palatino Linotype" w:cs="Palatino Linotype"/>
          <w:bCs/>
          <w:lang w:val="es-ES"/>
        </w:rPr>
      </w:pPr>
      <w:r w:rsidRPr="00FC7E77">
        <w:rPr>
          <w:rFonts w:ascii="Palatino Linotype" w:eastAsia="Palatino Linotype" w:hAnsi="Palatino Linotype" w:cs="Palatino Linotype"/>
          <w:bCs/>
          <w:lang w:val="es-ES"/>
        </w:rPr>
        <w:t>Así, se advierte que aquellas personas con responsabilidades públicas mantienen la protección derivada del derecho al honor incluso cuando no estén actuando en carácter de particulares, pero las implicaciones de esta protección deben ser ponderadas con las que derivan del interés en un debate abierto sobre los asuntos públicos.</w:t>
      </w:r>
    </w:p>
    <w:p w14:paraId="3EC37A9D" w14:textId="77777777" w:rsidR="00126A6F" w:rsidRPr="00FC7E77" w:rsidRDefault="00126A6F" w:rsidP="00126A6F">
      <w:pPr>
        <w:tabs>
          <w:tab w:val="left" w:pos="1843"/>
        </w:tabs>
        <w:spacing w:after="0" w:line="360" w:lineRule="auto"/>
        <w:jc w:val="both"/>
        <w:rPr>
          <w:rFonts w:ascii="Palatino Linotype" w:eastAsia="Palatino Linotype" w:hAnsi="Palatino Linotype" w:cs="Palatino Linotype"/>
          <w:bCs/>
          <w:lang w:val="es-ES"/>
        </w:rPr>
      </w:pPr>
    </w:p>
    <w:p w14:paraId="6C439E31" w14:textId="77777777" w:rsidR="00126A6F" w:rsidRDefault="00126A6F" w:rsidP="00126A6F">
      <w:pPr>
        <w:tabs>
          <w:tab w:val="left" w:pos="1843"/>
        </w:tabs>
        <w:spacing w:after="0" w:line="360" w:lineRule="auto"/>
        <w:jc w:val="both"/>
        <w:rPr>
          <w:rFonts w:ascii="Palatino Linotype" w:eastAsia="Palatino Linotype" w:hAnsi="Palatino Linotype" w:cs="Palatino Linotype"/>
          <w:bCs/>
          <w:lang w:val="es-ES"/>
        </w:rPr>
      </w:pPr>
      <w:r w:rsidRPr="00FC7E77">
        <w:rPr>
          <w:rFonts w:ascii="Palatino Linotype" w:eastAsia="Palatino Linotype" w:hAnsi="Palatino Linotype" w:cs="Palatino Linotype"/>
          <w:bCs/>
          <w:lang w:val="es-ES"/>
        </w:rPr>
        <w:lastRenderedPageBreak/>
        <w:t xml:space="preserve">En ese contexto, dado que la información se relaciona con el actuar de un servidor público en específico, </w:t>
      </w:r>
      <w:r w:rsidRPr="00FC7E77">
        <w:rPr>
          <w:rFonts w:ascii="Palatino Linotype" w:eastAsia="Palatino Linotype" w:hAnsi="Palatino Linotype" w:cs="Palatino Linotype"/>
          <w:b/>
          <w:lang w:val="es-ES"/>
        </w:rPr>
        <w:t>existe un interés público por conocer</w:t>
      </w:r>
      <w:r w:rsidRPr="00FC7E77">
        <w:rPr>
          <w:rFonts w:ascii="Palatino Linotype" w:eastAsia="Palatino Linotype" w:hAnsi="Palatino Linotype" w:cs="Palatino Linotype"/>
          <w:bCs/>
          <w:lang w:val="es-ES"/>
        </w:rPr>
        <w:t xml:space="preserve"> el nombre del servidor público que no fue sancionado por no encontrar una conducta contraria a derecho. Con base en lo anterior, se considera que el principio que se debe adoptar en el presente asunto es el que subyace en el derecho fundamental de acceso a la información, puesto que a través de éste se busca no sólo satisfacer un interés individual, sino la necesidad de la colectividad de estar en posibilidad de evaluar el desempeño de los servidores públicos y autoridades.</w:t>
      </w:r>
    </w:p>
    <w:p w14:paraId="7918B0BD" w14:textId="77777777" w:rsidR="00126A6F" w:rsidRDefault="00126A6F" w:rsidP="00126A6F">
      <w:pPr>
        <w:tabs>
          <w:tab w:val="left" w:pos="1843"/>
        </w:tabs>
        <w:spacing w:after="0" w:line="360" w:lineRule="auto"/>
        <w:jc w:val="both"/>
        <w:rPr>
          <w:rFonts w:ascii="Palatino Linotype" w:eastAsia="Palatino Linotype" w:hAnsi="Palatino Linotype" w:cs="Palatino Linotype"/>
          <w:bCs/>
          <w:lang w:val="es-ES"/>
        </w:rPr>
      </w:pPr>
    </w:p>
    <w:p w14:paraId="43413513" w14:textId="77777777" w:rsidR="00126A6F" w:rsidRDefault="00126A6F" w:rsidP="00126A6F">
      <w:pPr>
        <w:tabs>
          <w:tab w:val="left" w:pos="1843"/>
        </w:tabs>
        <w:spacing w:after="0" w:line="360" w:lineRule="auto"/>
        <w:jc w:val="both"/>
        <w:rPr>
          <w:rFonts w:ascii="Palatino Linotype" w:eastAsia="Palatino Linotype" w:hAnsi="Palatino Linotype" w:cs="Palatino Linotype"/>
          <w:bCs/>
          <w:lang w:val="es-ES"/>
        </w:rPr>
      </w:pPr>
      <w:r w:rsidRPr="00FC7E77">
        <w:rPr>
          <w:rFonts w:ascii="Palatino Linotype" w:eastAsia="Palatino Linotype" w:hAnsi="Palatino Linotype" w:cs="Palatino Linotype"/>
          <w:b/>
          <w:lang w:val="es-ES"/>
        </w:rPr>
        <w:t>b) Necesidad:</w:t>
      </w:r>
      <w:r w:rsidRPr="00FC7E77">
        <w:rPr>
          <w:rFonts w:ascii="Palatino Linotype" w:eastAsia="Palatino Linotype" w:hAnsi="Palatino Linotype" w:cs="Palatino Linotype"/>
          <w:bCs/>
          <w:lang w:val="es-ES"/>
        </w:rPr>
        <w:t xml:space="preserve"> Por otra parte, se observa que también se actualiza el principio de necesidad, ya que no existe un medio menos oneroso para lograr el fin válido, pues se estima necesaria la difusión, del nombre del servidor público que no fue sancionados, pues se relaciona con el ejercicio de sus funciones de los cargos ocupados, a fin de que los ciudadanos identifiquen el tipo de desempeño efectuado por el trabajador, en el ejercicio de sus atribuciones, con la finalidad de calificar su actuar, ello con independencia de que el funcionario también revista el carácter de persona física identificada e identificable, pues, tal como se hizo alusión en el análisis que precede, la protección de sus datos personales queda supeditada al interés mayor de conocer los motivos y circunstancias que dieron origen a las posibles responsabilidades administrativas y que sin embargo, se determinó que no existía los elementos necesarios para sancionarlo.</w:t>
      </w:r>
    </w:p>
    <w:p w14:paraId="379E01D4" w14:textId="77777777" w:rsidR="00126A6F" w:rsidRDefault="00126A6F" w:rsidP="00126A6F">
      <w:pPr>
        <w:rPr>
          <w:rFonts w:ascii="Palatino Linotype" w:eastAsia="Palatino Linotype" w:hAnsi="Palatino Linotype" w:cs="Palatino Linotype"/>
          <w:bCs/>
          <w:lang w:val="es-ES"/>
        </w:rPr>
      </w:pPr>
    </w:p>
    <w:p w14:paraId="43B8F962" w14:textId="77777777" w:rsidR="00126A6F" w:rsidRDefault="00126A6F" w:rsidP="00126A6F">
      <w:pPr>
        <w:tabs>
          <w:tab w:val="left" w:pos="1843"/>
        </w:tabs>
        <w:spacing w:after="0" w:line="360" w:lineRule="auto"/>
        <w:jc w:val="both"/>
        <w:rPr>
          <w:rFonts w:ascii="Palatino Linotype" w:eastAsia="Palatino Linotype" w:hAnsi="Palatino Linotype" w:cs="Palatino Linotype"/>
          <w:bCs/>
          <w:lang w:val="es-ES"/>
        </w:rPr>
      </w:pPr>
      <w:r w:rsidRPr="00FC7E77">
        <w:rPr>
          <w:rFonts w:ascii="Palatino Linotype" w:eastAsia="Palatino Linotype" w:hAnsi="Palatino Linotype" w:cs="Palatino Linotype"/>
          <w:bCs/>
          <w:lang w:val="es-ES"/>
        </w:rPr>
        <w:t xml:space="preserve">Además, ello permite evaluar la actuación del Sujeto Obligado, pues se podrá advertir la forma en la que ejercieron las funciones que legalmente tienen conferidas. </w:t>
      </w:r>
    </w:p>
    <w:p w14:paraId="2A43F680" w14:textId="77777777" w:rsidR="00126A6F" w:rsidRDefault="00126A6F" w:rsidP="00126A6F">
      <w:pPr>
        <w:tabs>
          <w:tab w:val="left" w:pos="1843"/>
        </w:tabs>
        <w:spacing w:after="0" w:line="360" w:lineRule="auto"/>
        <w:jc w:val="both"/>
        <w:rPr>
          <w:rFonts w:ascii="Palatino Linotype" w:eastAsia="Palatino Linotype" w:hAnsi="Palatino Linotype" w:cs="Palatino Linotype"/>
          <w:bCs/>
          <w:lang w:val="es-ES"/>
        </w:rPr>
      </w:pPr>
    </w:p>
    <w:p w14:paraId="0C54546F" w14:textId="77777777" w:rsidR="00126A6F" w:rsidRDefault="00126A6F" w:rsidP="00126A6F">
      <w:pPr>
        <w:tabs>
          <w:tab w:val="left" w:pos="1843"/>
        </w:tabs>
        <w:spacing w:after="0" w:line="360" w:lineRule="auto"/>
        <w:jc w:val="both"/>
        <w:rPr>
          <w:rFonts w:ascii="Palatino Linotype" w:eastAsia="Palatino Linotype" w:hAnsi="Palatino Linotype" w:cs="Palatino Linotype"/>
          <w:bCs/>
          <w:lang w:val="es-ES"/>
        </w:rPr>
      </w:pPr>
      <w:r w:rsidRPr="00FC7E77">
        <w:rPr>
          <w:rFonts w:ascii="Palatino Linotype" w:eastAsia="Palatino Linotype" w:hAnsi="Palatino Linotype" w:cs="Palatino Linotype"/>
          <w:bCs/>
          <w:lang w:val="es-ES"/>
        </w:rPr>
        <w:t xml:space="preserve">En tal virtud, por la trascendencia social de la materia del requerimiento, el derecho de acceso a la información deberá prevalecer sobre el derecho a la privacidad; aunado, a que, </w:t>
      </w:r>
      <w:r w:rsidRPr="00FC7E77">
        <w:rPr>
          <w:rFonts w:ascii="Palatino Linotype" w:eastAsia="Palatino Linotype" w:hAnsi="Palatino Linotype" w:cs="Palatino Linotype"/>
          <w:bCs/>
          <w:lang w:val="es-ES"/>
        </w:rPr>
        <w:lastRenderedPageBreak/>
        <w:t>para corroborar que el servidor público actúa dentro de lo permitido, su nombre guarda el carácter de público.</w:t>
      </w:r>
    </w:p>
    <w:p w14:paraId="1A37E830" w14:textId="77777777" w:rsidR="00126A6F" w:rsidRDefault="00126A6F" w:rsidP="00126A6F">
      <w:pPr>
        <w:tabs>
          <w:tab w:val="left" w:pos="1843"/>
        </w:tabs>
        <w:spacing w:after="0" w:line="360" w:lineRule="auto"/>
        <w:jc w:val="both"/>
        <w:rPr>
          <w:rFonts w:ascii="Palatino Linotype" w:eastAsia="Palatino Linotype" w:hAnsi="Palatino Linotype" w:cs="Palatino Linotype"/>
          <w:bCs/>
          <w:lang w:val="es-ES"/>
        </w:rPr>
      </w:pPr>
    </w:p>
    <w:p w14:paraId="6DD34650" w14:textId="77777777" w:rsidR="00126A6F" w:rsidRDefault="00126A6F" w:rsidP="00126A6F">
      <w:pPr>
        <w:tabs>
          <w:tab w:val="left" w:pos="1843"/>
        </w:tabs>
        <w:spacing w:after="0" w:line="360" w:lineRule="auto"/>
        <w:jc w:val="both"/>
        <w:rPr>
          <w:rFonts w:ascii="Palatino Linotype" w:eastAsia="Palatino Linotype" w:hAnsi="Palatino Linotype" w:cs="Palatino Linotype"/>
          <w:bCs/>
          <w:lang w:val="es-ES"/>
        </w:rPr>
      </w:pPr>
      <w:r w:rsidRPr="00FC7E77">
        <w:rPr>
          <w:rFonts w:ascii="Palatino Linotype" w:eastAsia="Palatino Linotype" w:hAnsi="Palatino Linotype" w:cs="Palatino Linotype"/>
          <w:b/>
          <w:lang w:val="es-ES"/>
        </w:rPr>
        <w:t>c) Proporcionalidad en sentido estricto:</w:t>
      </w:r>
      <w:r w:rsidRPr="00FC7E77">
        <w:rPr>
          <w:rFonts w:ascii="Palatino Linotype" w:eastAsia="Palatino Linotype" w:hAnsi="Palatino Linotype" w:cs="Palatino Linotype"/>
          <w:bCs/>
          <w:lang w:val="es-ES"/>
        </w:rPr>
        <w:t xml:space="preserve"> El sacrificio de la protección del nombre del servidor público, relacionado con el desempeño de sus funciones, como medio para lograr el fin válido señalado, se justifica en razón de que se satisface el interés público en conocer el desempeño de sus funciones como trabajador gubernamental, esto es, que aunque haya</w:t>
      </w:r>
      <w:r w:rsidRPr="00FC7E77">
        <w:t xml:space="preserve"> </w:t>
      </w:r>
      <w:r w:rsidRPr="00FC7E77">
        <w:rPr>
          <w:rFonts w:ascii="Palatino Linotype" w:eastAsia="Palatino Linotype" w:hAnsi="Palatino Linotype" w:cs="Palatino Linotype"/>
          <w:bCs/>
          <w:lang w:val="es-ES"/>
        </w:rPr>
        <w:t>existido la posibilidad que no actuara conforme a derecho, no existieron los elementos suficientes para determinar tal situación por lo que conocer su nombre da cuenta de que si realiza sus actividades de manera correcta así como, la actividad desplegada por las autoridades correspondientes, en el trámite de dichos asuntos.</w:t>
      </w:r>
    </w:p>
    <w:p w14:paraId="5D3D52D6" w14:textId="77777777" w:rsidR="00126A6F" w:rsidRDefault="00126A6F" w:rsidP="00126A6F">
      <w:pPr>
        <w:tabs>
          <w:tab w:val="left" w:pos="1843"/>
        </w:tabs>
        <w:spacing w:after="0" w:line="360" w:lineRule="auto"/>
        <w:jc w:val="both"/>
        <w:rPr>
          <w:rFonts w:ascii="Palatino Linotype" w:eastAsia="Palatino Linotype" w:hAnsi="Palatino Linotype" w:cs="Palatino Linotype"/>
          <w:bCs/>
          <w:lang w:val="es-ES"/>
        </w:rPr>
      </w:pPr>
    </w:p>
    <w:p w14:paraId="149FCB9D" w14:textId="77777777" w:rsidR="00126A6F" w:rsidRDefault="00126A6F" w:rsidP="00126A6F">
      <w:pPr>
        <w:tabs>
          <w:tab w:val="left" w:pos="1843"/>
        </w:tabs>
        <w:spacing w:after="0" w:line="360" w:lineRule="auto"/>
        <w:jc w:val="both"/>
        <w:rPr>
          <w:rFonts w:ascii="Palatino Linotype" w:eastAsia="Palatino Linotype" w:hAnsi="Palatino Linotype" w:cs="Palatino Linotype"/>
          <w:bCs/>
          <w:lang w:val="es-ES"/>
        </w:rPr>
      </w:pPr>
      <w:r w:rsidRPr="00FC7E77">
        <w:rPr>
          <w:rFonts w:ascii="Palatino Linotype" w:eastAsia="Palatino Linotype" w:hAnsi="Palatino Linotype" w:cs="Palatino Linotype"/>
          <w:bCs/>
          <w:lang w:val="es-ES"/>
        </w:rPr>
        <w:t>De esta manera, se logra un mayor beneficio en proporción del otro derecho que se verá restringido, logrando publicitar información que es de interés público, por lo que, se advierte que el daño que se causaría con su difusión es menor a aquél que se causaría con su resguardo.</w:t>
      </w:r>
    </w:p>
    <w:p w14:paraId="515300C7" w14:textId="77777777" w:rsidR="00126A6F" w:rsidRDefault="00126A6F" w:rsidP="00126A6F">
      <w:pPr>
        <w:tabs>
          <w:tab w:val="left" w:pos="1843"/>
        </w:tabs>
        <w:spacing w:after="0" w:line="360" w:lineRule="auto"/>
        <w:jc w:val="both"/>
        <w:rPr>
          <w:rFonts w:ascii="Palatino Linotype" w:eastAsia="Palatino Linotype" w:hAnsi="Palatino Linotype" w:cs="Palatino Linotype"/>
          <w:bCs/>
          <w:lang w:val="es-ES"/>
        </w:rPr>
      </w:pPr>
    </w:p>
    <w:p w14:paraId="7851BBB7" w14:textId="77777777" w:rsidR="00126A6F" w:rsidRDefault="00126A6F" w:rsidP="00126A6F">
      <w:pPr>
        <w:tabs>
          <w:tab w:val="left" w:pos="1843"/>
        </w:tabs>
        <w:spacing w:after="0" w:line="360" w:lineRule="auto"/>
        <w:jc w:val="both"/>
        <w:rPr>
          <w:rFonts w:ascii="Palatino Linotype" w:eastAsia="Palatino Linotype" w:hAnsi="Palatino Linotype" w:cs="Palatino Linotype"/>
          <w:bCs/>
          <w:lang w:val="es-ES"/>
        </w:rPr>
      </w:pPr>
      <w:r w:rsidRPr="00FC7E77">
        <w:rPr>
          <w:rFonts w:ascii="Palatino Linotype" w:eastAsia="Palatino Linotype" w:hAnsi="Palatino Linotype" w:cs="Palatino Linotype"/>
          <w:bCs/>
          <w:lang w:val="es-ES"/>
        </w:rPr>
        <w:t>En ese orden de ideas, es posible advertir un margen de beneficio mayor al favorecer el derecho de acceso a la información, respecto del derecho a la vida privada; por lo que, la intervención que subsume este ejercicio de ponderación apunta a la obtención de mayores efectos positivos y una afectación menor en la esfera de privacidad de los servidores públicos.</w:t>
      </w:r>
    </w:p>
    <w:p w14:paraId="729B4B1F" w14:textId="77777777" w:rsidR="00126A6F" w:rsidRDefault="00126A6F" w:rsidP="00126A6F">
      <w:pPr>
        <w:tabs>
          <w:tab w:val="left" w:pos="1843"/>
        </w:tabs>
        <w:spacing w:after="0" w:line="360" w:lineRule="auto"/>
        <w:jc w:val="both"/>
        <w:rPr>
          <w:rFonts w:ascii="Palatino Linotype" w:eastAsia="Palatino Linotype" w:hAnsi="Palatino Linotype" w:cs="Palatino Linotype"/>
          <w:bCs/>
          <w:lang w:val="es-ES"/>
        </w:rPr>
      </w:pPr>
    </w:p>
    <w:p w14:paraId="4A9DD6FA" w14:textId="77777777" w:rsidR="00126A6F" w:rsidRDefault="00126A6F" w:rsidP="00126A6F">
      <w:pPr>
        <w:tabs>
          <w:tab w:val="left" w:pos="1843"/>
        </w:tabs>
        <w:spacing w:after="0" w:line="360" w:lineRule="auto"/>
        <w:jc w:val="both"/>
        <w:rPr>
          <w:rFonts w:ascii="Palatino Linotype" w:eastAsia="Palatino Linotype" w:hAnsi="Palatino Linotype" w:cs="Palatino Linotype"/>
          <w:bCs/>
          <w:lang w:val="es-ES"/>
        </w:rPr>
      </w:pPr>
      <w:r w:rsidRPr="00FC7E77">
        <w:rPr>
          <w:rFonts w:ascii="Palatino Linotype" w:eastAsia="Palatino Linotype" w:hAnsi="Palatino Linotype" w:cs="Palatino Linotype"/>
          <w:bCs/>
          <w:lang w:val="es-ES"/>
        </w:rPr>
        <w:t xml:space="preserve">Asimismo, se robustece con el hecho de que la difusión de la información solicitada contribuiría a garantizar el ejercicio de acceso a la información, a favorecer la rendición de cuentas a los ciudadanos, de manera que puedan valorar el desempeño de los sujetos </w:t>
      </w:r>
      <w:r w:rsidRPr="00FC7E77">
        <w:rPr>
          <w:rFonts w:ascii="Palatino Linotype" w:eastAsia="Palatino Linotype" w:hAnsi="Palatino Linotype" w:cs="Palatino Linotype"/>
          <w:bCs/>
          <w:lang w:val="es-ES"/>
        </w:rPr>
        <w:lastRenderedPageBreak/>
        <w:t>obligados y servidores públicos, además de fortalecer el escrutinio ciudadano sobre las actividades sustantivas de los sujetos obligados</w:t>
      </w:r>
      <w:r>
        <w:rPr>
          <w:rFonts w:ascii="Palatino Linotype" w:eastAsia="Palatino Linotype" w:hAnsi="Palatino Linotype" w:cs="Palatino Linotype"/>
          <w:bCs/>
          <w:lang w:val="es-ES"/>
        </w:rPr>
        <w:t>.</w:t>
      </w:r>
    </w:p>
    <w:p w14:paraId="244D1242" w14:textId="77777777" w:rsidR="00126A6F" w:rsidRDefault="00126A6F" w:rsidP="00126A6F">
      <w:pPr>
        <w:tabs>
          <w:tab w:val="left" w:pos="1843"/>
        </w:tabs>
        <w:spacing w:after="0" w:line="360" w:lineRule="auto"/>
        <w:jc w:val="both"/>
        <w:rPr>
          <w:rFonts w:ascii="Palatino Linotype" w:eastAsia="Palatino Linotype" w:hAnsi="Palatino Linotype" w:cs="Palatino Linotype"/>
          <w:bCs/>
          <w:lang w:val="es-ES"/>
        </w:rPr>
      </w:pPr>
    </w:p>
    <w:p w14:paraId="3BC234DC" w14:textId="77777777" w:rsidR="00126A6F" w:rsidRDefault="00126A6F" w:rsidP="00126A6F">
      <w:pPr>
        <w:tabs>
          <w:tab w:val="left" w:pos="1843"/>
        </w:tabs>
        <w:spacing w:after="0" w:line="360" w:lineRule="auto"/>
        <w:jc w:val="both"/>
        <w:rPr>
          <w:rFonts w:ascii="Palatino Linotype" w:eastAsia="Palatino Linotype" w:hAnsi="Palatino Linotype" w:cs="Palatino Linotype"/>
          <w:b/>
          <w:lang w:val="es-ES"/>
        </w:rPr>
      </w:pPr>
      <w:r w:rsidRPr="00FC7E77">
        <w:rPr>
          <w:rFonts w:ascii="Palatino Linotype" w:eastAsia="Palatino Linotype" w:hAnsi="Palatino Linotype" w:cs="Palatino Linotype"/>
          <w:bCs/>
          <w:lang w:val="es-ES"/>
        </w:rPr>
        <w:t xml:space="preserve">Por tanto, concluyo que, al tenor de la ponderación realizada, se cumple con los tres elementos para darle preminencia, en el caso concreto, </w:t>
      </w:r>
      <w:r w:rsidRPr="00FC7E77">
        <w:rPr>
          <w:rFonts w:ascii="Palatino Linotype" w:eastAsia="Palatino Linotype" w:hAnsi="Palatino Linotype" w:cs="Palatino Linotype"/>
          <w:b/>
          <w:lang w:val="es-ES"/>
        </w:rPr>
        <w:t>al derecho de acceso a la información.</w:t>
      </w:r>
    </w:p>
    <w:p w14:paraId="2472AF52" w14:textId="77777777" w:rsidR="00126A6F" w:rsidRDefault="00126A6F" w:rsidP="00126A6F">
      <w:pPr>
        <w:tabs>
          <w:tab w:val="left" w:pos="1843"/>
        </w:tabs>
        <w:spacing w:after="0" w:line="360" w:lineRule="auto"/>
        <w:jc w:val="both"/>
        <w:rPr>
          <w:rFonts w:ascii="Palatino Linotype" w:eastAsia="Palatino Linotype" w:hAnsi="Palatino Linotype" w:cs="Palatino Linotype"/>
          <w:b/>
          <w:lang w:val="es-ES"/>
        </w:rPr>
      </w:pPr>
    </w:p>
    <w:p w14:paraId="5EBC96A2" w14:textId="77777777" w:rsidR="00126A6F" w:rsidRDefault="00126A6F" w:rsidP="00126A6F">
      <w:pPr>
        <w:tabs>
          <w:tab w:val="left" w:pos="1843"/>
        </w:tabs>
        <w:spacing w:after="0" w:line="360" w:lineRule="auto"/>
        <w:jc w:val="both"/>
        <w:rPr>
          <w:rFonts w:ascii="Palatino Linotype" w:eastAsia="Palatino Linotype" w:hAnsi="Palatino Linotype" w:cs="Palatino Linotype"/>
          <w:bCs/>
          <w:lang w:val="es-ES"/>
        </w:rPr>
      </w:pPr>
      <w:r w:rsidRPr="00FC7E77">
        <w:rPr>
          <w:rFonts w:ascii="Palatino Linotype" w:eastAsia="Palatino Linotype" w:hAnsi="Palatino Linotype" w:cs="Palatino Linotype"/>
          <w:bCs/>
          <w:lang w:val="es-ES"/>
        </w:rPr>
        <w:t>Así considero que, el nombre de servidores públicos que fueron sujetos a una investigación por alguna falta administrativa y resultaron absueltos, son de naturaleza pública, en razón de que, al no ser sancionados da cuenta de su actuar conforme a derecho y que no existieron los elementos necesarios para sancionarlo por lo tanto no precede su clasificación en términos del artículo 143, fracción I, de la Ley de la materia.</w:t>
      </w:r>
    </w:p>
    <w:p w14:paraId="03EBA763" w14:textId="77777777" w:rsidR="00126A6F" w:rsidRDefault="00126A6F" w:rsidP="00126A6F">
      <w:pPr>
        <w:tabs>
          <w:tab w:val="left" w:pos="1843"/>
        </w:tabs>
        <w:spacing w:after="0" w:line="360" w:lineRule="auto"/>
        <w:jc w:val="both"/>
        <w:rPr>
          <w:rFonts w:ascii="Palatino Linotype" w:eastAsia="Palatino Linotype" w:hAnsi="Palatino Linotype" w:cs="Palatino Linotype"/>
          <w:bCs/>
          <w:lang w:val="es-ES"/>
        </w:rPr>
      </w:pPr>
    </w:p>
    <w:p w14:paraId="02812EFA" w14:textId="77777777" w:rsidR="00126A6F" w:rsidRDefault="00126A6F" w:rsidP="00126A6F">
      <w:pPr>
        <w:tabs>
          <w:tab w:val="left" w:pos="1843"/>
        </w:tabs>
        <w:spacing w:after="0" w:line="360" w:lineRule="auto"/>
        <w:jc w:val="both"/>
        <w:rPr>
          <w:rFonts w:ascii="Palatino Linotype" w:eastAsia="Palatino Linotype" w:hAnsi="Palatino Linotype" w:cs="Palatino Linotype"/>
          <w:bCs/>
          <w:lang w:val="es-ES"/>
        </w:rPr>
      </w:pPr>
      <w:r w:rsidRPr="00FC7E77">
        <w:rPr>
          <w:rFonts w:ascii="Palatino Linotype" w:eastAsia="Palatino Linotype" w:hAnsi="Palatino Linotype" w:cs="Palatino Linotype"/>
          <w:bCs/>
          <w:lang w:val="es-ES"/>
        </w:rPr>
        <w:t xml:space="preserve">Así, con base en los razonamientos expuestos, se emite el presente </w:t>
      </w:r>
      <w:r w:rsidRPr="00FC7E77">
        <w:rPr>
          <w:rFonts w:ascii="Palatino Linotype" w:eastAsia="Palatino Linotype" w:hAnsi="Palatino Linotype" w:cs="Palatino Linotype"/>
          <w:b/>
          <w:lang w:val="es-ES"/>
        </w:rPr>
        <w:t>Voto Particular.</w:t>
      </w:r>
      <w:r w:rsidRPr="00FC7E77">
        <w:rPr>
          <w:rFonts w:ascii="Palatino Linotype" w:eastAsia="Palatino Linotype" w:hAnsi="Palatino Linotype" w:cs="Palatino Linotype"/>
          <w:bCs/>
          <w:lang w:val="es-ES"/>
        </w:rPr>
        <w:t xml:space="preserve"> --------- -----------------------------------------------------------------------------------------------------------------------</w:t>
      </w:r>
    </w:p>
    <w:p w14:paraId="30F3CE2A" w14:textId="77777777" w:rsidR="00126A6F" w:rsidRPr="00BD4C9D" w:rsidRDefault="00126A6F" w:rsidP="00126A6F">
      <w:pPr>
        <w:rPr>
          <w:rFonts w:ascii="Palatino Linotype" w:eastAsia="Palatino Linotype" w:hAnsi="Palatino Linotype" w:cs="Palatino Linotype"/>
          <w:lang w:val="es-ES"/>
        </w:rPr>
      </w:pPr>
    </w:p>
    <w:p w14:paraId="1438F495" w14:textId="77777777" w:rsidR="00126A6F" w:rsidRPr="00BD4C9D" w:rsidRDefault="00126A6F" w:rsidP="00126A6F">
      <w:pPr>
        <w:rPr>
          <w:rFonts w:ascii="Palatino Linotype" w:eastAsia="Palatino Linotype" w:hAnsi="Palatino Linotype" w:cs="Palatino Linotype"/>
          <w:lang w:val="es-ES"/>
        </w:rPr>
      </w:pPr>
    </w:p>
    <w:p w14:paraId="680BC202" w14:textId="77777777" w:rsidR="00126A6F" w:rsidRPr="00BD4C9D" w:rsidRDefault="00126A6F" w:rsidP="00126A6F">
      <w:pPr>
        <w:rPr>
          <w:rFonts w:ascii="Palatino Linotype" w:eastAsia="Palatino Linotype" w:hAnsi="Palatino Linotype" w:cs="Palatino Linotype"/>
          <w:lang w:val="es-ES"/>
        </w:rPr>
      </w:pPr>
    </w:p>
    <w:p w14:paraId="261EA450" w14:textId="77777777" w:rsidR="00126A6F" w:rsidRPr="00BD4C9D" w:rsidRDefault="00126A6F" w:rsidP="00126A6F">
      <w:pPr>
        <w:rPr>
          <w:rFonts w:ascii="Palatino Linotype" w:eastAsia="Palatino Linotype" w:hAnsi="Palatino Linotype" w:cs="Palatino Linotype"/>
          <w:lang w:val="es-ES"/>
        </w:rPr>
      </w:pPr>
    </w:p>
    <w:p w14:paraId="009265E3" w14:textId="77777777" w:rsidR="00126A6F" w:rsidRPr="00BD4C9D" w:rsidRDefault="00126A6F" w:rsidP="00126A6F">
      <w:pPr>
        <w:rPr>
          <w:rFonts w:ascii="Palatino Linotype" w:eastAsia="Palatino Linotype" w:hAnsi="Palatino Linotype" w:cs="Palatino Linotype"/>
          <w:lang w:val="es-ES"/>
        </w:rPr>
      </w:pPr>
    </w:p>
    <w:p w14:paraId="0B5B5A42" w14:textId="77777777" w:rsidR="00126A6F" w:rsidRPr="00BD4C9D" w:rsidRDefault="00126A6F" w:rsidP="00126A6F">
      <w:pPr>
        <w:rPr>
          <w:rFonts w:ascii="Palatino Linotype" w:eastAsia="Palatino Linotype" w:hAnsi="Palatino Linotype" w:cs="Palatino Linotype"/>
          <w:lang w:val="es-ES"/>
        </w:rPr>
      </w:pPr>
    </w:p>
    <w:p w14:paraId="4AA25092" w14:textId="77777777" w:rsidR="00126A6F" w:rsidRPr="00BD4C9D" w:rsidRDefault="00126A6F" w:rsidP="00126A6F">
      <w:pPr>
        <w:rPr>
          <w:rFonts w:ascii="Palatino Linotype" w:eastAsia="Palatino Linotype" w:hAnsi="Palatino Linotype" w:cs="Palatino Linotype"/>
          <w:lang w:val="es-ES"/>
        </w:rPr>
      </w:pPr>
    </w:p>
    <w:p w14:paraId="4FF9D807" w14:textId="77777777" w:rsidR="00126A6F" w:rsidRDefault="00126A6F" w:rsidP="00126A6F">
      <w:pPr>
        <w:jc w:val="center"/>
        <w:rPr>
          <w:rFonts w:ascii="Palatino Linotype" w:eastAsia="Palatino Linotype" w:hAnsi="Palatino Linotype" w:cs="Palatino Linotype"/>
          <w:lang w:val="es-ES"/>
        </w:rPr>
      </w:pPr>
    </w:p>
    <w:p w14:paraId="3EE164C0" w14:textId="77777777" w:rsidR="00126A6F" w:rsidRDefault="00126A6F" w:rsidP="00126A6F">
      <w:pPr>
        <w:jc w:val="center"/>
        <w:rPr>
          <w:rFonts w:ascii="Palatino Linotype" w:eastAsia="Palatino Linotype" w:hAnsi="Palatino Linotype" w:cs="Palatino Linotype"/>
          <w:lang w:val="es-ES"/>
        </w:rPr>
      </w:pPr>
    </w:p>
    <w:p w14:paraId="67E2FC47" w14:textId="77777777" w:rsidR="00126A6F" w:rsidRDefault="00126A6F" w:rsidP="00126A6F">
      <w:pPr>
        <w:jc w:val="center"/>
        <w:rPr>
          <w:rFonts w:ascii="Palatino Linotype" w:eastAsia="Palatino Linotype" w:hAnsi="Palatino Linotype" w:cs="Palatino Linotype"/>
          <w:lang w:val="es-ES"/>
        </w:rPr>
      </w:pPr>
    </w:p>
    <w:p w14:paraId="09F52A87" w14:textId="77777777" w:rsidR="00126A6F" w:rsidRDefault="00126A6F" w:rsidP="00126A6F">
      <w:pPr>
        <w:jc w:val="center"/>
        <w:rPr>
          <w:rFonts w:ascii="Palatino Linotype" w:eastAsia="Palatino Linotype" w:hAnsi="Palatino Linotype" w:cs="Palatino Linotype"/>
          <w:lang w:val="es-ES"/>
        </w:rPr>
      </w:pPr>
    </w:p>
    <w:p w14:paraId="1D6D44C0" w14:textId="77777777" w:rsidR="00126A6F" w:rsidRDefault="00126A6F" w:rsidP="00126A6F">
      <w:pPr>
        <w:jc w:val="center"/>
        <w:rPr>
          <w:rFonts w:ascii="Palatino Linotype" w:eastAsia="Palatino Linotype" w:hAnsi="Palatino Linotype" w:cs="Palatino Linotype"/>
          <w:lang w:val="es-ES"/>
        </w:rPr>
      </w:pPr>
    </w:p>
    <w:p w14:paraId="03F34D13" w14:textId="77777777" w:rsidR="00126A6F" w:rsidRDefault="00126A6F" w:rsidP="00126A6F">
      <w:pPr>
        <w:jc w:val="center"/>
        <w:rPr>
          <w:rFonts w:ascii="Palatino Linotype" w:eastAsia="Palatino Linotype" w:hAnsi="Palatino Linotype" w:cs="Palatino Linotype"/>
          <w:lang w:val="es-ES"/>
        </w:rPr>
      </w:pPr>
    </w:p>
    <w:p w14:paraId="27E084C8" w14:textId="77777777" w:rsidR="00126A6F" w:rsidRDefault="00126A6F" w:rsidP="00126A6F">
      <w:pPr>
        <w:jc w:val="center"/>
        <w:rPr>
          <w:rFonts w:ascii="Palatino Linotype" w:eastAsia="Palatino Linotype" w:hAnsi="Palatino Linotype" w:cs="Palatino Linotype"/>
          <w:lang w:val="es-ES"/>
        </w:rPr>
      </w:pPr>
    </w:p>
    <w:p w14:paraId="6B52ACF1" w14:textId="77777777" w:rsidR="00126A6F" w:rsidRDefault="00126A6F" w:rsidP="00126A6F">
      <w:pPr>
        <w:jc w:val="center"/>
        <w:rPr>
          <w:rFonts w:ascii="Palatino Linotype" w:eastAsia="Palatino Linotype" w:hAnsi="Palatino Linotype" w:cs="Palatino Linotype"/>
          <w:lang w:val="es-ES"/>
        </w:rPr>
      </w:pPr>
    </w:p>
    <w:p w14:paraId="5DC193E8" w14:textId="77777777" w:rsidR="00126A6F" w:rsidRDefault="00126A6F" w:rsidP="00126A6F">
      <w:pPr>
        <w:jc w:val="center"/>
        <w:rPr>
          <w:rFonts w:ascii="Palatino Linotype" w:eastAsia="Palatino Linotype" w:hAnsi="Palatino Linotype" w:cs="Palatino Linotype"/>
          <w:lang w:val="es-ES"/>
        </w:rPr>
      </w:pPr>
    </w:p>
    <w:p w14:paraId="66541CF2" w14:textId="77777777" w:rsidR="00126A6F" w:rsidRDefault="00126A6F" w:rsidP="00126A6F">
      <w:pPr>
        <w:jc w:val="center"/>
        <w:rPr>
          <w:rFonts w:ascii="Palatino Linotype" w:eastAsia="Palatino Linotype" w:hAnsi="Palatino Linotype" w:cs="Palatino Linotype"/>
          <w:lang w:val="es-ES"/>
        </w:rPr>
      </w:pPr>
    </w:p>
    <w:p w14:paraId="43E75ECF" w14:textId="77777777" w:rsidR="00126A6F" w:rsidRDefault="00126A6F" w:rsidP="00126A6F">
      <w:pPr>
        <w:jc w:val="center"/>
        <w:rPr>
          <w:rFonts w:ascii="Palatino Linotype" w:eastAsia="Palatino Linotype" w:hAnsi="Palatino Linotype" w:cs="Palatino Linotype"/>
          <w:lang w:val="es-ES"/>
        </w:rPr>
      </w:pPr>
    </w:p>
    <w:p w14:paraId="1E2CFE72" w14:textId="77777777" w:rsidR="00126A6F" w:rsidRPr="00BD4C9D" w:rsidRDefault="00126A6F" w:rsidP="00126A6F">
      <w:pPr>
        <w:jc w:val="center"/>
        <w:rPr>
          <w:rFonts w:ascii="Palatino Linotype" w:eastAsia="Palatino Linotype" w:hAnsi="Palatino Linotype" w:cs="Palatino Linotype"/>
          <w:lang w:val="es-ES"/>
        </w:rPr>
      </w:pPr>
    </w:p>
    <w:p w14:paraId="3F2A2DB0" w14:textId="77777777" w:rsidR="00126A6F" w:rsidRDefault="00126A6F" w:rsidP="00126A6F"/>
    <w:p w14:paraId="7D661AD1" w14:textId="77777777" w:rsidR="00B01980" w:rsidRDefault="00B01980"/>
    <w:sectPr w:rsidR="00B01980" w:rsidSect="00126A6F">
      <w:headerReference w:type="even" r:id="rId7"/>
      <w:headerReference w:type="default" r:id="rId8"/>
      <w:footerReference w:type="default" r:id="rId9"/>
      <w:headerReference w:type="first" r:id="rId10"/>
      <w:pgSz w:w="12240" w:h="15840" w:code="1"/>
      <w:pgMar w:top="1417" w:right="1701" w:bottom="1417" w:left="1701" w:header="709"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2DD6AB9" w14:textId="77777777" w:rsidR="00A047A3" w:rsidRDefault="00A047A3" w:rsidP="00126A6F">
      <w:pPr>
        <w:spacing w:after="0" w:line="240" w:lineRule="auto"/>
      </w:pPr>
      <w:r>
        <w:separator/>
      </w:r>
    </w:p>
  </w:endnote>
  <w:endnote w:type="continuationSeparator" w:id="0">
    <w:p w14:paraId="7C8FD554" w14:textId="77777777" w:rsidR="00A047A3" w:rsidRDefault="00A047A3" w:rsidP="00126A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Palatino Linotype">
    <w:panose1 w:val="02040502050505030304"/>
    <w:charset w:val="00"/>
    <w:family w:val="roman"/>
    <w:pitch w:val="variable"/>
    <w:sig w:usb0="E0000287" w:usb1="4000001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884792261"/>
      <w:docPartObj>
        <w:docPartGallery w:val="Page Numbers (Bottom of Page)"/>
        <w:docPartUnique/>
      </w:docPartObj>
    </w:sdtPr>
    <w:sdtContent>
      <w:sdt>
        <w:sdtPr>
          <w:id w:val="1728636285"/>
          <w:docPartObj>
            <w:docPartGallery w:val="Page Numbers (Top of Page)"/>
            <w:docPartUnique/>
          </w:docPartObj>
        </w:sdtPr>
        <w:sdtContent>
          <w:p w14:paraId="374F1975" w14:textId="77777777" w:rsidR="00702054" w:rsidRDefault="00000000">
            <w:pPr>
              <w:pStyle w:val="Piedepgina"/>
              <w:jc w:val="center"/>
            </w:pPr>
            <w:r>
              <w:t xml:space="preserve">Página </w:t>
            </w:r>
            <w:r>
              <w:rPr>
                <w:b/>
                <w:bCs/>
                <w:sz w:val="24"/>
                <w:szCs w:val="24"/>
              </w:rPr>
              <w:fldChar w:fldCharType="begin"/>
            </w:r>
            <w:r>
              <w:rPr>
                <w:b/>
                <w:bCs/>
              </w:rPr>
              <w:instrText>PAGE</w:instrText>
            </w:r>
            <w:r>
              <w:rPr>
                <w:b/>
                <w:bCs/>
                <w:sz w:val="24"/>
                <w:szCs w:val="24"/>
              </w:rPr>
              <w:fldChar w:fldCharType="separate"/>
            </w:r>
            <w:r>
              <w:rPr>
                <w:b/>
                <w:bCs/>
                <w:noProof/>
              </w:rPr>
              <w:t>9</w:t>
            </w:r>
            <w:r>
              <w:rPr>
                <w:b/>
                <w:bCs/>
                <w:sz w:val="24"/>
                <w:szCs w:val="24"/>
              </w:rPr>
              <w:fldChar w:fldCharType="end"/>
            </w:r>
            <w:r>
              <w:t xml:space="preserve"> de </w:t>
            </w:r>
            <w:r>
              <w:rPr>
                <w:b/>
                <w:bCs/>
                <w:sz w:val="24"/>
                <w:szCs w:val="24"/>
              </w:rPr>
              <w:fldChar w:fldCharType="begin"/>
            </w:r>
            <w:r>
              <w:rPr>
                <w:b/>
                <w:bCs/>
              </w:rPr>
              <w:instrText>NUMPAGES</w:instrText>
            </w:r>
            <w:r>
              <w:rPr>
                <w:b/>
                <w:bCs/>
                <w:sz w:val="24"/>
                <w:szCs w:val="24"/>
              </w:rPr>
              <w:fldChar w:fldCharType="separate"/>
            </w:r>
            <w:r>
              <w:rPr>
                <w:b/>
                <w:bCs/>
                <w:noProof/>
              </w:rPr>
              <w:t>10</w:t>
            </w:r>
            <w:r>
              <w:rPr>
                <w:b/>
                <w:bCs/>
                <w:sz w:val="24"/>
                <w:szCs w:val="24"/>
              </w:rPr>
              <w:fldChar w:fldCharType="end"/>
            </w:r>
          </w:p>
        </w:sdtContent>
      </w:sdt>
    </w:sdtContent>
  </w:sdt>
  <w:p w14:paraId="70906C8D" w14:textId="77777777" w:rsidR="00702054" w:rsidRDefault="00702054">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ED5B09B" w14:textId="77777777" w:rsidR="00A047A3" w:rsidRDefault="00A047A3" w:rsidP="00126A6F">
      <w:pPr>
        <w:spacing w:after="0" w:line="240" w:lineRule="auto"/>
      </w:pPr>
      <w:r>
        <w:separator/>
      </w:r>
    </w:p>
  </w:footnote>
  <w:footnote w:type="continuationSeparator" w:id="0">
    <w:p w14:paraId="7FDC1DEC" w14:textId="77777777" w:rsidR="00A047A3" w:rsidRDefault="00A047A3" w:rsidP="00126A6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061F77E" w14:textId="77777777" w:rsidR="00702054" w:rsidRDefault="00000000">
    <w:pPr>
      <w:pStyle w:val="Encabezado"/>
    </w:pPr>
    <w:r>
      <w:rPr>
        <w:noProof/>
      </w:rPr>
      <w:pict w14:anchorId="50277D5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46442985" o:spid="_x0000_s1025" type="#_x0000_t136" style="position:absolute;margin-left:0;margin-top:0;width:308.8pt;height:46.3pt;rotation:315;z-index:-251659264;mso-position-horizontal:center;mso-position-horizontal-relative:margin;mso-position-vertical:center;mso-position-vertical-relative:margin" o:allowincell="f" fillcolor="silver" stroked="f">
          <v:fill opacity=".5"/>
          <v:textpath style="font-family:&quot;Palatino Linotype&quot;;font-size:1pt" string="VOTO PARTICULAR"/>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aconcuadrcula"/>
      <w:tblW w:w="893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119"/>
      <w:gridCol w:w="5812"/>
    </w:tblGrid>
    <w:tr w:rsidR="0077694E" w:rsidRPr="001106EA" w14:paraId="6594DA66" w14:textId="77777777" w:rsidTr="00126A6F">
      <w:trPr>
        <w:trHeight w:val="1843"/>
      </w:trPr>
      <w:tc>
        <w:tcPr>
          <w:tcW w:w="3119" w:type="dxa"/>
          <w:vAlign w:val="bottom"/>
        </w:tcPr>
        <w:p w14:paraId="09CC3C12" w14:textId="77777777" w:rsidR="00702054" w:rsidRDefault="00000000" w:rsidP="00285C7B">
          <w:pPr>
            <w:pStyle w:val="Encabezado"/>
            <w:tabs>
              <w:tab w:val="center" w:pos="2614"/>
            </w:tabs>
            <w:ind w:left="-255"/>
          </w:pPr>
          <w:r>
            <w:rPr>
              <w:noProof/>
              <w:sz w:val="10"/>
              <w:szCs w:val="10"/>
              <w:lang w:eastAsia="es-MX"/>
            </w:rPr>
            <w:drawing>
              <wp:anchor distT="0" distB="0" distL="114300" distR="114300" simplePos="0" relativeHeight="251656192" behindDoc="0" locked="0" layoutInCell="1" allowOverlap="1" wp14:anchorId="1F60B40F" wp14:editId="5BE8793E">
                <wp:simplePos x="0" y="0"/>
                <wp:positionH relativeFrom="column">
                  <wp:posOffset>-291465</wp:posOffset>
                </wp:positionH>
                <wp:positionV relativeFrom="paragraph">
                  <wp:posOffset>-860425</wp:posOffset>
                </wp:positionV>
                <wp:extent cx="1873250" cy="1126490"/>
                <wp:effectExtent l="0" t="0" r="0" b="0"/>
                <wp:wrapNone/>
                <wp:docPr id="28523934" name="Imagen 285239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tipo Infoem.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873250" cy="1126490"/>
                        </a:xfrm>
                        <a:prstGeom prst="rect">
                          <a:avLst/>
                        </a:prstGeom>
                      </pic:spPr>
                    </pic:pic>
                  </a:graphicData>
                </a:graphic>
                <wp14:sizeRelH relativeFrom="margin">
                  <wp14:pctWidth>0</wp14:pctWidth>
                </wp14:sizeRelH>
                <wp14:sizeRelV relativeFrom="margin">
                  <wp14:pctHeight>0</wp14:pctHeight>
                </wp14:sizeRelV>
              </wp:anchor>
            </w:drawing>
          </w:r>
        </w:p>
        <w:p w14:paraId="7B294172" w14:textId="77777777" w:rsidR="00702054" w:rsidRDefault="00702054" w:rsidP="00285C7B">
          <w:pPr>
            <w:pStyle w:val="Encabezado"/>
            <w:tabs>
              <w:tab w:val="center" w:pos="2614"/>
            </w:tabs>
            <w:ind w:left="-255"/>
          </w:pPr>
        </w:p>
      </w:tc>
      <w:tc>
        <w:tcPr>
          <w:tcW w:w="5812" w:type="dxa"/>
          <w:vAlign w:val="center"/>
        </w:tcPr>
        <w:p w14:paraId="78C0BA7B" w14:textId="77777777" w:rsidR="00702054" w:rsidRPr="00B9745A" w:rsidRDefault="00000000" w:rsidP="00285C7B">
          <w:pPr>
            <w:pStyle w:val="Encabezado"/>
            <w:ind w:left="-108" w:right="-250"/>
            <w:jc w:val="both"/>
            <w:rPr>
              <w:rFonts w:ascii="Palatino Linotype" w:hAnsi="Palatino Linotype" w:cs="Tahoma"/>
              <w:b/>
            </w:rPr>
          </w:pPr>
          <w:r w:rsidRPr="00B9745A">
            <w:rPr>
              <w:rFonts w:ascii="Palatino Linotype" w:hAnsi="Palatino Linotype" w:cs="Tahoma"/>
              <w:b/>
            </w:rPr>
            <w:t>Voto Particular</w:t>
          </w:r>
        </w:p>
        <w:p w14:paraId="14BEFB7E" w14:textId="1CA9F7A5" w:rsidR="00702054" w:rsidRDefault="00000000" w:rsidP="00285C7B">
          <w:pPr>
            <w:pStyle w:val="Encabezado"/>
            <w:ind w:left="-108" w:right="37"/>
            <w:jc w:val="both"/>
            <w:rPr>
              <w:rFonts w:ascii="Palatino Linotype" w:hAnsi="Palatino Linotype"/>
              <w:lang w:val="es-MX"/>
            </w:rPr>
          </w:pPr>
          <w:r w:rsidRPr="00B9745A">
            <w:rPr>
              <w:rFonts w:ascii="Palatino Linotype" w:hAnsi="Palatino Linotype" w:cs="Tahoma"/>
              <w:b/>
            </w:rPr>
            <w:t>Recurso de Revisión:</w:t>
          </w:r>
          <w:r>
            <w:rPr>
              <w:rFonts w:ascii="Palatino Linotype" w:hAnsi="Palatino Linotype" w:cs="Tahoma"/>
              <w:b/>
            </w:rPr>
            <w:t xml:space="preserve"> </w:t>
          </w:r>
          <w:r>
            <w:rPr>
              <w:rFonts w:ascii="Palatino Linotype" w:hAnsi="Palatino Linotype" w:cs="Tahoma"/>
              <w:bCs/>
            </w:rPr>
            <w:t>0</w:t>
          </w:r>
          <w:r w:rsidR="00126A6F">
            <w:rPr>
              <w:rFonts w:ascii="Palatino Linotype" w:hAnsi="Palatino Linotype" w:cs="Tahoma"/>
              <w:bCs/>
            </w:rPr>
            <w:t>19</w:t>
          </w:r>
          <w:r w:rsidR="00B83EDA">
            <w:rPr>
              <w:rFonts w:ascii="Palatino Linotype" w:hAnsi="Palatino Linotype" w:cs="Tahoma"/>
              <w:bCs/>
            </w:rPr>
            <w:t>2</w:t>
          </w:r>
          <w:r w:rsidR="00126A6F">
            <w:rPr>
              <w:rFonts w:ascii="Palatino Linotype" w:hAnsi="Palatino Linotype" w:cs="Tahoma"/>
              <w:bCs/>
            </w:rPr>
            <w:t>5</w:t>
          </w:r>
          <w:r w:rsidRPr="0095436B">
            <w:rPr>
              <w:rFonts w:ascii="Palatino Linotype" w:hAnsi="Palatino Linotype" w:cs="Tahoma"/>
              <w:bCs/>
            </w:rPr>
            <w:t>/INFOEM/IP/RR/202</w:t>
          </w:r>
          <w:r w:rsidR="00126A6F">
            <w:rPr>
              <w:rFonts w:ascii="Palatino Linotype" w:hAnsi="Palatino Linotype" w:cs="Tahoma"/>
              <w:bCs/>
            </w:rPr>
            <w:t>4</w:t>
          </w:r>
        </w:p>
        <w:p w14:paraId="7DC2DF85" w14:textId="548E11B5" w:rsidR="00702054" w:rsidRPr="00126A6F" w:rsidRDefault="00000000" w:rsidP="00126A6F">
          <w:pPr>
            <w:pStyle w:val="Encabezado"/>
            <w:ind w:left="-108" w:right="37"/>
            <w:jc w:val="both"/>
            <w:rPr>
              <w:rFonts w:ascii="Palatino Linotype" w:hAnsi="Palatino Linotype"/>
              <w:bCs/>
            </w:rPr>
          </w:pPr>
          <w:r>
            <w:rPr>
              <w:rFonts w:ascii="Palatino Linotype" w:hAnsi="Palatino Linotype" w:cs="Tahoma"/>
              <w:b/>
            </w:rPr>
            <w:t>Sujeto Obligado:</w:t>
          </w:r>
          <w:r>
            <w:rPr>
              <w:rFonts w:ascii="Palatino Linotype" w:hAnsi="Palatino Linotype"/>
              <w:bCs/>
              <w:lang w:val="es-MX"/>
            </w:rPr>
            <w:t xml:space="preserve"> </w:t>
          </w:r>
          <w:r w:rsidR="00126A6F" w:rsidRPr="00126A6F">
            <w:rPr>
              <w:rFonts w:ascii="Palatino Linotype" w:hAnsi="Palatino Linotype"/>
              <w:bCs/>
            </w:rPr>
            <w:t>Secretaría de Educación, Ciencia, Tecnología e Innovación</w:t>
          </w:r>
        </w:p>
        <w:p w14:paraId="3805EDD9" w14:textId="12AA8AF3" w:rsidR="00702054" w:rsidRDefault="00000000" w:rsidP="00E23FFC">
          <w:pPr>
            <w:pStyle w:val="Encabezado"/>
            <w:ind w:left="-108"/>
            <w:jc w:val="both"/>
            <w:rPr>
              <w:rFonts w:ascii="Palatino Linotype" w:hAnsi="Palatino Linotype" w:cs="Arial"/>
              <w:szCs w:val="20"/>
            </w:rPr>
          </w:pPr>
          <w:r w:rsidRPr="00B9745A">
            <w:rPr>
              <w:rFonts w:ascii="Palatino Linotype" w:hAnsi="Palatino Linotype" w:cs="Tahoma"/>
              <w:b/>
            </w:rPr>
            <w:t xml:space="preserve">Comisionado Ponente: </w:t>
          </w:r>
          <w:r w:rsidR="00126A6F">
            <w:rPr>
              <w:rFonts w:ascii="Palatino Linotype" w:hAnsi="Palatino Linotype" w:cs="Arial"/>
              <w:szCs w:val="20"/>
            </w:rPr>
            <w:t>José Martínez Vilchis</w:t>
          </w:r>
        </w:p>
        <w:p w14:paraId="56827379" w14:textId="77777777" w:rsidR="00702054" w:rsidRPr="00285C7B" w:rsidRDefault="00000000" w:rsidP="00E23FFC">
          <w:pPr>
            <w:pStyle w:val="Encabezado"/>
            <w:ind w:left="-108"/>
            <w:jc w:val="both"/>
            <w:rPr>
              <w:rFonts w:ascii="Palatino Linotype" w:hAnsi="Palatino Linotype"/>
              <w:bCs/>
              <w:lang w:val="es-ES_tradnl"/>
            </w:rPr>
          </w:pPr>
          <w:r>
            <w:rPr>
              <w:rFonts w:ascii="Palatino Linotype" w:hAnsi="Palatino Linotype" w:cs="Arial"/>
              <w:szCs w:val="20"/>
            </w:rPr>
            <w:t xml:space="preserve"> </w:t>
          </w:r>
        </w:p>
      </w:tc>
    </w:tr>
  </w:tbl>
  <w:p w14:paraId="1A8B550C" w14:textId="77777777" w:rsidR="00702054" w:rsidRPr="001106EA" w:rsidRDefault="00000000">
    <w:pPr>
      <w:pStyle w:val="Encabezado"/>
      <w:rPr>
        <w:sz w:val="2"/>
        <w:szCs w:val="2"/>
      </w:rPr>
    </w:pPr>
    <w:r>
      <w:rPr>
        <w:noProof/>
      </w:rPr>
      <w:pict w14:anchorId="160092F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46442986" o:spid="_x0000_s1026" type="#_x0000_t136" style="position:absolute;margin-left:0;margin-top:0;width:308.8pt;height:46.3pt;rotation:315;z-index:-251658240;mso-position-horizontal:center;mso-position-horizontal-relative:margin;mso-position-vertical:center;mso-position-vertical-relative:margin" o:allowincell="f" fillcolor="silver" stroked="f">
          <v:fill opacity=".5"/>
          <v:textpath style="font-family:&quot;Palatino Linotype&quot;;font-size:1pt" string="VOTO PARTICULAR"/>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A6AA8DD" w14:textId="77777777" w:rsidR="00702054" w:rsidRDefault="00000000">
    <w:pPr>
      <w:pStyle w:val="Encabezado"/>
    </w:pPr>
    <w:r>
      <w:rPr>
        <w:noProof/>
      </w:rPr>
      <w:pict w14:anchorId="2F12696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46442984" o:spid="_x0000_s1027" type="#_x0000_t136" style="position:absolute;margin-left:0;margin-top:0;width:308.8pt;height:46.3pt;rotation:315;z-index:-251657216;mso-position-horizontal:center;mso-position-horizontal-relative:margin;mso-position-vertical:center;mso-position-vertical-relative:margin" o:allowincell="f" fillcolor="silver" stroked="f">
          <v:fill opacity=".5"/>
          <v:textpath style="font-family:&quot;Palatino Linotype&quot;;font-size:1pt" string="VOTO PARTICULAR"/>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E28735C"/>
    <w:multiLevelType w:val="hybridMultilevel"/>
    <w:tmpl w:val="B0B8285A"/>
    <w:lvl w:ilvl="0" w:tplc="087AAEF6">
      <w:numFmt w:val="bullet"/>
      <w:lvlText w:val="-"/>
      <w:lvlJc w:val="left"/>
      <w:pPr>
        <w:ind w:left="720" w:hanging="360"/>
      </w:pPr>
      <w:rPr>
        <w:rFonts w:ascii="Palatino Linotype" w:eastAsia="Times New Roman" w:hAnsi="Palatino Linotype" w:cs="Tahoma"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30685828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6A6F"/>
    <w:rsid w:val="0003346A"/>
    <w:rsid w:val="00126A6F"/>
    <w:rsid w:val="00183EE3"/>
    <w:rsid w:val="00543563"/>
    <w:rsid w:val="00702054"/>
    <w:rsid w:val="008B6BA7"/>
    <w:rsid w:val="008B7FB6"/>
    <w:rsid w:val="00A047A3"/>
    <w:rsid w:val="00B01980"/>
    <w:rsid w:val="00B83ED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EC8FAA5"/>
  <w15:chartTrackingRefBased/>
  <w15:docId w15:val="{FEEC4B18-83BB-43A1-BC5B-95DEC677FB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s-MX"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26A6F"/>
    <w:rPr>
      <w:kern w:val="0"/>
      <w14:ligatures w14:val="none"/>
    </w:rPr>
  </w:style>
  <w:style w:type="paragraph" w:styleId="Ttulo1">
    <w:name w:val="heading 1"/>
    <w:basedOn w:val="Normal"/>
    <w:next w:val="Normal"/>
    <w:link w:val="Ttulo1Car"/>
    <w:uiPriority w:val="9"/>
    <w:qFormat/>
    <w:rsid w:val="00126A6F"/>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Ttulo2">
    <w:name w:val="heading 2"/>
    <w:basedOn w:val="Normal"/>
    <w:next w:val="Normal"/>
    <w:link w:val="Ttulo2Car"/>
    <w:uiPriority w:val="9"/>
    <w:semiHidden/>
    <w:unhideWhenUsed/>
    <w:qFormat/>
    <w:rsid w:val="00126A6F"/>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Ttulo3">
    <w:name w:val="heading 3"/>
    <w:basedOn w:val="Normal"/>
    <w:next w:val="Normal"/>
    <w:link w:val="Ttulo3Car"/>
    <w:uiPriority w:val="9"/>
    <w:semiHidden/>
    <w:unhideWhenUsed/>
    <w:qFormat/>
    <w:rsid w:val="00126A6F"/>
    <w:pPr>
      <w:keepNext/>
      <w:keepLines/>
      <w:spacing w:before="160" w:after="80"/>
      <w:outlineLvl w:val="2"/>
    </w:pPr>
    <w:rPr>
      <w:rFonts w:eastAsiaTheme="majorEastAsia" w:cstheme="majorBidi"/>
      <w:color w:val="2F5496" w:themeColor="accent1" w:themeShade="BF"/>
      <w:sz w:val="28"/>
      <w:szCs w:val="28"/>
    </w:rPr>
  </w:style>
  <w:style w:type="paragraph" w:styleId="Ttulo4">
    <w:name w:val="heading 4"/>
    <w:basedOn w:val="Normal"/>
    <w:next w:val="Normal"/>
    <w:link w:val="Ttulo4Car"/>
    <w:uiPriority w:val="9"/>
    <w:semiHidden/>
    <w:unhideWhenUsed/>
    <w:qFormat/>
    <w:rsid w:val="00126A6F"/>
    <w:pPr>
      <w:keepNext/>
      <w:keepLines/>
      <w:spacing w:before="80" w:after="40"/>
      <w:outlineLvl w:val="3"/>
    </w:pPr>
    <w:rPr>
      <w:rFonts w:eastAsiaTheme="majorEastAsia" w:cstheme="majorBidi"/>
      <w:i/>
      <w:iCs/>
      <w:color w:val="2F5496" w:themeColor="accent1" w:themeShade="BF"/>
    </w:rPr>
  </w:style>
  <w:style w:type="paragraph" w:styleId="Ttulo5">
    <w:name w:val="heading 5"/>
    <w:basedOn w:val="Normal"/>
    <w:next w:val="Normal"/>
    <w:link w:val="Ttulo5Car"/>
    <w:uiPriority w:val="9"/>
    <w:semiHidden/>
    <w:unhideWhenUsed/>
    <w:qFormat/>
    <w:rsid w:val="00126A6F"/>
    <w:pPr>
      <w:keepNext/>
      <w:keepLines/>
      <w:spacing w:before="80" w:after="40"/>
      <w:outlineLvl w:val="4"/>
    </w:pPr>
    <w:rPr>
      <w:rFonts w:eastAsiaTheme="majorEastAsia" w:cstheme="majorBidi"/>
      <w:color w:val="2F5496" w:themeColor="accent1" w:themeShade="BF"/>
    </w:rPr>
  </w:style>
  <w:style w:type="paragraph" w:styleId="Ttulo6">
    <w:name w:val="heading 6"/>
    <w:basedOn w:val="Normal"/>
    <w:next w:val="Normal"/>
    <w:link w:val="Ttulo6Car"/>
    <w:uiPriority w:val="9"/>
    <w:semiHidden/>
    <w:unhideWhenUsed/>
    <w:qFormat/>
    <w:rsid w:val="00126A6F"/>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126A6F"/>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126A6F"/>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126A6F"/>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126A6F"/>
    <w:rPr>
      <w:rFonts w:asciiTheme="majorHAnsi" w:eastAsiaTheme="majorEastAsia" w:hAnsiTheme="majorHAnsi" w:cstheme="majorBidi"/>
      <w:color w:val="2F5496" w:themeColor="accent1" w:themeShade="BF"/>
      <w:sz w:val="40"/>
      <w:szCs w:val="40"/>
    </w:rPr>
  </w:style>
  <w:style w:type="character" w:customStyle="1" w:styleId="Ttulo2Car">
    <w:name w:val="Título 2 Car"/>
    <w:basedOn w:val="Fuentedeprrafopredeter"/>
    <w:link w:val="Ttulo2"/>
    <w:uiPriority w:val="9"/>
    <w:semiHidden/>
    <w:rsid w:val="00126A6F"/>
    <w:rPr>
      <w:rFonts w:asciiTheme="majorHAnsi" w:eastAsiaTheme="majorEastAsia" w:hAnsiTheme="majorHAnsi" w:cstheme="majorBidi"/>
      <w:color w:val="2F5496" w:themeColor="accent1" w:themeShade="BF"/>
      <w:sz w:val="32"/>
      <w:szCs w:val="32"/>
    </w:rPr>
  </w:style>
  <w:style w:type="character" w:customStyle="1" w:styleId="Ttulo3Car">
    <w:name w:val="Título 3 Car"/>
    <w:basedOn w:val="Fuentedeprrafopredeter"/>
    <w:link w:val="Ttulo3"/>
    <w:uiPriority w:val="9"/>
    <w:semiHidden/>
    <w:rsid w:val="00126A6F"/>
    <w:rPr>
      <w:rFonts w:eastAsiaTheme="majorEastAsia" w:cstheme="majorBidi"/>
      <w:color w:val="2F5496" w:themeColor="accent1" w:themeShade="BF"/>
      <w:sz w:val="28"/>
      <w:szCs w:val="28"/>
    </w:rPr>
  </w:style>
  <w:style w:type="character" w:customStyle="1" w:styleId="Ttulo4Car">
    <w:name w:val="Título 4 Car"/>
    <w:basedOn w:val="Fuentedeprrafopredeter"/>
    <w:link w:val="Ttulo4"/>
    <w:uiPriority w:val="9"/>
    <w:semiHidden/>
    <w:rsid w:val="00126A6F"/>
    <w:rPr>
      <w:rFonts w:eastAsiaTheme="majorEastAsia" w:cstheme="majorBidi"/>
      <w:i/>
      <w:iCs/>
      <w:color w:val="2F5496" w:themeColor="accent1" w:themeShade="BF"/>
    </w:rPr>
  </w:style>
  <w:style w:type="character" w:customStyle="1" w:styleId="Ttulo5Car">
    <w:name w:val="Título 5 Car"/>
    <w:basedOn w:val="Fuentedeprrafopredeter"/>
    <w:link w:val="Ttulo5"/>
    <w:uiPriority w:val="9"/>
    <w:semiHidden/>
    <w:rsid w:val="00126A6F"/>
    <w:rPr>
      <w:rFonts w:eastAsiaTheme="majorEastAsia" w:cstheme="majorBidi"/>
      <w:color w:val="2F5496" w:themeColor="accent1" w:themeShade="BF"/>
    </w:rPr>
  </w:style>
  <w:style w:type="character" w:customStyle="1" w:styleId="Ttulo6Car">
    <w:name w:val="Título 6 Car"/>
    <w:basedOn w:val="Fuentedeprrafopredeter"/>
    <w:link w:val="Ttulo6"/>
    <w:uiPriority w:val="9"/>
    <w:semiHidden/>
    <w:rsid w:val="00126A6F"/>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126A6F"/>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126A6F"/>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126A6F"/>
    <w:rPr>
      <w:rFonts w:eastAsiaTheme="majorEastAsia" w:cstheme="majorBidi"/>
      <w:color w:val="272727" w:themeColor="text1" w:themeTint="D8"/>
    </w:rPr>
  </w:style>
  <w:style w:type="paragraph" w:styleId="Ttulo">
    <w:name w:val="Title"/>
    <w:basedOn w:val="Normal"/>
    <w:next w:val="Normal"/>
    <w:link w:val="TtuloCar"/>
    <w:uiPriority w:val="10"/>
    <w:qFormat/>
    <w:rsid w:val="00126A6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126A6F"/>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126A6F"/>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126A6F"/>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126A6F"/>
    <w:pPr>
      <w:spacing w:before="160"/>
      <w:jc w:val="center"/>
    </w:pPr>
    <w:rPr>
      <w:i/>
      <w:iCs/>
      <w:color w:val="404040" w:themeColor="text1" w:themeTint="BF"/>
    </w:rPr>
  </w:style>
  <w:style w:type="character" w:customStyle="1" w:styleId="CitaCar">
    <w:name w:val="Cita Car"/>
    <w:basedOn w:val="Fuentedeprrafopredeter"/>
    <w:link w:val="Cita"/>
    <w:uiPriority w:val="29"/>
    <w:rsid w:val="00126A6F"/>
    <w:rPr>
      <w:i/>
      <w:iCs/>
      <w:color w:val="404040" w:themeColor="text1" w:themeTint="BF"/>
    </w:rPr>
  </w:style>
  <w:style w:type="paragraph" w:styleId="Prrafodelista">
    <w:name w:val="List Paragraph"/>
    <w:basedOn w:val="Normal"/>
    <w:uiPriority w:val="34"/>
    <w:qFormat/>
    <w:rsid w:val="00126A6F"/>
    <w:pPr>
      <w:ind w:left="720"/>
      <w:contextualSpacing/>
    </w:pPr>
  </w:style>
  <w:style w:type="character" w:styleId="nfasisintenso">
    <w:name w:val="Intense Emphasis"/>
    <w:basedOn w:val="Fuentedeprrafopredeter"/>
    <w:uiPriority w:val="21"/>
    <w:qFormat/>
    <w:rsid w:val="00126A6F"/>
    <w:rPr>
      <w:i/>
      <w:iCs/>
      <w:color w:val="2F5496" w:themeColor="accent1" w:themeShade="BF"/>
    </w:rPr>
  </w:style>
  <w:style w:type="paragraph" w:styleId="Citadestacada">
    <w:name w:val="Intense Quote"/>
    <w:basedOn w:val="Normal"/>
    <w:next w:val="Normal"/>
    <w:link w:val="CitadestacadaCar"/>
    <w:uiPriority w:val="30"/>
    <w:qFormat/>
    <w:rsid w:val="00126A6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itadestacadaCar">
    <w:name w:val="Cita destacada Car"/>
    <w:basedOn w:val="Fuentedeprrafopredeter"/>
    <w:link w:val="Citadestacada"/>
    <w:uiPriority w:val="30"/>
    <w:rsid w:val="00126A6F"/>
    <w:rPr>
      <w:i/>
      <w:iCs/>
      <w:color w:val="2F5496" w:themeColor="accent1" w:themeShade="BF"/>
    </w:rPr>
  </w:style>
  <w:style w:type="character" w:styleId="Referenciaintensa">
    <w:name w:val="Intense Reference"/>
    <w:basedOn w:val="Fuentedeprrafopredeter"/>
    <w:uiPriority w:val="32"/>
    <w:qFormat/>
    <w:rsid w:val="00126A6F"/>
    <w:rPr>
      <w:b/>
      <w:bCs/>
      <w:smallCaps/>
      <w:color w:val="2F5496" w:themeColor="accent1" w:themeShade="BF"/>
      <w:spacing w:val="5"/>
    </w:rPr>
  </w:style>
  <w:style w:type="paragraph" w:styleId="Encabezado">
    <w:name w:val="header"/>
    <w:basedOn w:val="Normal"/>
    <w:link w:val="EncabezadoCar"/>
    <w:uiPriority w:val="99"/>
    <w:semiHidden/>
    <w:unhideWhenUsed/>
    <w:rsid w:val="00126A6F"/>
    <w:pPr>
      <w:tabs>
        <w:tab w:val="center" w:pos="4419"/>
        <w:tab w:val="right" w:pos="8838"/>
      </w:tabs>
      <w:spacing w:after="0" w:line="240" w:lineRule="auto"/>
    </w:pPr>
  </w:style>
  <w:style w:type="character" w:customStyle="1" w:styleId="EncabezadoCar">
    <w:name w:val="Encabezado Car"/>
    <w:basedOn w:val="Fuentedeprrafopredeter"/>
    <w:link w:val="Encabezado"/>
    <w:uiPriority w:val="99"/>
    <w:semiHidden/>
    <w:rsid w:val="00126A6F"/>
    <w:rPr>
      <w:kern w:val="0"/>
      <w14:ligatures w14:val="none"/>
    </w:rPr>
  </w:style>
  <w:style w:type="paragraph" w:styleId="Piedepgina">
    <w:name w:val="footer"/>
    <w:basedOn w:val="Normal"/>
    <w:link w:val="PiedepginaCar"/>
    <w:uiPriority w:val="99"/>
    <w:unhideWhenUsed/>
    <w:rsid w:val="00126A6F"/>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126A6F"/>
    <w:rPr>
      <w:kern w:val="0"/>
      <w14:ligatures w14:val="none"/>
    </w:rPr>
  </w:style>
  <w:style w:type="table" w:styleId="Tablaconcuadrcula">
    <w:name w:val="Table Grid"/>
    <w:basedOn w:val="Tablanormal"/>
    <w:uiPriority w:val="59"/>
    <w:rsid w:val="00126A6F"/>
    <w:pPr>
      <w:spacing w:after="0" w:line="240" w:lineRule="auto"/>
    </w:pPr>
    <w:rPr>
      <w:kern w:val="0"/>
      <w:lang w:val="es-E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5344210">
      <w:bodyDiv w:val="1"/>
      <w:marLeft w:val="0"/>
      <w:marRight w:val="0"/>
      <w:marTop w:val="0"/>
      <w:marBottom w:val="0"/>
      <w:divBdr>
        <w:top w:val="none" w:sz="0" w:space="0" w:color="auto"/>
        <w:left w:val="none" w:sz="0" w:space="0" w:color="auto"/>
        <w:bottom w:val="none" w:sz="0" w:space="0" w:color="auto"/>
        <w:right w:val="none" w:sz="0" w:space="0" w:color="auto"/>
      </w:divBdr>
    </w:div>
    <w:div w:id="483619336">
      <w:bodyDiv w:val="1"/>
      <w:marLeft w:val="0"/>
      <w:marRight w:val="0"/>
      <w:marTop w:val="0"/>
      <w:marBottom w:val="0"/>
      <w:divBdr>
        <w:top w:val="none" w:sz="0" w:space="0" w:color="auto"/>
        <w:left w:val="none" w:sz="0" w:space="0" w:color="auto"/>
        <w:bottom w:val="none" w:sz="0" w:space="0" w:color="auto"/>
        <w:right w:val="none" w:sz="0" w:space="0" w:color="auto"/>
      </w:divBdr>
    </w:div>
    <w:div w:id="655912370">
      <w:bodyDiv w:val="1"/>
      <w:marLeft w:val="0"/>
      <w:marRight w:val="0"/>
      <w:marTop w:val="0"/>
      <w:marBottom w:val="0"/>
      <w:divBdr>
        <w:top w:val="none" w:sz="0" w:space="0" w:color="auto"/>
        <w:left w:val="none" w:sz="0" w:space="0" w:color="auto"/>
        <w:bottom w:val="none" w:sz="0" w:space="0" w:color="auto"/>
        <w:right w:val="none" w:sz="0" w:space="0" w:color="auto"/>
      </w:divBdr>
    </w:div>
    <w:div w:id="7745907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10</Pages>
  <Words>2427</Words>
  <Characters>13354</Characters>
  <Application>Microsoft Office Word</Application>
  <DocSecurity>0</DocSecurity>
  <Lines>111</Lines>
  <Paragraphs>31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15750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IVAN PEÑA VARA</dc:creator>
  <cp:keywords/>
  <dc:description/>
  <cp:lastModifiedBy>inf03m_31@outlook.com</cp:lastModifiedBy>
  <cp:revision>2</cp:revision>
  <dcterms:created xsi:type="dcterms:W3CDTF">2025-05-01T01:29:00Z</dcterms:created>
  <dcterms:modified xsi:type="dcterms:W3CDTF">2025-05-06T17:31:00Z</dcterms:modified>
</cp:coreProperties>
</file>