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ind w:right="51"/>
        <w:jc w:val="both"/>
        <w:rPr>
          <w:rFonts w:ascii="Palatino Linotype" w:cs="Palatino Linotype" w:eastAsia="Palatino Linotype" w:hAnsi="Palatino Linotype"/>
          <w:b w:val="1"/>
        </w:rPr>
      </w:pPr>
      <w:bookmarkStart w:colFirst="0" w:colLast="0" w:name="_heading=h.gjdgxs" w:id="0"/>
      <w:bookmarkEnd w:id="0"/>
      <w:r w:rsidDel="00000000" w:rsidR="00000000" w:rsidRPr="00000000">
        <w:rPr>
          <w:rFonts w:ascii="Palatino Linotype" w:cs="Palatino Linotype" w:eastAsia="Palatino Linotype" w:hAnsi="Palatino Linotype"/>
          <w:b w:val="1"/>
          <w:rtl w:val="0"/>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DÉCIMA NOVENA SESIÓN ORDINARIA DEL VEINTIOCHO DE MAYO DE DOS MIL VEINTICINCO EN EL RECURSO DE REVISIÓN </w:t>
      </w:r>
      <w:r w:rsidDel="00000000" w:rsidR="00000000" w:rsidRPr="00000000">
        <w:rPr>
          <w:rFonts w:ascii="Palatino Linotype" w:cs="Palatino Linotype" w:eastAsia="Palatino Linotype" w:hAnsi="Palatino Linotype"/>
          <w:b w:val="1"/>
          <w:color w:val="000000"/>
          <w:rtl w:val="0"/>
        </w:rPr>
        <w:t xml:space="preserve">02789/INFOEM/IP/RR/2025</w:t>
      </w:r>
      <w:r w:rsidDel="00000000" w:rsidR="00000000" w:rsidRPr="00000000">
        <w:rPr>
          <w:rFonts w:ascii="Palatino Linotype" w:cs="Palatino Linotype" w:eastAsia="Palatino Linotype" w:hAnsi="Palatino Linotype"/>
          <w:b w:val="1"/>
          <w:rtl w:val="0"/>
        </w:rPr>
        <w:t xml:space="preserve">.</w:t>
      </w:r>
    </w:p>
    <w:p w:rsidR="00000000" w:rsidDel="00000000" w:rsidP="00000000" w:rsidRDefault="00000000" w:rsidRPr="00000000" w14:paraId="00000002">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 Pleno del Instituto de Transparencia, Acceso a la Información Pública y Protección de Datos Personales del Estado de México resolvió por unanimidad de votos, la Resolución relativa al Recurso de Revisión </w:t>
      </w:r>
      <w:r w:rsidDel="00000000" w:rsidR="00000000" w:rsidRPr="00000000">
        <w:rPr>
          <w:rFonts w:ascii="Palatino Linotype" w:cs="Palatino Linotype" w:eastAsia="Palatino Linotype" w:hAnsi="Palatino Linotype"/>
          <w:b w:val="1"/>
          <w:color w:val="000000"/>
          <w:rtl w:val="0"/>
        </w:rPr>
        <w:t xml:space="preserve">02789/INFOEM/IP/RR/2025</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respecto de la cual, quien suscribe, emite </w:t>
      </w:r>
      <w:r w:rsidDel="00000000" w:rsidR="00000000" w:rsidRPr="00000000">
        <w:rPr>
          <w:rFonts w:ascii="Palatino Linotype" w:cs="Palatino Linotype" w:eastAsia="Palatino Linotype" w:hAnsi="Palatino Linotype"/>
          <w:b w:val="1"/>
          <w:rtl w:val="0"/>
        </w:rPr>
        <w:t xml:space="preserve">VOTO PARTICULAR</w:t>
      </w:r>
      <w:r w:rsidDel="00000000" w:rsidR="00000000" w:rsidRPr="00000000">
        <w:rPr>
          <w:rFonts w:ascii="Palatino Linotype" w:cs="Palatino Linotype" w:eastAsia="Palatino Linotype" w:hAnsi="Palatino Linotype"/>
          <w:rtl w:val="0"/>
        </w:rPr>
        <w:t xml:space="preserve">,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000000" w:rsidDel="00000000" w:rsidP="00000000" w:rsidRDefault="00000000" w:rsidRPr="00000000" w14:paraId="00000003">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 respecto, resulta importante señalar que la resolución ha sido engrosada conforme al criterio mayoritario del Pleno de este Organismo Garante, no obstante, considero que, la información que ordena entregar contiene la conciliación de nómina del personal de seguridad pública que se encuentra adscrito a instituciones de seguridad pública con funciones operativas, por lo que deben tomarse en cuenta las consideraciones que a continuación se exponen:</w:t>
      </w:r>
    </w:p>
    <w:p w:rsidR="00000000" w:rsidDel="00000000" w:rsidP="00000000" w:rsidRDefault="00000000" w:rsidRPr="00000000" w14:paraId="00000004">
      <w:pPr>
        <w:spacing w:after="240" w:before="240" w:line="360" w:lineRule="auto"/>
        <w:ind w:right="51"/>
        <w:jc w:val="both"/>
        <w:rPr>
          <w:rFonts w:ascii="Palatino Linotype" w:cs="Palatino Linotype" w:eastAsia="Palatino Linotype" w:hAnsi="Palatino Linotype"/>
        </w:rPr>
      </w:pPr>
      <w:bookmarkStart w:colFirst="0" w:colLast="0" w:name="_heading=h.2et92p0" w:id="1"/>
      <w:bookmarkEnd w:id="1"/>
      <w:r w:rsidDel="00000000" w:rsidR="00000000" w:rsidRPr="00000000">
        <w:rPr>
          <w:rFonts w:ascii="Palatino Linotype" w:cs="Palatino Linotype" w:eastAsia="Palatino Linotype" w:hAnsi="Palatino Linotype"/>
          <w:rtl w:val="0"/>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sidDel="00000000" w:rsidR="00000000" w:rsidRPr="00000000">
        <w:rPr>
          <w:rFonts w:ascii="Palatino Linotype" w:cs="Palatino Linotype" w:eastAsia="Palatino Linotype" w:hAnsi="Palatino Linotype"/>
          <w:b w:val="1"/>
          <w:rtl w:val="0"/>
        </w:rPr>
        <w:t xml:space="preserve">los Municipios</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rtl w:val="0"/>
        </w:rPr>
        <w:t xml:space="preserve">cuyos fines son salvaguardar la vida, las libertades, la integridad y el patrimonio de las personas, así como contribuir a la generación y preservación del orden público y la paz social</w:t>
      </w: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05">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Asimismo, señala que la actuación de las instituciones de seguridad pública se regirá por los principios de legalidad, objetividad, eficiencia, profesionalismo, honradez y respeto a los derechos humanos.</w:t>
      </w:r>
    </w:p>
    <w:p w:rsidR="00000000" w:rsidDel="00000000" w:rsidP="00000000" w:rsidRDefault="00000000" w:rsidRPr="00000000" w14:paraId="00000006">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000000" w:rsidDel="00000000" w:rsidP="00000000" w:rsidRDefault="00000000" w:rsidRPr="00000000" w14:paraId="00000007">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000000" w:rsidDel="00000000" w:rsidP="00000000" w:rsidRDefault="00000000" w:rsidRPr="00000000" w14:paraId="00000008">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000000" w:rsidDel="00000000" w:rsidP="00000000" w:rsidRDefault="00000000" w:rsidRPr="00000000" w14:paraId="00000009">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000000" w:rsidDel="00000000" w:rsidP="00000000" w:rsidRDefault="00000000" w:rsidRPr="00000000" w14:paraId="0000000A">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sz w:val="20"/>
          <w:szCs w:val="20"/>
          <w:rtl w:val="0"/>
        </w:rPr>
        <w:t xml:space="preserve">“</w:t>
      </w:r>
      <w:r w:rsidDel="00000000" w:rsidR="00000000" w:rsidRPr="00000000">
        <w:rPr>
          <w:rFonts w:ascii="Palatino Linotype" w:cs="Palatino Linotype" w:eastAsia="Palatino Linotype" w:hAnsi="Palatino Linotype"/>
          <w:b w:val="1"/>
          <w:i w:val="1"/>
          <w:sz w:val="20"/>
          <w:szCs w:val="20"/>
          <w:rtl w:val="0"/>
        </w:rPr>
        <w:t xml:space="preserve">Artículo 81.-</w:t>
      </w:r>
      <w:r w:rsidDel="00000000" w:rsidR="00000000" w:rsidRPr="00000000">
        <w:rPr>
          <w:rFonts w:ascii="Palatino Linotype" w:cs="Palatino Linotype" w:eastAsia="Palatino Linotype" w:hAnsi="Palatino Linotype"/>
          <w:i w:val="1"/>
          <w:sz w:val="20"/>
          <w:szCs w:val="20"/>
          <w:rtl w:val="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000000" w:rsidDel="00000000" w:rsidP="00000000" w:rsidRDefault="00000000" w:rsidRPr="00000000" w14:paraId="0000000B">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sz w:val="20"/>
          <w:szCs w:val="20"/>
          <w:rtl w:val="0"/>
        </w:rPr>
        <w:t xml:space="preserve">…</w:t>
      </w:r>
    </w:p>
    <w:p w:rsidR="00000000" w:rsidDel="00000000" w:rsidP="00000000" w:rsidRDefault="00000000" w:rsidRPr="00000000" w14:paraId="0000000C">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b w:val="1"/>
          <w:i w:val="1"/>
          <w:sz w:val="20"/>
          <w:szCs w:val="20"/>
          <w:u w:val="single"/>
          <w:rtl w:val="0"/>
        </w:rPr>
        <w:t xml:space="preserve">II. Aquella cuya revelación pueda ser utilizada para actualizar o potenciar una amenaza a la seguridad pública o a las instituciones del Estado de México;</w:t>
      </w:r>
      <w:r w:rsidDel="00000000" w:rsidR="00000000" w:rsidRPr="00000000">
        <w:rPr>
          <w:rFonts w:ascii="Palatino Linotype" w:cs="Palatino Linotype" w:eastAsia="Palatino Linotype" w:hAnsi="Palatino Linotype"/>
          <w:b w:val="1"/>
          <w:i w:val="1"/>
          <w:sz w:val="20"/>
          <w:szCs w:val="20"/>
          <w:rtl w:val="0"/>
        </w:rPr>
        <w:t xml:space="preserve">” </w:t>
      </w:r>
      <w:r w:rsidDel="00000000" w:rsidR="00000000" w:rsidRPr="00000000">
        <w:rPr>
          <w:rtl w:val="0"/>
        </w:rPr>
      </w:r>
    </w:p>
    <w:p w:rsidR="00000000" w:rsidDel="00000000" w:rsidP="00000000" w:rsidRDefault="00000000" w:rsidRPr="00000000" w14:paraId="0000000D">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armonía con esta disposición normativa, la Ley General de Transparencia y Acceso a la Información Pública vigente a la fecha de la solicitud,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000000" w:rsidDel="00000000" w:rsidP="00000000" w:rsidRDefault="00000000" w:rsidRPr="00000000" w14:paraId="0000000E">
      <w:pPr>
        <w:spacing w:after="120" w:before="120" w:line="276" w:lineRule="auto"/>
        <w:ind w:left="567" w:right="618" w:firstLine="0"/>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“Ley General de Transparencia y Acceso a la Información Pública:</w:t>
      </w:r>
    </w:p>
    <w:p w:rsidR="00000000" w:rsidDel="00000000" w:rsidP="00000000" w:rsidRDefault="00000000" w:rsidRPr="00000000" w14:paraId="0000000F">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b w:val="1"/>
          <w:i w:val="1"/>
          <w:sz w:val="20"/>
          <w:szCs w:val="20"/>
          <w:rtl w:val="0"/>
        </w:rPr>
        <w:t xml:space="preserve">Artículo 113</w:t>
      </w:r>
      <w:r w:rsidDel="00000000" w:rsidR="00000000" w:rsidRPr="00000000">
        <w:rPr>
          <w:rFonts w:ascii="Palatino Linotype" w:cs="Palatino Linotype" w:eastAsia="Palatino Linotype" w:hAnsi="Palatino Linotype"/>
          <w:i w:val="1"/>
          <w:sz w:val="20"/>
          <w:szCs w:val="20"/>
          <w:rtl w:val="0"/>
        </w:rPr>
        <w:t xml:space="preserve">. Como información reservada podrá clasificarse aquella cuya publicación:</w:t>
      </w:r>
    </w:p>
    <w:p w:rsidR="00000000" w:rsidDel="00000000" w:rsidP="00000000" w:rsidRDefault="00000000" w:rsidRPr="00000000" w14:paraId="00000010">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b w:val="1"/>
          <w:i w:val="1"/>
          <w:sz w:val="20"/>
          <w:szCs w:val="20"/>
          <w:rtl w:val="0"/>
        </w:rPr>
        <w:t xml:space="preserve">I. Comprometa la seguridad nacional, la seguridad pública o la defensa nacional y cuente con un propósito genuino y un efecto demostrable</w:t>
      </w:r>
      <w:r w:rsidDel="00000000" w:rsidR="00000000" w:rsidRPr="00000000">
        <w:rPr>
          <w:rFonts w:ascii="Palatino Linotype" w:cs="Palatino Linotype" w:eastAsia="Palatino Linotype" w:hAnsi="Palatino Linotype"/>
          <w:i w:val="1"/>
          <w:sz w:val="20"/>
          <w:szCs w:val="20"/>
          <w:rtl w:val="0"/>
        </w:rPr>
        <w:t xml:space="preserve">;”</w:t>
      </w:r>
    </w:p>
    <w:p w:rsidR="00000000" w:rsidDel="00000000" w:rsidP="00000000" w:rsidRDefault="00000000" w:rsidRPr="00000000" w14:paraId="00000011">
      <w:pPr>
        <w:spacing w:after="120" w:before="120" w:line="276" w:lineRule="auto"/>
        <w:ind w:left="567" w:right="618" w:firstLine="0"/>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“Ley de Transparencia y Acceso a la Información Pública del Estado de México y Municipios: </w:t>
      </w:r>
    </w:p>
    <w:p w:rsidR="00000000" w:rsidDel="00000000" w:rsidP="00000000" w:rsidRDefault="00000000" w:rsidRPr="00000000" w14:paraId="00000012">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b w:val="1"/>
          <w:i w:val="1"/>
          <w:sz w:val="20"/>
          <w:szCs w:val="20"/>
          <w:rtl w:val="0"/>
        </w:rPr>
        <w:t xml:space="preserve">Artículo 140</w:t>
      </w:r>
      <w:r w:rsidDel="00000000" w:rsidR="00000000" w:rsidRPr="00000000">
        <w:rPr>
          <w:rFonts w:ascii="Palatino Linotype" w:cs="Palatino Linotype" w:eastAsia="Palatino Linotype" w:hAnsi="Palatino Linotype"/>
          <w:i w:val="1"/>
          <w:sz w:val="20"/>
          <w:szCs w:val="20"/>
          <w:rtl w:val="0"/>
        </w:rPr>
        <w:t xml:space="preserve">. El acceso a la información pública será restringido excepcionalmente, cuando por razones de interés público, ésta sea clasificada como reservada, conforme a los criterios siguientes:</w:t>
      </w:r>
    </w:p>
    <w:p w:rsidR="00000000" w:rsidDel="00000000" w:rsidP="00000000" w:rsidRDefault="00000000" w:rsidRPr="00000000" w14:paraId="00000013">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b w:val="1"/>
          <w:i w:val="1"/>
          <w:sz w:val="20"/>
          <w:szCs w:val="20"/>
          <w:rtl w:val="0"/>
        </w:rPr>
        <w:t xml:space="preserve">I. Comprometa la seguridad pública y cuente con un propósito genuino y un efecto demostrable</w:t>
      </w:r>
      <w:r w:rsidDel="00000000" w:rsidR="00000000" w:rsidRPr="00000000">
        <w:rPr>
          <w:rFonts w:ascii="Palatino Linotype" w:cs="Palatino Linotype" w:eastAsia="Palatino Linotype" w:hAnsi="Palatino Linotype"/>
          <w:i w:val="1"/>
          <w:sz w:val="20"/>
          <w:szCs w:val="20"/>
          <w:rtl w:val="0"/>
        </w:rPr>
        <w:t xml:space="preserve">…”</w:t>
      </w:r>
    </w:p>
    <w:p w:rsidR="00000000" w:rsidDel="00000000" w:rsidP="00000000" w:rsidRDefault="00000000" w:rsidRPr="00000000" w14:paraId="00000014">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Correlativo a lo anterior, Lineamientos Generales en Materia de Clasificación y Desclasificación de la Información, así como para la Elaboración de Versiones Públicas, publicados el 16 de abril de 2016 y reformados el 18 de noviembre de 2022, vigentes a la fecha de la solicitud,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000000" w:rsidDel="00000000" w:rsidP="00000000" w:rsidRDefault="00000000" w:rsidRPr="00000000" w14:paraId="00000015">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crucial señalar que estos Lineamientos señalan </w:t>
      </w:r>
      <w:r w:rsidDel="00000000" w:rsidR="00000000" w:rsidRPr="00000000">
        <w:rPr>
          <w:rFonts w:ascii="Palatino Linotype" w:cs="Palatino Linotype" w:eastAsia="Palatino Linotype" w:hAnsi="Palatino Linotype"/>
          <w:b w:val="1"/>
          <w:u w:val="single"/>
          <w:rtl w:val="0"/>
        </w:rPr>
        <w:t xml:space="preserve">que es susceptible de considerarse como reservada aquella que revele datos que pudieran ser aprovechados para conocer la capacidad de reacción de las instituciones encargadas de la seguridad pública</w:t>
      </w:r>
      <w:r w:rsidDel="00000000" w:rsidR="00000000" w:rsidRPr="00000000">
        <w:rPr>
          <w:rFonts w:ascii="Palatino Linotype" w:cs="Palatino Linotype" w:eastAsia="Palatino Linotype" w:hAnsi="Palatino Linotype"/>
          <w:rtl w:val="0"/>
        </w:rPr>
        <w:t xml:space="preserve">, sus planes, estrategias, tecnología, información, sistemas de comunicaciones.</w:t>
      </w:r>
    </w:p>
    <w:p w:rsidR="00000000" w:rsidDel="00000000" w:rsidP="00000000" w:rsidRDefault="00000000" w:rsidRPr="00000000" w14:paraId="00000016">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000000" w:rsidDel="00000000" w:rsidP="00000000" w:rsidRDefault="00000000" w:rsidRPr="00000000" w14:paraId="00000017">
      <w:pPr>
        <w:spacing w:after="240" w:before="240" w:line="360" w:lineRule="auto"/>
        <w:ind w:right="49"/>
        <w:jc w:val="both"/>
        <w:rPr>
          <w:rFonts w:ascii="Palatino Linotype" w:cs="Palatino Linotype" w:eastAsia="Palatino Linotype" w:hAnsi="Palatino Linotype"/>
        </w:rPr>
      </w:pPr>
      <w:bookmarkStart w:colFirst="0" w:colLast="0" w:name="_heading=h.3znysh7" w:id="2"/>
      <w:bookmarkEnd w:id="2"/>
      <w:r w:rsidDel="00000000" w:rsidR="00000000" w:rsidRPr="00000000">
        <w:rPr>
          <w:rFonts w:ascii="Palatino Linotype" w:cs="Palatino Linotype" w:eastAsia="Palatino Linotype" w:hAnsi="Palatino Linotype"/>
          <w:rtl w:val="0"/>
        </w:rPr>
        <w:t xml:space="preserve">En conclusión, la reserva del personal operativo procede por dos circunstancias:</w:t>
      </w:r>
    </w:p>
    <w:p w:rsidR="00000000" w:rsidDel="00000000" w:rsidP="00000000" w:rsidRDefault="00000000" w:rsidRPr="00000000" w14:paraId="00000018">
      <w:pPr>
        <w:spacing w:after="240" w:before="240" w:line="360" w:lineRule="auto"/>
        <w:ind w:left="284" w:right="49"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1. Se identifica en términos concretos cómo es que la información requerida podría comprometer el ejercicio de sus facultades constitucionales y, con ello, la seguridad pública, en virtud de que: </w:t>
      </w:r>
    </w:p>
    <w:p w:rsidR="00000000" w:rsidDel="00000000" w:rsidP="00000000" w:rsidRDefault="00000000" w:rsidRPr="00000000" w14:paraId="00000019">
      <w:pPr>
        <w:spacing w:after="240" w:before="240" w:line="360" w:lineRule="auto"/>
        <w:ind w:left="567" w:right="49"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La información podría ser aprovechada por los grupos criminales para conocer la capacidad de reacción </w:t>
      </w:r>
    </w:p>
    <w:p w:rsidR="00000000" w:rsidDel="00000000" w:rsidP="00000000" w:rsidRDefault="00000000" w:rsidRPr="00000000" w14:paraId="0000001A">
      <w:pPr>
        <w:spacing w:after="240" w:before="240" w:line="360" w:lineRule="auto"/>
        <w:ind w:left="567" w:right="49" w:firstLine="0"/>
        <w:jc w:val="both"/>
        <w:rPr>
          <w:rFonts w:ascii="Palatino Linotype" w:cs="Palatino Linotype" w:eastAsia="Palatino Linotype" w:hAnsi="Palatino Linotype"/>
        </w:rPr>
      </w:pPr>
      <w:bookmarkStart w:colFirst="0" w:colLast="0" w:name="_heading=h.1fob9te" w:id="3"/>
      <w:bookmarkEnd w:id="3"/>
      <w:r w:rsidDel="00000000" w:rsidR="00000000" w:rsidRPr="00000000">
        <w:rPr>
          <w:rFonts w:ascii="Palatino Linotype" w:cs="Palatino Linotype" w:eastAsia="Palatino Linotype" w:hAnsi="Palatino Linotype"/>
          <w:rtl w:val="0"/>
        </w:rPr>
        <w:t xml:space="preserve">b) Con dicha información se revelarían a detalle las características funcionales del personal y con ello, su organización para el cumplimiento de sus funciones; y </w:t>
      </w:r>
    </w:p>
    <w:p w:rsidR="00000000" w:rsidDel="00000000" w:rsidP="00000000" w:rsidRDefault="00000000" w:rsidRPr="00000000" w14:paraId="0000001B">
      <w:pPr>
        <w:spacing w:after="240" w:before="240" w:line="360" w:lineRule="auto"/>
        <w:ind w:left="284" w:right="49"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rsidR="00000000" w:rsidDel="00000000" w:rsidP="00000000" w:rsidRDefault="00000000" w:rsidRPr="00000000" w14:paraId="0000001C">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lo tanto, entre mayor información se dé a conocer respecto del </w:t>
      </w:r>
      <w:r w:rsidDel="00000000" w:rsidR="00000000" w:rsidRPr="00000000">
        <w:rPr>
          <w:rFonts w:ascii="Palatino Linotype" w:cs="Palatino Linotype" w:eastAsia="Palatino Linotype" w:hAnsi="Palatino Linotype"/>
          <w:b w:val="1"/>
          <w:i w:val="1"/>
          <w:rtl w:val="0"/>
        </w:rPr>
        <w:t xml:space="preserve">estado de fuerza </w:t>
      </w:r>
      <w:r w:rsidDel="00000000" w:rsidR="00000000" w:rsidRPr="00000000">
        <w:rPr>
          <w:rFonts w:ascii="Palatino Linotype" w:cs="Palatino Linotype" w:eastAsia="Palatino Linotype" w:hAnsi="Palatino Linotype"/>
          <w:rtl w:val="0"/>
        </w:rPr>
        <w:t xml:space="preserve">con que cuentan el Estado y Municipios, mayor es la probabilidad de que la información pueda implementarse como medio para actualizar o potenciar una amenaza en contra de la seguridad pública de los mismos.</w:t>
      </w:r>
    </w:p>
    <w:p w:rsidR="00000000" w:rsidDel="00000000" w:rsidP="00000000" w:rsidRDefault="00000000" w:rsidRPr="00000000" w14:paraId="0000001D">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000000" w:rsidDel="00000000" w:rsidP="00000000" w:rsidRDefault="00000000" w:rsidRPr="00000000" w14:paraId="0000001E">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rsidR="00000000" w:rsidDel="00000000" w:rsidP="00000000" w:rsidRDefault="00000000" w:rsidRPr="00000000" w14:paraId="0000001F">
      <w:pPr>
        <w:spacing w:after="0" w:line="360" w:lineRule="auto"/>
        <w:jc w:val="both"/>
        <w:rPr>
          <w:rFonts w:ascii="Palatino Linotype" w:cs="Palatino Linotype" w:eastAsia="Palatino Linotype" w:hAnsi="Palatino Linotype"/>
        </w:rPr>
      </w:pPr>
      <w:bookmarkStart w:colFirst="0" w:colLast="0" w:name="_heading=h.jkaxn8mgxy7q" w:id="4"/>
      <w:bookmarkEnd w:id="4"/>
      <w:r w:rsidDel="00000000" w:rsidR="00000000" w:rsidRPr="00000000">
        <w:rPr>
          <w:rFonts w:ascii="Palatino Linotype" w:cs="Palatino Linotype" w:eastAsia="Palatino Linotype" w:hAnsi="Palatino Linotype"/>
          <w:rtl w:val="0"/>
        </w:rPr>
        <w:t xml:space="preserve">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Instructivo del módulo 4 para la entrega del informe trimestral vigente, en dicho documento obran los siguientes elementos:</w:t>
      </w:r>
    </w:p>
    <w:p w:rsidR="00000000" w:rsidDel="00000000" w:rsidP="00000000" w:rsidRDefault="00000000" w:rsidRPr="00000000" w14:paraId="00000020">
      <w:pPr>
        <w:spacing w:after="0" w:line="36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Pr>
        <w:drawing>
          <wp:inline distB="0" distT="0" distL="0" distR="0">
            <wp:extent cx="5744391" cy="5334168"/>
            <wp:effectExtent b="3175" l="3175" r="3175" t="3175"/>
            <wp:docPr id="24" name="image3.png"/>
            <a:graphic>
              <a:graphicData uri="http://schemas.openxmlformats.org/drawingml/2006/picture">
                <pic:pic>
                  <pic:nvPicPr>
                    <pic:cNvPr id="0" name="image3.png"/>
                    <pic:cNvPicPr preferRelativeResize="0"/>
                  </pic:nvPicPr>
                  <pic:blipFill>
                    <a:blip r:embed="rId7"/>
                    <a:srcRect b="0" l="0" r="0" t="9962"/>
                    <a:stretch>
                      <a:fillRect/>
                    </a:stretch>
                  </pic:blipFill>
                  <pic:spPr>
                    <a:xfrm>
                      <a:off x="0" y="0"/>
                      <a:ext cx="5744391" cy="5334168"/>
                    </a:xfrm>
                    <a:prstGeom prst="rect"/>
                    <a:ln w="31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1">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2">
      <w:pPr>
        <w:spacing w:after="0" w:line="36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Pr>
        <w:drawing>
          <wp:inline distB="0" distT="0" distL="0" distR="0">
            <wp:extent cx="5633877" cy="4785428"/>
            <wp:effectExtent b="3175" l="3175" r="3175" t="3175"/>
            <wp:docPr id="2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33877" cy="4785428"/>
                    </a:xfrm>
                    <a:prstGeom prst="rect"/>
                    <a:ln w="31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3">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rsidR="00000000" w:rsidDel="00000000" w:rsidP="00000000" w:rsidRDefault="00000000" w:rsidRPr="00000000" w14:paraId="00000024">
      <w:pPr>
        <w:tabs>
          <w:tab w:val="left" w:leader="none" w:pos="851"/>
        </w:tabs>
        <w:spacing w:after="240" w:before="240" w:line="360" w:lineRule="auto"/>
        <w:ind w:right="49"/>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sidDel="00000000" w:rsidR="00000000" w:rsidRPr="00000000">
        <w:rPr>
          <w:rFonts w:ascii="Palatino Linotype" w:cs="Palatino Linotype" w:eastAsia="Palatino Linotype" w:hAnsi="Palatino Linotype"/>
          <w:b w:val="1"/>
          <w:u w:val="single"/>
          <w:rtl w:val="0"/>
        </w:rPr>
        <w:t xml:space="preserve">facilitaría a las células delictivas el neutralizar las acciones implementadas o por implementar para la preservación de la paz pública, afectando así su estado de fuerza, o bien les permita </w:t>
      </w:r>
      <w:r w:rsidDel="00000000" w:rsidR="00000000" w:rsidRPr="00000000">
        <w:rPr>
          <w:rFonts w:ascii="Palatino Linotype" w:cs="Palatino Linotype" w:eastAsia="Palatino Linotype" w:hAnsi="Palatino Linotype"/>
          <w:rtl w:val="0"/>
        </w:rPr>
        <w:t xml:space="preserve">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w:t>
      </w:r>
      <w:r w:rsidDel="00000000" w:rsidR="00000000" w:rsidRPr="00000000">
        <w:rPr>
          <w:rtl w:val="0"/>
        </w:rPr>
      </w:r>
    </w:p>
    <w:p w:rsidR="00000000" w:rsidDel="00000000" w:rsidP="00000000" w:rsidRDefault="00000000" w:rsidRPr="00000000" w14:paraId="00000025">
      <w:pPr>
        <w:spacing w:after="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otra parte, el presente voto se formula también en relación a que la información que se ordena contiene documentos donde consta o se puede advertir el número de placas de los vehículos oficiales del Sujeto Obligado.</w:t>
      </w:r>
    </w:p>
    <w:p w:rsidR="00000000" w:rsidDel="00000000" w:rsidP="00000000" w:rsidRDefault="00000000" w:rsidRPr="00000000" w14:paraId="00000026">
      <w:pPr>
        <w:spacing w:after="0" w:line="360" w:lineRule="auto"/>
        <w:ind w:right="4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7">
      <w:pPr>
        <w:spacing w:after="0" w:line="360" w:lineRule="auto"/>
        <w:ind w:right="140"/>
        <w:jc w:val="both"/>
        <w:rPr>
          <w:rFonts w:ascii="Palatino Linotype" w:cs="Palatino Linotype" w:eastAsia="Palatino Linotype" w:hAnsi="Palatino Linotype"/>
          <w:b w:val="1"/>
          <w:u w:val="single"/>
        </w:rPr>
      </w:pPr>
      <w:bookmarkStart w:colFirst="0" w:colLast="0" w:name="_heading=h.1wfw07ww7niu" w:id="5"/>
      <w:bookmarkEnd w:id="5"/>
      <w:r w:rsidDel="00000000" w:rsidR="00000000" w:rsidRPr="00000000">
        <w:rPr>
          <w:rFonts w:ascii="Palatino Linotype" w:cs="Palatino Linotype" w:eastAsia="Palatino Linotype" w:hAnsi="Palatino Linotype"/>
          <w:rtl w:val="0"/>
        </w:rPr>
        <w:t xml:space="preserve">Sobre este rubro, se debió considerar en el estudio que, </w:t>
      </w:r>
      <w:r w:rsidDel="00000000" w:rsidR="00000000" w:rsidRPr="00000000">
        <w:rPr>
          <w:rFonts w:ascii="Palatino Linotype" w:cs="Palatino Linotype" w:eastAsia="Palatino Linotype" w:hAnsi="Palatino Linotype"/>
          <w:color w:val="000000"/>
          <w:rtl w:val="0"/>
        </w:rPr>
        <w:t xml:space="preserve">toda vez que los </w:t>
      </w:r>
      <w:r w:rsidDel="00000000" w:rsidR="00000000" w:rsidRPr="00000000">
        <w:rPr>
          <w:rFonts w:ascii="Palatino Linotype" w:cs="Palatino Linotype" w:eastAsia="Palatino Linotype" w:hAnsi="Palatino Linotype"/>
          <w:rtl w:val="0"/>
        </w:rPr>
        <w:t xml:space="preserve">documentos de los cuales se ordena la entrega contienen el número de placas de los vehículos asignados al personal del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debe clasificarse como información reservada;</w:t>
      </w:r>
      <w:r w:rsidDel="00000000" w:rsidR="00000000" w:rsidRPr="00000000">
        <w:rPr>
          <w:rFonts w:ascii="Palatino Linotype" w:cs="Palatino Linotype" w:eastAsia="Palatino Linotype" w:hAnsi="Palatino Linotype"/>
          <w:b w:val="1"/>
          <w:u w:val="single"/>
          <w:rtl w:val="0"/>
        </w:rPr>
        <w:t xml:space="preserve"> lo anterior, si se </w:t>
      </w:r>
      <w:r w:rsidDel="00000000" w:rsidR="00000000" w:rsidRPr="00000000">
        <w:rPr>
          <w:rFonts w:ascii="Palatino Linotype" w:cs="Palatino Linotype" w:eastAsia="Palatino Linotype" w:hAnsi="Palatino Linotype"/>
          <w:b w:val="1"/>
          <w:color w:val="000000"/>
          <w:u w:val="single"/>
          <w:rtl w:val="0"/>
        </w:rPr>
        <w:t xml:space="preserve">vincula</w:t>
      </w:r>
      <w:r w:rsidDel="00000000" w:rsidR="00000000" w:rsidRPr="00000000">
        <w:rPr>
          <w:rFonts w:ascii="Palatino Linotype" w:cs="Palatino Linotype" w:eastAsia="Palatino Linotype" w:hAnsi="Palatino Linotype"/>
          <w:b w:val="1"/>
          <w:u w:val="single"/>
          <w:rtl w:val="0"/>
        </w:rPr>
        <w:t xml:space="preserve">n con el nombre del servidor público que lo tiene bajo su uso.</w:t>
      </w:r>
    </w:p>
    <w:p w:rsidR="00000000" w:rsidDel="00000000" w:rsidP="00000000" w:rsidRDefault="00000000" w:rsidRPr="00000000" w14:paraId="00000028">
      <w:pPr>
        <w:spacing w:after="0" w:line="360" w:lineRule="auto"/>
        <w:ind w:right="14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9">
      <w:pPr>
        <w:spacing w:after="0" w:line="360" w:lineRule="auto"/>
        <w:ind w:right="13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ese sentido, se considera que toda vez, que los datos de identificación de los vehículos, concretamente respecto del número de placas vinculado con el nombre del servidor público que lo tiene bajo su uso, se trata de información que hace plenamente identificable a un vehículo, siendo altamente posible identificar también a sus tripulantes. </w:t>
      </w:r>
    </w:p>
    <w:p w:rsidR="00000000" w:rsidDel="00000000" w:rsidP="00000000" w:rsidRDefault="00000000" w:rsidRPr="00000000" w14:paraId="0000002A">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Lo anterior, conforme a lo establecido en la Ley de Transparencia y Acceso a la Información Pública del Estado de México y Municipios, ya que prevé que la clasificación de la información es el proceso mediante el cual el Sujeto Obligado determina que la información en su poder, actualiza alguno de los supuestos de reserva o confidencialidad.</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el entendido de que la clasificación de la información se llevará a cabo en el momento en que se reciba una solicitud de acceso a la información, se determine mediante resolución de autoridad competente o se generen versiones públicas para dar cumplimiento a las obligaciones de transparencia previstas en la ley.</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Así, excepcionalmente por razones de interés público, se clasificará como reservada aquella información pública que encuadre en alguno de los supuestos previstos en el artículo 140 de la Ley de la materia, y que para el caso concreto se actualiza el previsto en la fracción IV, esto es ponga en riesgo la vida, seguridad o la salud de una persona física.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tanto que se clasificará como información confidencial, entre otras y atendiendo al caso que nos ocupa, la información privada, datos personales concernientes a una persona física o jurídico colectiva identificada o identificable.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 acuerdo con lo anterior y conforme a las actuaciones que integran el expediente electrónico, la</w:t>
      </w:r>
      <w:r w:rsidDel="00000000" w:rsidR="00000000" w:rsidRPr="00000000">
        <w:rPr>
          <w:rFonts w:ascii="Palatino Linotype" w:cs="Palatino Linotype" w:eastAsia="Palatino Linotype" w:hAnsi="Palatino Linotype"/>
          <w:rtl w:val="0"/>
        </w:rPr>
        <w:t xml:space="preserve"> información  que se ordena entregar puede contener información como las bitácoras o registros de gastos y montes de gastos, incluido el de combustible, asignados a los vehículos oficiales, ya que son documentos que amparan gastos y pueden integrar el informe trimestral que se remite al OSFEM y, a su vez,</w:t>
      </w:r>
      <w:r w:rsidDel="00000000" w:rsidR="00000000" w:rsidRPr="00000000">
        <w:rPr>
          <w:rFonts w:ascii="Palatino Linotype" w:cs="Palatino Linotype" w:eastAsia="Palatino Linotype" w:hAnsi="Palatino Linotype"/>
          <w:rtl w:val="0"/>
        </w:rPr>
        <w:t xml:space="preserve"> contener datos de identificación de las unidades que son utilizadas por servidores públicos adscritos al Sujeto Obligado para el desarrollo de sus funciones; información que a criterio de la mayoría de los integrantes del Pleno, se trata de datos que deben dejarse visibles; por lo que, no se pronunció al respecto.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de precisar que, considero que el número de placas es susceptible de reservase sí se vincula con el nombre del servidor público que lo tiene bajo su uso, toda vez que los vehículos, son utilizados para el desarrollo de las actividades de los servidores públicos, a diferencia de cualquier otro vehículo utilitario, en ellos asisten a eventos públicos derivados de sus funciones y se trasladan de sus oficinas a sus domicilios.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rtl w:val="0"/>
        </w:rPr>
        <w:t xml:space="preserve">Por lo que, proporcionar la información de identificación de un vehículo como el número de placas sí se vincula con el nombre del servidor público que lo tiene bajo su uso, </w:t>
      </w:r>
      <w:r w:rsidDel="00000000" w:rsidR="00000000" w:rsidRPr="00000000">
        <w:rPr>
          <w:rFonts w:ascii="Palatino Linotype" w:cs="Palatino Linotype" w:eastAsia="Palatino Linotype" w:hAnsi="Palatino Linotype"/>
          <w:b w:val="1"/>
          <w:u w:val="single"/>
          <w:rtl w:val="0"/>
        </w:rPr>
        <w:t xml:space="preserve">aun perteneciendo al servicio público, atenta contra la seguridad del personal que en ellos se trasladan; incluso, se pone en riesgo a su familia, al vulnerar su esfera privada.</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Aunado a las condiciones socioeconómicas por las que atraviesa el país, en el que han proliferado grupos delictivos, que pudieran utilizar esa información para vulnerar la vida, seguridad o salud de dicho funcionario, de sus familias o entorno social, aumentando, incluso, el riesgo de que personas ajenas a los intereses institucionales intenten realizar actos para inhibir o entrometerse en la función pública, situación que puede corroborarse con la incidencia delictiva, que publica el Secretariado Ejecutivo del Sistema Nacional de Seguridad Pública, en el que en lo toral éste concentra la ocurrencia de delitos registrados en Carpetas de Investigación, reportadas por las Procuradurías de Justicia y las Fiscalías Generales de las entidades federativas, en el caso del fuero común y la Fiscalía General de la República en el fuero federal.</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Sirve de apoyo a lo anterior, el Criterio 9/2008 que sustenta por unanimidad de votos, el Comité de Acceso a la Información y de Protección de Datos Personales de la Suprema Corte de Justicia de la Nación, que cuenta con el siguiente rubro </w:t>
      </w:r>
      <w:r w:rsidDel="00000000" w:rsidR="00000000" w:rsidRPr="00000000">
        <w:rPr>
          <w:rFonts w:ascii="Palatino Linotype" w:cs="Palatino Linotype" w:eastAsia="Palatino Linotype" w:hAnsi="Palatino Linotype"/>
          <w:b w:val="1"/>
          <w:rtl w:val="0"/>
        </w:rPr>
        <w:t xml:space="preserve">SERVIDORES PÚBLICOS DE LA SUPREMA CORTE DE JUSTICIA DE LA NACIÓN. LA INFORMACIÓN RELATIVA A LOS VEHÍCULOS QUE LES SON ASIGNADOS ES PÚBLICA SALVO POR LO QUE SE REFIERE A LOS DATOS QUE PERMITAN IDENTIFICAR CUÁL CORRESPONDE A CADA UNO DE ELLOS, </w:t>
      </w:r>
      <w:r w:rsidDel="00000000" w:rsidR="00000000" w:rsidRPr="00000000">
        <w:rPr>
          <w:rFonts w:ascii="Palatino Linotype" w:cs="Palatino Linotype" w:eastAsia="Palatino Linotype" w:hAnsi="Palatino Linotype"/>
          <w:rtl w:val="0"/>
        </w:rPr>
        <w:t xml:space="preserve">la cual señala:</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76" w:lineRule="auto"/>
        <w:ind w:left="567" w:right="61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“La asignación de vehículos a los servidores públicos de la Suprema Corte de Justicia de la Nación constituye un apoyo que se otorga para coadyuvar en el desempeño de sus funciones y cumplimiento de sus responsabilidades; además, tal apoyo se sujeta al presupuesto autorizado y se ejerce en afectación al mismo. En este sentido, los registros administrativos en que consten los datos inherentes a la asignación de vehículos a dichos servidores públicos (marcas y modelos de autos asignados, así como las fechas de asignación y el kilometraje registrado al momento de la misma), en razón del ejercicio de su cargo, son públicos, en términos de lo dispuesto en los artículos 2° y 7°, fracciones IV y IX, de la Ley Federal de Transparencia y Acceso a la Información Pública Gubernamental. No obstante, </w:t>
      </w:r>
      <w:r w:rsidDel="00000000" w:rsidR="00000000" w:rsidRPr="00000000">
        <w:rPr>
          <w:rFonts w:ascii="Palatino Linotype" w:cs="Palatino Linotype" w:eastAsia="Palatino Linotype" w:hAnsi="Palatino Linotype"/>
          <w:b w:val="1"/>
          <w:i w:val="1"/>
          <w:rtl w:val="0"/>
        </w:rPr>
        <w:t xml:space="preserve">la naturaleza pública de esta información no debe entenderse de manera absoluta, ya que encuentra su excepción respecto del dato consistente en el nombre de los mencionados servidores públicos, pues al relacionarse con los datos del vehículo o vehículos de su asignación, constituye un dato relevante y trascendente en su vida privada, pues los autos que se les otorgan son usados por ellos en apoyo del ejercicio de sus funciones y responsabilidades, las cuales pueden desarrollarse conjuntamente con sus actividades personales y/o privadas</w:t>
      </w:r>
      <w:r w:rsidDel="00000000" w:rsidR="00000000" w:rsidRPr="00000000">
        <w:rPr>
          <w:rFonts w:ascii="Palatino Linotype" w:cs="Palatino Linotype" w:eastAsia="Palatino Linotype" w:hAnsi="Palatino Linotype"/>
          <w:i w:val="1"/>
          <w:rtl w:val="0"/>
        </w:rPr>
        <w:t xml:space="preserve">. Por lo tanto, el dato de su nombre relacionado con el de los vehículos de su asignación constituye un dato personal que trasciende a su vida privada que debe ser objeto de protección, ya que su difusión pondría en riesgo el derecho fundamental a la vida privada.”</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76" w:lineRule="auto"/>
        <w:ind w:left="567" w:right="618"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Del criterio en cita, se advierte que no debe proporcionarse el número de placa de los vehículos oficiales que utilizan los servidores públicos si se vincula con el nombre del servidor público que lo tiene bajo su uso, por hacerlos identificables y trascender a su vida privada, garantizando con ello su protección.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bookmarkStart w:colFirst="0" w:colLast="0" w:name="_heading=h.3dy6vkm" w:id="6"/>
      <w:bookmarkEnd w:id="6"/>
      <w:r w:rsidDel="00000000" w:rsidR="00000000" w:rsidRPr="00000000">
        <w:rPr>
          <w:rFonts w:ascii="Palatino Linotype" w:cs="Palatino Linotype" w:eastAsia="Palatino Linotype" w:hAnsi="Palatino Linotype"/>
          <w:rtl w:val="0"/>
        </w:rPr>
        <w:t xml:space="preserve">Es por las razones expuestas se emite el presente Voto Particular, pues considero que es procedente la reserva del número de placas de los vehículos en aquellos casos en los que se vincule </w:t>
      </w:r>
      <w:r w:rsidDel="00000000" w:rsidR="00000000" w:rsidRPr="00000000">
        <w:rPr>
          <w:rFonts w:ascii="Palatino Linotype" w:cs="Palatino Linotype" w:eastAsia="Palatino Linotype" w:hAnsi="Palatino Linotype"/>
          <w:color w:val="000000"/>
          <w:rtl w:val="0"/>
        </w:rPr>
        <w:t xml:space="preserve">con el nombre del servidor público que lo tiene bajo su resguardo y uso,</w:t>
      </w:r>
      <w:r w:rsidDel="00000000" w:rsidR="00000000" w:rsidRPr="00000000">
        <w:rPr>
          <w:rFonts w:ascii="Palatino Linotype" w:cs="Palatino Linotype" w:eastAsia="Palatino Linotype" w:hAnsi="Palatino Linotype"/>
          <w:b w:val="1"/>
          <w:color w:val="000000"/>
          <w:rtl w:val="0"/>
        </w:rPr>
        <w:t xml:space="preserve"> </w:t>
      </w:r>
      <w:r w:rsidDel="00000000" w:rsidR="00000000" w:rsidRPr="00000000">
        <w:rPr>
          <w:rFonts w:ascii="Palatino Linotype" w:cs="Palatino Linotype" w:eastAsia="Palatino Linotype" w:hAnsi="Palatino Linotype"/>
          <w:rtl w:val="0"/>
        </w:rPr>
        <w:t xml:space="preserve">al corresponder con información que, por su naturaleza, trasciende en su vida privada, cuyo ámbito de protección es mucho más amplio, al ponderar los derechos que se protegen con la reserva, como la vida, integridad personal, el pleno ejercicio del servicio público, contra el acceso a la información de un particular, lo que resulta proporcional clasificar esta información.</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40" w:line="360" w:lineRule="auto"/>
        <w:ind w:right="13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por todo lo vertido en líneas anteriores la suscrita formula el presente </w:t>
      </w:r>
      <w:r w:rsidDel="00000000" w:rsidR="00000000" w:rsidRPr="00000000">
        <w:rPr>
          <w:rFonts w:ascii="Palatino Linotype" w:cs="Palatino Linotype" w:eastAsia="Palatino Linotype" w:hAnsi="Palatino Linotype"/>
          <w:b w:val="1"/>
          <w:rtl w:val="0"/>
        </w:rPr>
        <w:t xml:space="preserve">Voto Particular.</w:t>
      </w:r>
      <w:r w:rsidDel="00000000" w:rsidR="00000000" w:rsidRPr="00000000">
        <w:rPr>
          <w:rtl w:val="0"/>
        </w:rPr>
      </w:r>
    </w:p>
    <w:p w:rsidR="00000000" w:rsidDel="00000000" w:rsidP="00000000" w:rsidRDefault="00000000" w:rsidRPr="00000000" w14:paraId="00000044">
      <w:pPr>
        <w:tabs>
          <w:tab w:val="left" w:leader="none" w:pos="851"/>
        </w:tabs>
        <w:spacing w:after="240" w:before="240" w:line="360" w:lineRule="auto"/>
        <w:ind w:right="49"/>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8">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9">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A">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B">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C">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D">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E">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F">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0">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1">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2">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3">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4">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8">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9">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A">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B">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C">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D">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E">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F">
      <w:pPr>
        <w:tabs>
          <w:tab w:val="left" w:leader="none" w:pos="851"/>
        </w:tabs>
        <w:spacing w:after="0" w:line="240" w:lineRule="auto"/>
        <w:ind w:right="902"/>
        <w:jc w:val="both"/>
        <w:rPr>
          <w:rFonts w:ascii="Palatino Linotype" w:cs="Palatino Linotype" w:eastAsia="Palatino Linotype" w:hAnsi="Palatino Linotype"/>
          <w:i w:val="1"/>
        </w:rPr>
      </w:pPr>
      <w:bookmarkStart w:colFirst="0" w:colLast="0" w:name="_heading=h.30j0zll" w:id="7"/>
      <w:bookmarkEnd w:id="7"/>
      <w:r w:rsidDel="00000000" w:rsidR="00000000" w:rsidRPr="00000000">
        <w:rPr>
          <w:rtl w:val="0"/>
        </w:rPr>
      </w:r>
    </w:p>
    <w:p w:rsidR="00000000" w:rsidDel="00000000" w:rsidP="00000000" w:rsidRDefault="00000000" w:rsidRPr="00000000" w14:paraId="00000060">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1">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2">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3">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4">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8">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9">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A">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B">
      <w:pPr>
        <w:tabs>
          <w:tab w:val="left" w:leader="none" w:pos="709"/>
        </w:tabs>
        <w:spacing w:after="0" w:line="360" w:lineRule="auto"/>
        <w:jc w:val="both"/>
        <w:rPr>
          <w:rFonts w:ascii="Palatino Linotype" w:cs="Palatino Linotype" w:eastAsia="Palatino Linotype" w:hAnsi="Palatino Linotype"/>
          <w:b w:val="1"/>
        </w:rPr>
      </w:pPr>
      <w:r w:rsidDel="00000000" w:rsidR="00000000" w:rsidRPr="00000000">
        <w:rPr>
          <w:rtl w:val="0"/>
        </w:rPr>
      </w:r>
    </w:p>
    <w:sectPr>
      <w:headerReference r:id="rId9" w:type="default"/>
      <w:pgSz w:h="15840" w:w="12240" w:orient="portrait"/>
      <w:pgMar w:bottom="2552" w:top="1985" w:left="1701" w:right="1701" w:header="709" w:footer="5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line="276" w:lineRule="auto"/>
      <w:rPr>
        <w:rFonts w:ascii="Palatino Linotype" w:cs="Palatino Linotype" w:eastAsia="Palatino Linotype" w:hAnsi="Palatino Linotype"/>
        <w:b w:val="1"/>
      </w:rPr>
    </w:pPr>
    <w:r w:rsidDel="00000000" w:rsidR="00000000" w:rsidRPr="00000000">
      <w:rPr>
        <w:rtl w:val="0"/>
      </w:rPr>
    </w:r>
  </w:p>
  <w:tbl>
    <w:tblPr>
      <w:tblStyle w:val="Table1"/>
      <w:tblW w:w="5954.000000000001" w:type="dxa"/>
      <w:jc w:val="left"/>
      <w:tblInd w:w="297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68"/>
      <w:gridCol w:w="3686"/>
      <w:tblGridChange w:id="0">
        <w:tblGrid>
          <w:gridCol w:w="2268"/>
          <w:gridCol w:w="3686"/>
        </w:tblGrid>
      </w:tblGridChange>
    </w:tblGrid>
    <w:tr>
      <w:trPr>
        <w:cantSplit w:val="0"/>
        <w:tblHeader w:val="0"/>
      </w:trPr>
      <w:tc>
        <w:tcP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419"/>
              <w:tab w:val="right" w:leader="none" w:pos="8838"/>
            </w:tabs>
            <w:rPr>
              <w:rFonts w:ascii="Palatino Linotype" w:cs="Palatino Linotype" w:eastAsia="Palatino Linotype" w:hAnsi="Palatino Linotype"/>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419"/>
              <w:tab w:val="right" w:leader="none" w:pos="8838"/>
            </w:tabs>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VOTO PARTICULAR</w:t>
          </w:r>
        </w:p>
      </w:tc>
    </w:tr>
    <w:tr>
      <w:trPr>
        <w:cantSplit w:val="0"/>
        <w:tblHeader w:val="0"/>
      </w:trPr>
      <w:tc>
        <w:tcPr>
          <w:vAlign w:val="center"/>
        </w:tcPr>
        <w:p w:rsidR="00000000" w:rsidDel="00000000" w:rsidP="00000000" w:rsidRDefault="00000000" w:rsidRPr="00000000" w14:paraId="0000006F">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Recurso de Revisión:</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02789/INFOEM/IP/RR/2025</w:t>
          </w:r>
        </w:p>
      </w:tc>
    </w:tr>
    <w:tr>
      <w:trPr>
        <w:cantSplit w:val="0"/>
        <w:tblHeader w:val="0"/>
      </w:trPr>
      <w:tc>
        <w:tcPr/>
        <w:p w:rsidR="00000000" w:rsidDel="00000000" w:rsidP="00000000" w:rsidRDefault="00000000" w:rsidRPr="00000000" w14:paraId="00000071">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Sujeto Obligado:</w:t>
          </w:r>
        </w:p>
      </w:tc>
      <w:tc>
        <w:tcPr/>
        <w:p w:rsidR="00000000" w:rsidDel="00000000" w:rsidP="00000000" w:rsidRDefault="00000000" w:rsidRPr="00000000" w14:paraId="00000072">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sz w:val="20"/>
              <w:szCs w:val="20"/>
              <w:rtl w:val="0"/>
            </w:rPr>
            <w:t xml:space="preserve">Ayuntamiento de Cuautitlán Izcalli</w:t>
          </w:r>
          <w:r w:rsidDel="00000000" w:rsidR="00000000" w:rsidRPr="00000000">
            <w:rPr>
              <w:rtl w:val="0"/>
            </w:rPr>
          </w:r>
        </w:p>
      </w:tc>
    </w:tr>
    <w:tr>
      <w:trPr>
        <w:cantSplit w:val="0"/>
        <w:tblHeader w:val="0"/>
      </w:trPr>
      <w:tc>
        <w:tcPr/>
        <w:p w:rsidR="00000000" w:rsidDel="00000000" w:rsidP="00000000" w:rsidRDefault="00000000" w:rsidRPr="00000000" w14:paraId="00000073">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Comisionada Ponente:</w:t>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Guadalupe Ramírez Peña</w:t>
          </w:r>
        </w:p>
      </w:tc>
    </w:tr>
  </w:tb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Palatino Linotype" w:cs="Palatino Linotype" w:eastAsia="Palatino Linotype" w:hAnsi="Palatino Linotype"/>
        <w:b w:val="1"/>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-707523</wp:posOffset>
          </wp:positionH>
          <wp:positionV relativeFrom="paragraph">
            <wp:posOffset>-1205668</wp:posOffset>
          </wp:positionV>
          <wp:extent cx="7521053" cy="9897494"/>
          <wp:effectExtent b="0" l="0" r="0" t="0"/>
          <wp:wrapNone/>
          <wp:docPr id="2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21053" cy="98974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607BA"/>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rPr>
  </w:style>
  <w:style w:type="character" w:styleId="EncabezadoCar" w:customStyle="1">
    <w:name w:val="Encabezado Car"/>
    <w:basedOn w:val="Fuentedeprrafopredeter"/>
    <w:link w:val="Encabezado"/>
    <w:uiPriority w:val="99"/>
    <w:rsid w:val="000607BA"/>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rPr>
  </w:style>
  <w:style w:type="character" w:styleId="PiedepginaCar" w:customStyle="1">
    <w:name w:val="Pie de página Car"/>
    <w:basedOn w:val="Fuentedeprrafopredeter"/>
    <w:link w:val="Piedepgina"/>
    <w:uiPriority w:val="99"/>
    <w:rsid w:val="000607BA"/>
    <w:rPr>
      <w:rFonts w:ascii="Times New Roman" w:cs="Times New Roman" w:eastAsia="Times New Roman" w:hAnsi="Times New Roman"/>
      <w:sz w:val="24"/>
      <w:szCs w:val="24"/>
      <w:lang w:eastAsia="es-ES" w:val="es-ES"/>
    </w:rPr>
  </w:style>
  <w:style w:type="paragraph" w:styleId="NormalWeb">
    <w:name w:val="Normal (Web)"/>
    <w:basedOn w:val="Normal"/>
    <w:uiPriority w:val="99"/>
    <w:rsid w:val="000607BA"/>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0607BA"/>
    <w:pPr>
      <w:spacing w:after="0" w:line="240" w:lineRule="auto"/>
      <w:ind w:left="720"/>
      <w:contextualSpacing w:val="1"/>
    </w:pPr>
    <w:rPr>
      <w:rFonts w:ascii="Times New Roman" w:cs="Times New Roman" w:hAnsi="Times New Roman"/>
      <w:sz w:val="24"/>
      <w:szCs w:val="24"/>
      <w:lang w:eastAsia="es-ES"/>
    </w:rPr>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val="1"/>
    <w:locked w:val="1"/>
    <w:rsid w:val="000607BA"/>
    <w:rPr>
      <w:rFonts w:ascii="Times New Roman" w:cs="Times New Roman" w:eastAsia="Calibri" w:hAnsi="Times New Roman"/>
      <w:sz w:val="24"/>
      <w:szCs w:val="24"/>
      <w:lang w:eastAsia="es-ES" w:val="es-ES"/>
    </w:rPr>
  </w:style>
  <w:style w:type="paragraph" w:styleId="Textodeglobo">
    <w:name w:val="Balloon Text"/>
    <w:basedOn w:val="Normal"/>
    <w:link w:val="TextodegloboCar"/>
    <w:uiPriority w:val="99"/>
    <w:semiHidden w:val="1"/>
    <w:unhideWhenUsed w:val="1"/>
    <w:rsid w:val="0045646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56467"/>
    <w:rPr>
      <w:rFonts w:ascii="Segoe UI" w:cs="Segoe UI" w:hAnsi="Segoe UI"/>
      <w:sz w:val="18"/>
      <w:szCs w:val="18"/>
    </w:rPr>
  </w:style>
  <w:style w:type="character" w:styleId="apple-converted-space" w:customStyle="1">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val="1"/>
    <w:qFormat w:val="1"/>
    <w:rsid w:val="00921613"/>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val="1"/>
    <w:qFormat w:val="1"/>
    <w:rsid w:val="00921613"/>
    <w:rPr>
      <w:vertAlign w:val="superscript"/>
    </w:rPr>
  </w:style>
  <w:style w:type="character" w:styleId="Hipervnculo">
    <w:name w:val="Hyperlink"/>
    <w:basedOn w:val="Fuentedeprrafopredeter"/>
    <w:uiPriority w:val="99"/>
    <w:unhideWhenUsed w:val="1"/>
    <w:rsid w:val="00696A57"/>
    <w:rPr>
      <w:color w:val="0000ff"/>
      <w:u w:val="single"/>
    </w:rPr>
  </w:style>
  <w:style w:type="paragraph" w:styleId="paragraph" w:customStyle="1">
    <w:name w:val="paragraph"/>
    <w:basedOn w:val="Normal"/>
    <w:rsid w:val="00C964CC"/>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Tablaconcuadrcula1" w:customStyle="1">
    <w:name w:val="Tabla con cuadrícula1"/>
    <w:basedOn w:val="Tablanormal"/>
    <w:next w:val="Tablaconcuadrcula"/>
    <w:uiPriority w:val="59"/>
    <w:rsid w:val="00C964CC"/>
    <w:pPr>
      <w:spacing w:after="0" w:line="240" w:lineRule="auto"/>
    </w:pPr>
    <w:rPr>
      <w:rFonts w:cs="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aconcuadrcula">
    <w:name w:val="Table Grid"/>
    <w:basedOn w:val="Tablanormal"/>
    <w:uiPriority w:val="59"/>
    <w:rsid w:val="00C964C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Fundamentos" w:customStyle="1">
    <w:name w:val="Fundamentos"/>
    <w:basedOn w:val="Normal"/>
    <w:qFormat w:val="1"/>
    <w:rsid w:val="00DB4997"/>
    <w:pPr>
      <w:pBdr>
        <w:top w:space="0" w:sz="0" w:val="nil"/>
        <w:left w:space="0" w:sz="0" w:val="nil"/>
        <w:bottom w:space="0" w:sz="0" w:val="nil"/>
        <w:right w:space="0" w:sz="0" w:val="nil"/>
        <w:between w:space="0" w:sz="0" w:val="nil"/>
      </w:pBdr>
      <w:spacing w:after="0" w:line="240" w:lineRule="auto"/>
      <w:ind w:left="567" w:right="567"/>
      <w:contextualSpacing w:val="1"/>
      <w:jc w:val="both"/>
    </w:pPr>
    <w:rPr>
      <w:rFonts w:ascii="Palatino Linotype" w:cs="Palatino Linotype" w:eastAsia="Palatino Linotype" w:hAnsi="Palatino Linotype"/>
      <w:i w:val="1"/>
      <w:color w:val="000000"/>
      <w:szCs w:val="24"/>
      <w:lang w:val="es-ES_tradnl"/>
    </w:rPr>
  </w:style>
  <w:style w:type="paragraph" w:styleId="Sinespaciado">
    <w:name w:val="No Spacing"/>
    <w:aliases w:val="Francesa,INAI"/>
    <w:link w:val="SinespaciadoCar"/>
    <w:uiPriority w:val="1"/>
    <w:qFormat w:val="1"/>
    <w:rsid w:val="00515C3E"/>
    <w:pPr>
      <w:spacing w:after="0" w:line="240" w:lineRule="auto"/>
      <w:ind w:left="567" w:right="567"/>
      <w:jc w:val="both"/>
    </w:pPr>
    <w:rPr>
      <w:rFonts w:ascii="Arial" w:cs="Times New Roman" w:eastAsia="Batang" w:hAnsi="Arial"/>
      <w:sz w:val="20"/>
      <w:szCs w:val="24"/>
      <w:lang w:eastAsia="es-ES" w:val="es-MX"/>
    </w:rPr>
  </w:style>
  <w:style w:type="character" w:styleId="SinespaciadoCar" w:customStyle="1">
    <w:name w:val="Sin espaciado Car"/>
    <w:aliases w:val="Francesa Car,INAI Car"/>
    <w:basedOn w:val="Fuentedeprrafopredeter"/>
    <w:link w:val="Sinespaciado"/>
    <w:uiPriority w:val="1"/>
    <w:qFormat w:val="1"/>
    <w:rsid w:val="00515C3E"/>
    <w:rPr>
      <w:rFonts w:ascii="Arial" w:cs="Times New Roman" w:eastAsia="Batang" w:hAnsi="Arial"/>
      <w:sz w:val="20"/>
      <w:szCs w:val="24"/>
      <w:lang w:eastAsia="es-ES" w:val="es-MX"/>
    </w:rPr>
  </w:style>
  <w:style w:type="paragraph" w:styleId="Citas" w:customStyle="1">
    <w:name w:val="Citas"/>
    <w:basedOn w:val="Normal"/>
    <w:qFormat w:val="1"/>
    <w:rsid w:val="00537CBA"/>
    <w:pPr>
      <w:spacing w:before="240" w:line="360" w:lineRule="auto"/>
      <w:ind w:left="851" w:right="851"/>
      <w:jc w:val="both"/>
    </w:pPr>
    <w:rPr>
      <w:rFonts w:ascii="Palatino Linotype" w:cs="Arial" w:hAnsi="Palatino Linotype" w:eastAsiaTheme="minorHAnsi"/>
      <w:i w:val="1"/>
      <w:lang w:eastAsia="en-US" w:val="es-MX"/>
    </w:rPr>
  </w:style>
  <w:style w:type="character" w:styleId="Refdecomentario">
    <w:name w:val="annotation reference"/>
    <w:basedOn w:val="Fuentedeprrafopredeter"/>
    <w:uiPriority w:val="99"/>
    <w:semiHidden w:val="1"/>
    <w:unhideWhenUsed w:val="1"/>
    <w:rsid w:val="00537CBA"/>
    <w:rPr>
      <w:sz w:val="16"/>
      <w:szCs w:val="16"/>
    </w:rPr>
  </w:style>
  <w:style w:type="table" w:styleId="a" w:customStyle="1">
    <w:basedOn w:val="TableNormal3"/>
    <w:pPr>
      <w:spacing w:after="0" w:line="240" w:lineRule="auto"/>
    </w:pPr>
    <w:tblPr>
      <w:tblStyleRowBandSize w:val="1"/>
      <w:tblStyleColBandSize w:val="1"/>
      <w:tblCellMar>
        <w:left w:w="108.0" w:type="dxa"/>
        <w:right w:w="108.0" w:type="dxa"/>
      </w:tblCellMar>
    </w:tblPr>
  </w:style>
  <w:style w:type="table" w:styleId="a0" w:customStyle="1">
    <w:basedOn w:val="TableNormal2"/>
    <w:pPr>
      <w:spacing w:after="0" w:line="240" w:lineRule="auto"/>
    </w:pPr>
    <w:tblPr>
      <w:tblStyleRowBandSize w:val="1"/>
      <w:tblStyleColBandSize w:val="1"/>
      <w:tblCellMar>
        <w:left w:w="108.0" w:type="dxa"/>
        <w:right w:w="108.0" w:type="dxa"/>
      </w:tblCellMar>
    </w:tblPr>
  </w:style>
  <w:style w:type="table" w:styleId="a1" w:customStyle="1">
    <w:basedOn w:val="TableNormal1"/>
    <w:pPr>
      <w:spacing w:after="0" w:line="240" w:lineRule="auto"/>
    </w:pPr>
    <w:tblPr>
      <w:tblStyleRowBandSize w:val="1"/>
      <w:tblStyleColBandSize w:val="1"/>
      <w:tblCellMar>
        <w:left w:w="108.0" w:type="dxa"/>
        <w:right w:w="108.0" w:type="dxa"/>
      </w:tblCellMar>
    </w:tblPr>
  </w:style>
  <w:style w:type="table" w:styleId="a2"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Tz+2+p+UxmzALdfN/AX4BfVq+A==">CgMxLjAyCGguZ2pkZ3hzMgloLjJldDkycDAyCWguM3pueXNoNzIJaC4xZm9iOXRlMg5oLmprYXhuOG1neHk3cTIOaC4xd2Z3MDd3dzduaXUyCWguM2R5NnZrbTIJaC4zMGowemxsOAByITF0cGF2ek5CMkxGNTVaNExqLVd2YUp1WmxKaWgwbFpmVA==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2025-06-02T16:27:00Z</dcterms:created>
  <dc:creator>USUARIO</dc:creator>
</cp:coreProperties>
</file>