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7ED1D" w14:textId="77777777" w:rsidR="00C74027" w:rsidRPr="00C74027" w:rsidRDefault="00C74027" w:rsidP="00C74027">
      <w:pPr>
        <w:tabs>
          <w:tab w:val="center" w:pos="4252"/>
          <w:tab w:val="right" w:pos="8504"/>
        </w:tabs>
        <w:spacing w:after="0" w:line="360" w:lineRule="auto"/>
        <w:jc w:val="both"/>
        <w:rPr>
          <w:rFonts w:ascii="Palatino Linotype" w:hAnsi="Palatino Linotype" w:cs="Tahoma"/>
          <w:b/>
          <w:color w:val="FF0000"/>
          <w:kern w:val="0"/>
          <w:lang w:val="es-ES"/>
          <w14:ligatures w14:val="none"/>
        </w:rPr>
      </w:pPr>
    </w:p>
    <w:p w14:paraId="73AF99AB" w14:textId="47DFE728" w:rsidR="00C74027" w:rsidRPr="00C74027" w:rsidRDefault="00C74027" w:rsidP="00C74027">
      <w:pPr>
        <w:tabs>
          <w:tab w:val="left" w:pos="1843"/>
        </w:tabs>
        <w:spacing w:after="0" w:line="360" w:lineRule="auto"/>
        <w:jc w:val="both"/>
        <w:rPr>
          <w:rFonts w:ascii="Palatino Linotype" w:hAnsi="Palatino Linotype" w:cs="Tahoma"/>
          <w:b/>
          <w:kern w:val="0"/>
          <w:lang w:val="es-ES"/>
          <w14:ligatures w14:val="none"/>
        </w:rPr>
      </w:pPr>
      <w:r w:rsidRPr="00C74027">
        <w:rPr>
          <w:rFonts w:ascii="Palatino Linotype" w:hAnsi="Palatino Linotype" w:cs="Tahoma"/>
          <w:b/>
          <w:kern w:val="0"/>
          <w:lang w:val="es-ES"/>
          <w14:ligatures w14:val="none"/>
        </w:rPr>
        <w:t xml:space="preserve">VOTO PARTICULAR QUE FORMULA EL COMISIONADO LUIS GUSTAVO PARRA NORIEGA, A LA RESOLUCIÓN DEL RECURSO DE REVISIÓN </w:t>
      </w:r>
      <w:r w:rsidRPr="00C74027">
        <w:rPr>
          <w:rFonts w:ascii="Palatino Linotype" w:eastAsia="Palatino Linotype" w:hAnsi="Palatino Linotype" w:cs="Palatino Linotype"/>
          <w:b/>
          <w:kern w:val="0"/>
          <w:lang w:val="es-ES"/>
          <w14:ligatures w14:val="none"/>
        </w:rPr>
        <w:t>01460/INFOEM/IP/RR/2025</w:t>
      </w:r>
      <w:r w:rsidRPr="00C74027">
        <w:rPr>
          <w:rFonts w:ascii="Palatino Linotype" w:hAnsi="Palatino Linotype"/>
          <w:b/>
          <w:kern w:val="0"/>
          <w14:ligatures w14:val="none"/>
        </w:rPr>
        <w:t>,</w:t>
      </w:r>
      <w:r w:rsidRPr="00C74027">
        <w:rPr>
          <w:rFonts w:ascii="Palatino Linotype" w:hAnsi="Palatino Linotype" w:cs="Tahoma"/>
          <w:b/>
          <w:kern w:val="0"/>
          <w:lang w:val="es-ES"/>
          <w14:ligatures w14:val="none"/>
        </w:rPr>
        <w:t xml:space="preserve"> PROMOVIDO EN CONTRA DEL AYUNTAMIENTO DE XONACATLÁN</w:t>
      </w:r>
    </w:p>
    <w:p w14:paraId="5FADA65B" w14:textId="77777777" w:rsidR="00C74027" w:rsidRPr="00C74027" w:rsidRDefault="00C74027" w:rsidP="00C74027">
      <w:pPr>
        <w:tabs>
          <w:tab w:val="center" w:pos="4252"/>
          <w:tab w:val="right" w:pos="8504"/>
        </w:tabs>
        <w:spacing w:after="0" w:line="360" w:lineRule="auto"/>
        <w:ind w:right="-250"/>
        <w:jc w:val="both"/>
        <w:rPr>
          <w:rFonts w:ascii="Palatino Linotype" w:hAnsi="Palatino Linotype" w:cs="Tahoma"/>
          <w:color w:val="FF0000"/>
          <w:kern w:val="0"/>
          <w:lang w:val="es-ES"/>
          <w14:ligatures w14:val="none"/>
        </w:rPr>
      </w:pPr>
    </w:p>
    <w:p w14:paraId="23D3CC19" w14:textId="52F0C4F3" w:rsidR="00C74027" w:rsidRPr="00C74027" w:rsidRDefault="00C74027" w:rsidP="00C74027">
      <w:pPr>
        <w:tabs>
          <w:tab w:val="left" w:pos="1843"/>
        </w:tabs>
        <w:spacing w:after="0" w:line="360" w:lineRule="auto"/>
        <w:jc w:val="both"/>
        <w:rPr>
          <w:rFonts w:ascii="Palatino Linotype" w:hAnsi="Palatino Linotype"/>
          <w:b/>
          <w:kern w:val="0"/>
          <w14:ligatures w14:val="none"/>
        </w:rPr>
      </w:pPr>
      <w:r w:rsidRPr="00C74027">
        <w:rPr>
          <w:rFonts w:ascii="Palatino Linotype" w:hAnsi="Palatino Linotype" w:cs="Tahoma"/>
          <w:kern w:val="0"/>
          <w:lang w:val="es-ES"/>
          <w14:ligatures w14:val="none"/>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48, fracción I, de los Lineamientos para el funcionamiento del Pleno y las Comisiones del Instituto de Transparencia, Acceso a la Información Pública y Protección de Datos Personales del Estado de México y Municipios, emito el presente </w:t>
      </w:r>
      <w:r w:rsidRPr="00C74027">
        <w:rPr>
          <w:rFonts w:ascii="Palatino Linotype" w:hAnsi="Palatino Linotype" w:cs="Tahoma"/>
          <w:b/>
          <w:kern w:val="0"/>
          <w:lang w:val="es-ES"/>
          <w14:ligatures w14:val="none"/>
        </w:rPr>
        <w:t>Voto Particular</w:t>
      </w:r>
      <w:r w:rsidRPr="00C74027">
        <w:rPr>
          <w:rFonts w:ascii="Palatino Linotype" w:hAnsi="Palatino Linotype" w:cs="Tahoma"/>
          <w:kern w:val="0"/>
          <w:lang w:val="es-ES"/>
          <w14:ligatures w14:val="none"/>
        </w:rPr>
        <w:t xml:space="preserve"> por no compartir en su totalidad las consideraciones que sustentan la Resolución del Recurso de Revisión </w:t>
      </w:r>
      <w:r w:rsidRPr="00C74027">
        <w:rPr>
          <w:rFonts w:ascii="Palatino Linotype" w:eastAsia="Palatino Linotype" w:hAnsi="Palatino Linotype" w:cs="Palatino Linotype"/>
          <w:b/>
          <w:kern w:val="0"/>
          <w:lang w:val="es-ES"/>
          <w14:ligatures w14:val="none"/>
        </w:rPr>
        <w:t>01460/INFOEM/IP/RR/2025</w:t>
      </w:r>
      <w:r w:rsidRPr="00C74027">
        <w:rPr>
          <w:rFonts w:ascii="Palatino Linotype" w:hAnsi="Palatino Linotype"/>
          <w:b/>
          <w:kern w:val="0"/>
          <w14:ligatures w14:val="none"/>
        </w:rPr>
        <w:t>.</w:t>
      </w:r>
    </w:p>
    <w:p w14:paraId="0F49A929" w14:textId="77777777" w:rsidR="00C74027" w:rsidRPr="00C74027" w:rsidRDefault="00C74027" w:rsidP="00C74027">
      <w:pPr>
        <w:tabs>
          <w:tab w:val="left" w:pos="1843"/>
        </w:tabs>
        <w:spacing w:after="0" w:line="360" w:lineRule="auto"/>
        <w:jc w:val="both"/>
        <w:rPr>
          <w:rFonts w:ascii="Palatino Linotype" w:hAnsi="Palatino Linotype"/>
          <w:b/>
          <w:color w:val="FF0000"/>
          <w:kern w:val="0"/>
          <w14:ligatures w14:val="none"/>
        </w:rPr>
      </w:pPr>
    </w:p>
    <w:p w14:paraId="2995DFAC" w14:textId="3DB4432F" w:rsidR="00C74027" w:rsidRDefault="00C74027" w:rsidP="00C74027">
      <w:pPr>
        <w:autoSpaceDE w:val="0"/>
        <w:autoSpaceDN w:val="0"/>
        <w:adjustRightInd w:val="0"/>
        <w:spacing w:after="0" w:line="360" w:lineRule="auto"/>
        <w:ind w:right="49"/>
        <w:jc w:val="both"/>
        <w:rPr>
          <w:rFonts w:ascii="Palatino Linotype" w:hAnsi="Palatino Linotype" w:cs="Tahoma"/>
          <w:color w:val="FF0000"/>
          <w:kern w:val="0"/>
          <w:lang w:val="es-ES"/>
          <w14:ligatures w14:val="none"/>
        </w:rPr>
      </w:pPr>
      <w:r w:rsidRPr="00C74027">
        <w:rPr>
          <w:rFonts w:ascii="Palatino Linotype" w:hAnsi="Palatino Linotype" w:cs="Tahoma"/>
          <w:kern w:val="0"/>
          <w:lang w:val="es-ES"/>
          <w14:ligatures w14:val="none"/>
        </w:rPr>
        <w:t xml:space="preserve">Como se desprende de la Resolución en comento, </w:t>
      </w:r>
      <w:r w:rsidRPr="00C74027">
        <w:rPr>
          <w:rFonts w:ascii="Palatino Linotype" w:hAnsi="Palatino Linotype" w:cs="Tahoma"/>
          <w:bCs/>
          <w:kern w:val="0"/>
          <w:lang w:val="es-ES"/>
          <w14:ligatures w14:val="none"/>
        </w:rPr>
        <w:t>el Particular solicitó entre otras cosas</w:t>
      </w:r>
      <w:r w:rsidRPr="00C74027">
        <w:rPr>
          <w:rFonts w:ascii="Palatino Linotype" w:hAnsi="Palatino Linotype" w:cs="Tahoma"/>
          <w:b/>
          <w:bCs/>
          <w:kern w:val="0"/>
          <w:lang w:val="es-ES"/>
          <w14:ligatures w14:val="none"/>
        </w:rPr>
        <w:t xml:space="preserve">, </w:t>
      </w:r>
      <w:r>
        <w:rPr>
          <w:rFonts w:ascii="Palatino Linotype" w:hAnsi="Palatino Linotype" w:cs="Tahoma"/>
          <w:kern w:val="0"/>
          <w:lang w:val="es-ES"/>
          <w14:ligatures w14:val="none"/>
        </w:rPr>
        <w:t xml:space="preserve">el parte de novedades de la Comisaria Municipal de Orden y Protección Ciudadana </w:t>
      </w:r>
      <w:r w:rsidR="00E16188">
        <w:rPr>
          <w:rFonts w:ascii="Palatino Linotype" w:hAnsi="Palatino Linotype" w:cs="Tahoma"/>
          <w:kern w:val="0"/>
          <w:lang w:val="es-ES"/>
          <w14:ligatures w14:val="none"/>
        </w:rPr>
        <w:t>de</w:t>
      </w:r>
      <w:r w:rsidR="00E16188">
        <w:rPr>
          <w:rFonts w:ascii="Palatino Linotype" w:hAnsi="Palatino Linotype" w:cs="Tahoma"/>
          <w:kern w:val="0"/>
          <w:lang w:val="es-ES"/>
          <w14:ligatures w14:val="none"/>
        </w:rPr>
        <w:t xml:space="preserve"> los días</w:t>
      </w:r>
      <w:r w:rsidR="00E16188">
        <w:rPr>
          <w:rFonts w:ascii="Palatino Linotype" w:hAnsi="Palatino Linotype" w:cs="Tahoma"/>
          <w:kern w:val="0"/>
          <w:lang w:val="es-ES"/>
          <w14:ligatures w14:val="none"/>
        </w:rPr>
        <w:t xml:space="preserve"> </w:t>
      </w:r>
      <w:r>
        <w:rPr>
          <w:rFonts w:ascii="Palatino Linotype" w:hAnsi="Palatino Linotype" w:cs="Tahoma"/>
          <w:kern w:val="0"/>
          <w:lang w:val="es-ES"/>
          <w14:ligatures w14:val="none"/>
        </w:rPr>
        <w:t>cuatro, cinco y seis de enero de dos mil veinticin</w:t>
      </w:r>
      <w:r w:rsidRPr="00C74027">
        <w:rPr>
          <w:rFonts w:ascii="Palatino Linotype" w:hAnsi="Palatino Linotype" w:cs="Tahoma"/>
          <w:kern w:val="0"/>
          <w:lang w:val="es-ES"/>
          <w14:ligatures w14:val="none"/>
        </w:rPr>
        <w:t xml:space="preserve">co, al respecto, este Organismo Garante ordenó </w:t>
      </w:r>
      <w:bookmarkStart w:id="0" w:name="_Hlk166400878"/>
      <w:r w:rsidRPr="00C74027">
        <w:rPr>
          <w:rFonts w:ascii="Palatino Linotype" w:hAnsi="Palatino Linotype" w:cs="Tahoma"/>
          <w:kern w:val="0"/>
          <w:lang w:val="es-ES"/>
          <w14:ligatures w14:val="none"/>
        </w:rPr>
        <w:t xml:space="preserve">la entrega del acuerdo de clasificación emitido por el Comité de Transparencia, por el cual se clasifiquen como información reservada </w:t>
      </w:r>
      <w:r>
        <w:rPr>
          <w:rFonts w:ascii="Palatino Linotype" w:hAnsi="Palatino Linotype" w:cs="Tahoma"/>
          <w:kern w:val="0"/>
          <w:lang w:val="es-ES"/>
          <w14:ligatures w14:val="none"/>
        </w:rPr>
        <w:t xml:space="preserve">en términos del artículo 140 </w:t>
      </w:r>
      <w:r w:rsidR="00E16188">
        <w:rPr>
          <w:rFonts w:ascii="Palatino Linotype" w:hAnsi="Palatino Linotype" w:cs="Tahoma"/>
          <w:kern w:val="0"/>
          <w:lang w:val="es-ES"/>
          <w14:ligatures w14:val="none"/>
        </w:rPr>
        <w:t>fracciones</w:t>
      </w:r>
      <w:r>
        <w:rPr>
          <w:rFonts w:ascii="Palatino Linotype" w:hAnsi="Palatino Linotype" w:cs="Tahoma"/>
          <w:kern w:val="0"/>
          <w:lang w:val="es-ES"/>
          <w14:ligatures w14:val="none"/>
        </w:rPr>
        <w:t xml:space="preserve"> I, IV y VI de la Ley de </w:t>
      </w:r>
      <w:r w:rsidRPr="00C74027">
        <w:rPr>
          <w:rFonts w:ascii="Palatino Linotype" w:hAnsi="Palatino Linotype" w:cs="Tahoma"/>
          <w:kern w:val="0"/>
          <w:lang w:val="es-ES"/>
          <w14:ligatures w14:val="none"/>
        </w:rPr>
        <w:t xml:space="preserve"> Transparencia y Acceso a la Información Pública del Estado de México y Municipios</w:t>
      </w:r>
      <w:r>
        <w:rPr>
          <w:rFonts w:ascii="Palatino Linotype" w:hAnsi="Palatino Linotype" w:cs="Tahoma"/>
          <w:kern w:val="0"/>
          <w:lang w:val="es-ES"/>
          <w14:ligatures w14:val="none"/>
        </w:rPr>
        <w:t xml:space="preserve">, al advertir que  dicha información da cuenta del estado de fuerza, capacidad de reacción e inteligencia policial. </w:t>
      </w:r>
    </w:p>
    <w:p w14:paraId="610DFA60" w14:textId="77777777" w:rsidR="00C74027" w:rsidRDefault="00C74027" w:rsidP="00C74027">
      <w:pPr>
        <w:autoSpaceDE w:val="0"/>
        <w:autoSpaceDN w:val="0"/>
        <w:adjustRightInd w:val="0"/>
        <w:spacing w:after="0" w:line="360" w:lineRule="auto"/>
        <w:ind w:right="49"/>
        <w:jc w:val="both"/>
        <w:rPr>
          <w:rFonts w:ascii="Palatino Linotype" w:hAnsi="Palatino Linotype" w:cs="Tahoma"/>
          <w:color w:val="FF0000"/>
          <w:kern w:val="0"/>
          <w:lang w:val="es-ES"/>
          <w14:ligatures w14:val="none"/>
        </w:rPr>
      </w:pPr>
    </w:p>
    <w:p w14:paraId="179612C2" w14:textId="77777777" w:rsidR="00282E17" w:rsidRDefault="00C74027" w:rsidP="00C74027">
      <w:pPr>
        <w:autoSpaceDE w:val="0"/>
        <w:autoSpaceDN w:val="0"/>
        <w:adjustRightInd w:val="0"/>
        <w:spacing w:after="0" w:line="360" w:lineRule="auto"/>
        <w:ind w:right="49"/>
        <w:jc w:val="both"/>
        <w:rPr>
          <w:rFonts w:ascii="Palatino Linotype" w:hAnsi="Palatino Linotype" w:cs="Tahoma"/>
          <w:kern w:val="0"/>
          <w:lang w:val="es-ES"/>
          <w14:ligatures w14:val="none"/>
        </w:rPr>
      </w:pPr>
      <w:r w:rsidRPr="00C74027">
        <w:rPr>
          <w:rFonts w:ascii="Palatino Linotype" w:hAnsi="Palatino Linotype" w:cs="Tahoma"/>
          <w:kern w:val="0"/>
          <w:lang w:val="es-ES"/>
          <w14:ligatures w14:val="none"/>
        </w:rPr>
        <w:t xml:space="preserve">Al respecto, considero que </w:t>
      </w:r>
      <w:r w:rsidR="00E16188">
        <w:rPr>
          <w:rFonts w:ascii="Palatino Linotype" w:hAnsi="Palatino Linotype" w:cs="Tahoma"/>
          <w:kern w:val="0"/>
          <w:lang w:val="es-ES"/>
          <w14:ligatures w14:val="none"/>
        </w:rPr>
        <w:t xml:space="preserve">para ordenar la reserva de la totalidad del Parte de Novedades de los días solicitados por la persona Recurrente, era necesario contar con elementos para </w:t>
      </w:r>
      <w:r w:rsidR="00E16188">
        <w:rPr>
          <w:rFonts w:ascii="Palatino Linotype" w:hAnsi="Palatino Linotype" w:cs="Tahoma"/>
          <w:kern w:val="0"/>
          <w:lang w:val="es-ES"/>
          <w14:ligatures w14:val="none"/>
        </w:rPr>
        <w:lastRenderedPageBreak/>
        <w:t>descartar la posibilidad de entregar el documento en versión pública, asimismo, de haberse conocido los elementos que integran el Parte de Novedades y su estructura habría permitido identificar el tipo de clasificación del documento, pues al establecer patrones de ruta y vigilancia, bastaría con clasificar la información por poner en riesgo la seguridad pública y por los datos personales que se insertan en los mismos</w:t>
      </w:r>
      <w:r w:rsidR="00282E17">
        <w:rPr>
          <w:rFonts w:ascii="Palatino Linotype" w:hAnsi="Palatino Linotype" w:cs="Tahoma"/>
          <w:kern w:val="0"/>
          <w:lang w:val="es-ES"/>
          <w14:ligatures w14:val="none"/>
        </w:rPr>
        <w:t>, de tal suerte que no implique al Ayuntamiento la elaboración de tres pruebas de daño distintas, pues incluso se desconoce si en esos días se registraron acontecimientos que permitan reservar información de acuerdo con lo que se ordena en la resolución.</w:t>
      </w:r>
    </w:p>
    <w:p w14:paraId="6DB0F32B" w14:textId="77777777" w:rsidR="00282E17" w:rsidRDefault="00282E17" w:rsidP="00C74027">
      <w:pPr>
        <w:autoSpaceDE w:val="0"/>
        <w:autoSpaceDN w:val="0"/>
        <w:adjustRightInd w:val="0"/>
        <w:spacing w:after="0" w:line="360" w:lineRule="auto"/>
        <w:ind w:right="49"/>
        <w:jc w:val="both"/>
        <w:rPr>
          <w:rFonts w:ascii="Palatino Linotype" w:hAnsi="Palatino Linotype" w:cs="Tahoma"/>
          <w:kern w:val="0"/>
          <w:lang w:val="es-ES"/>
          <w14:ligatures w14:val="none"/>
        </w:rPr>
      </w:pPr>
    </w:p>
    <w:p w14:paraId="321145BE" w14:textId="7176075A" w:rsidR="00E16188" w:rsidRDefault="00282E17" w:rsidP="00C74027">
      <w:pPr>
        <w:autoSpaceDE w:val="0"/>
        <w:autoSpaceDN w:val="0"/>
        <w:adjustRightInd w:val="0"/>
        <w:spacing w:after="0" w:line="360" w:lineRule="auto"/>
        <w:ind w:right="49"/>
        <w:jc w:val="both"/>
        <w:rPr>
          <w:rFonts w:ascii="Palatino Linotype" w:hAnsi="Palatino Linotype" w:cs="Tahoma"/>
          <w:kern w:val="0"/>
          <w:lang w:val="es-ES"/>
          <w14:ligatures w14:val="none"/>
        </w:rPr>
      </w:pPr>
      <w:r>
        <w:rPr>
          <w:rFonts w:ascii="Palatino Linotype" w:hAnsi="Palatino Linotype" w:cs="Tahoma"/>
          <w:kern w:val="0"/>
          <w:lang w:val="es-ES"/>
          <w14:ligatures w14:val="none"/>
        </w:rPr>
        <w:t xml:space="preserve">En efecto, desde mi perspectiva, la entrega del parte de novedades de tres días, no implica necesariamente que se revele el estado de fuerza y, si en esos días no se registró la detención de alguna persona que se pusiera a disposición del Ministerio Público, las causales por las que se ordena clasificar la información no encuentran asidero, de tal suerte que, por ello me he manifestado a favor de desarrollar la prueba de daño para ordenar la reserva de información.   </w:t>
      </w:r>
    </w:p>
    <w:p w14:paraId="246FD762" w14:textId="77777777" w:rsidR="00E16188" w:rsidRDefault="00E16188" w:rsidP="00C74027">
      <w:pPr>
        <w:autoSpaceDE w:val="0"/>
        <w:autoSpaceDN w:val="0"/>
        <w:adjustRightInd w:val="0"/>
        <w:spacing w:after="0" w:line="360" w:lineRule="auto"/>
        <w:ind w:right="49"/>
        <w:jc w:val="both"/>
        <w:rPr>
          <w:rFonts w:ascii="Palatino Linotype" w:hAnsi="Palatino Linotype" w:cs="Tahoma"/>
          <w:kern w:val="0"/>
          <w:lang w:val="es-ES"/>
          <w14:ligatures w14:val="none"/>
        </w:rPr>
      </w:pPr>
    </w:p>
    <w:p w14:paraId="1333CBD7" w14:textId="1B2B3D7C" w:rsidR="00C74027" w:rsidRPr="00C74027" w:rsidRDefault="00282E17" w:rsidP="00C74027">
      <w:pPr>
        <w:autoSpaceDE w:val="0"/>
        <w:autoSpaceDN w:val="0"/>
        <w:adjustRightInd w:val="0"/>
        <w:spacing w:after="0" w:line="360" w:lineRule="auto"/>
        <w:ind w:right="49"/>
        <w:jc w:val="both"/>
        <w:rPr>
          <w:rFonts w:ascii="Palatino Linotype" w:eastAsia="Times New Roman" w:hAnsi="Palatino Linotype" w:cs="Arial"/>
          <w:kern w:val="0"/>
          <w:lang w:val="es-ES" w:eastAsia="es-ES"/>
          <w14:ligatures w14:val="none"/>
        </w:rPr>
      </w:pPr>
      <w:r>
        <w:rPr>
          <w:rFonts w:ascii="Palatino Linotype" w:eastAsia="Times New Roman" w:hAnsi="Palatino Linotype" w:cs="Arial"/>
          <w:kern w:val="0"/>
          <w:lang w:val="es-ES" w:eastAsia="es-ES"/>
          <w14:ligatures w14:val="none"/>
        </w:rPr>
        <w:t>E</w:t>
      </w:r>
      <w:r w:rsidR="00C74027" w:rsidRPr="00C74027">
        <w:rPr>
          <w:rFonts w:ascii="Palatino Linotype" w:eastAsia="Times New Roman" w:hAnsi="Palatino Linotype" w:cs="Arial"/>
          <w:kern w:val="0"/>
          <w:lang w:val="es-ES" w:eastAsia="es-ES"/>
          <w14:ligatures w14:val="none"/>
        </w:rPr>
        <w:t>n este contexto, cuando los Sujetos Obligados determinen que existe información confidencial o reservada en los documentos a entregar, se debe realizar un estudio específico para así determinar, si la información debe ser clasificada en su totalidad o puede ser entregada en versión pública; en el presente asunto, nos encontramos ante información que la Ponencia Resolutora, consideró que encuadra en el supuesto normativo del artículo 140, fracción I</w:t>
      </w:r>
      <w:r w:rsidR="0078053D" w:rsidRPr="0078053D">
        <w:rPr>
          <w:rFonts w:ascii="Palatino Linotype" w:eastAsia="Times New Roman" w:hAnsi="Palatino Linotype" w:cs="Arial"/>
          <w:kern w:val="0"/>
          <w:lang w:val="es-ES" w:eastAsia="es-ES"/>
          <w14:ligatures w14:val="none"/>
        </w:rPr>
        <w:t>, IV y VI</w:t>
      </w:r>
      <w:r w:rsidR="00C74027" w:rsidRPr="00C74027">
        <w:rPr>
          <w:rFonts w:ascii="Palatino Linotype" w:eastAsia="Times New Roman" w:hAnsi="Palatino Linotype" w:cs="Arial"/>
          <w:kern w:val="0"/>
          <w:lang w:val="es-ES" w:eastAsia="es-ES"/>
          <w14:ligatures w14:val="none"/>
        </w:rPr>
        <w:t xml:space="preserve"> de la Ley de Transparencia y Acceso a la Información Pública del Estado de México y Municipios y clasificó la totalidad</w:t>
      </w:r>
      <w:r w:rsidR="0078053D" w:rsidRPr="0078053D">
        <w:rPr>
          <w:rFonts w:ascii="Palatino Linotype" w:eastAsia="Times New Roman" w:hAnsi="Palatino Linotype" w:cs="Arial"/>
          <w:kern w:val="0"/>
          <w:lang w:val="es-ES" w:eastAsia="es-ES"/>
          <w14:ligatures w14:val="none"/>
        </w:rPr>
        <w:t xml:space="preserve"> del parte de novedades </w:t>
      </w:r>
      <w:r w:rsidR="0078053D" w:rsidRPr="0078053D">
        <w:rPr>
          <w:rFonts w:ascii="Palatino Linotype" w:hAnsi="Palatino Linotype" w:cs="Tahoma"/>
          <w:kern w:val="0"/>
          <w:lang w:val="es-ES"/>
          <w14:ligatures w14:val="none"/>
        </w:rPr>
        <w:t>de la Comisaria Municipal de Orden y Protección Ciudadana</w:t>
      </w:r>
      <w:r w:rsidR="00C74027" w:rsidRPr="00C74027">
        <w:rPr>
          <w:rFonts w:ascii="Palatino Linotype" w:eastAsia="Times New Roman" w:hAnsi="Palatino Linotype" w:cs="Arial"/>
          <w:kern w:val="0"/>
          <w:lang w:val="es-ES" w:eastAsia="es-ES"/>
          <w14:ligatures w14:val="none"/>
        </w:rPr>
        <w:t>, sin elaborar la prueba de daño.</w:t>
      </w:r>
    </w:p>
    <w:p w14:paraId="451FBE96" w14:textId="77777777" w:rsidR="00C74027" w:rsidRPr="00C74027" w:rsidRDefault="00C74027" w:rsidP="00C74027">
      <w:pPr>
        <w:autoSpaceDE w:val="0"/>
        <w:autoSpaceDN w:val="0"/>
        <w:adjustRightInd w:val="0"/>
        <w:spacing w:after="0" w:line="360" w:lineRule="auto"/>
        <w:ind w:right="49"/>
        <w:jc w:val="both"/>
        <w:rPr>
          <w:rFonts w:ascii="Palatino Linotype" w:eastAsia="Times New Roman" w:hAnsi="Palatino Linotype" w:cs="Arial"/>
          <w:color w:val="FF0000"/>
          <w:kern w:val="0"/>
          <w:sz w:val="24"/>
          <w:szCs w:val="24"/>
          <w:lang w:val="es-ES" w:eastAsia="es-ES"/>
          <w14:ligatures w14:val="none"/>
        </w:rPr>
      </w:pPr>
    </w:p>
    <w:p w14:paraId="6DDF6545" w14:textId="77777777" w:rsidR="00C74027" w:rsidRPr="00C74027" w:rsidRDefault="00C74027" w:rsidP="00C74027">
      <w:pPr>
        <w:autoSpaceDE w:val="0"/>
        <w:autoSpaceDN w:val="0"/>
        <w:adjustRightInd w:val="0"/>
        <w:spacing w:after="0" w:line="360" w:lineRule="auto"/>
        <w:ind w:right="49"/>
        <w:jc w:val="both"/>
        <w:rPr>
          <w:rFonts w:ascii="Palatino Linotype" w:eastAsia="Times New Roman" w:hAnsi="Palatino Linotype" w:cs="Arial"/>
          <w:kern w:val="0"/>
          <w:lang w:val="es-ES" w:eastAsia="es-ES"/>
          <w14:ligatures w14:val="none"/>
        </w:rPr>
      </w:pPr>
      <w:r w:rsidRPr="00C74027">
        <w:rPr>
          <w:rFonts w:ascii="Palatino Linotype" w:eastAsia="Times New Roman" w:hAnsi="Palatino Linotype" w:cs="Arial"/>
          <w:kern w:val="0"/>
          <w:lang w:val="es-ES" w:eastAsia="es-ES"/>
          <w14:ligatures w14:val="none"/>
        </w:rPr>
        <w:t xml:space="preserve">Ahora bien, para que proceda o no la reserva; no basta con que se actualice el dispositivo normativo 140 de la Ley de la materia, sino que además es menester acreditar dicha prueba </w:t>
      </w:r>
      <w:r w:rsidRPr="00C74027">
        <w:rPr>
          <w:rFonts w:ascii="Palatino Linotype" w:eastAsia="Times New Roman" w:hAnsi="Palatino Linotype" w:cs="Arial"/>
          <w:kern w:val="0"/>
          <w:lang w:val="es-ES" w:eastAsia="es-ES"/>
          <w14:ligatures w14:val="none"/>
        </w:rPr>
        <w:lastRenderedPageBreak/>
        <w:t>de daño, de conformidad con lo establecido en los artículos 128, 129 y 130 de la Ley de Transparencia y Acceso a la Información Pública del Estado de México y Municipios, en relación con los Lineamientos generales en materia de clasificación y desclasificación de la información, así como para la elaboración de versiones públicas.</w:t>
      </w:r>
    </w:p>
    <w:p w14:paraId="2E3CEDAC" w14:textId="77777777" w:rsidR="00C74027" w:rsidRPr="00C74027" w:rsidRDefault="00C74027" w:rsidP="00C74027">
      <w:pPr>
        <w:autoSpaceDE w:val="0"/>
        <w:autoSpaceDN w:val="0"/>
        <w:adjustRightInd w:val="0"/>
        <w:spacing w:after="0" w:line="360" w:lineRule="auto"/>
        <w:ind w:right="49"/>
        <w:jc w:val="both"/>
        <w:rPr>
          <w:rFonts w:ascii="Palatino Linotype" w:eastAsia="Times New Roman" w:hAnsi="Palatino Linotype" w:cs="Arial"/>
          <w:kern w:val="0"/>
          <w:lang w:val="es-ES" w:eastAsia="es-ES"/>
          <w14:ligatures w14:val="none"/>
        </w:rPr>
      </w:pPr>
    </w:p>
    <w:p w14:paraId="72769EA5" w14:textId="77777777" w:rsidR="00C74027" w:rsidRPr="00C74027" w:rsidRDefault="00C74027" w:rsidP="00C74027">
      <w:pPr>
        <w:autoSpaceDE w:val="0"/>
        <w:autoSpaceDN w:val="0"/>
        <w:adjustRightInd w:val="0"/>
        <w:spacing w:after="0" w:line="360" w:lineRule="auto"/>
        <w:ind w:right="49"/>
        <w:jc w:val="both"/>
        <w:rPr>
          <w:rFonts w:ascii="Palatino Linotype" w:eastAsia="Times New Roman" w:hAnsi="Palatino Linotype" w:cs="Arial"/>
          <w:kern w:val="0"/>
          <w:lang w:val="es-ES" w:eastAsia="es-ES"/>
          <w14:ligatures w14:val="none"/>
        </w:rPr>
      </w:pPr>
      <w:r w:rsidRPr="00C74027">
        <w:rPr>
          <w:rFonts w:ascii="Palatino Linotype" w:eastAsia="Times New Roman" w:hAnsi="Palatino Linotype" w:cs="Arial"/>
          <w:kern w:val="0"/>
          <w:lang w:val="es-ES" w:eastAsia="es-ES"/>
          <w14:ligatures w14:val="none"/>
        </w:rPr>
        <w:t>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supuesto de reserva del artículo 140, de la Ley de Transparencia de nuestra Entidad.</w:t>
      </w:r>
    </w:p>
    <w:p w14:paraId="4BB124DD" w14:textId="77777777" w:rsidR="00C74027" w:rsidRPr="00C74027" w:rsidRDefault="00C74027" w:rsidP="00C74027">
      <w:pPr>
        <w:autoSpaceDE w:val="0"/>
        <w:autoSpaceDN w:val="0"/>
        <w:adjustRightInd w:val="0"/>
        <w:spacing w:after="0" w:line="360" w:lineRule="auto"/>
        <w:ind w:right="49"/>
        <w:jc w:val="both"/>
        <w:rPr>
          <w:rFonts w:ascii="Palatino Linotype" w:eastAsia="Times New Roman" w:hAnsi="Palatino Linotype" w:cs="Arial"/>
          <w:kern w:val="0"/>
          <w:lang w:val="es-ES" w:eastAsia="es-ES"/>
          <w14:ligatures w14:val="none"/>
        </w:rPr>
      </w:pPr>
    </w:p>
    <w:p w14:paraId="65E0151D" w14:textId="77777777" w:rsidR="00C74027" w:rsidRPr="00C74027" w:rsidRDefault="00C74027" w:rsidP="00C74027">
      <w:pPr>
        <w:autoSpaceDE w:val="0"/>
        <w:autoSpaceDN w:val="0"/>
        <w:adjustRightInd w:val="0"/>
        <w:spacing w:after="0" w:line="360" w:lineRule="auto"/>
        <w:ind w:right="49"/>
        <w:jc w:val="both"/>
        <w:rPr>
          <w:rFonts w:ascii="Palatino Linotype" w:eastAsia="Times New Roman" w:hAnsi="Palatino Linotype" w:cs="Arial"/>
          <w:kern w:val="0"/>
          <w:lang w:val="es-ES" w:eastAsia="es-ES"/>
          <w14:ligatures w14:val="none"/>
        </w:rPr>
      </w:pPr>
      <w:r w:rsidRPr="00C74027">
        <w:rPr>
          <w:rFonts w:ascii="Palatino Linotype" w:eastAsia="Times New Roman" w:hAnsi="Palatino Linotype" w:cs="Arial"/>
          <w:kern w:val="0"/>
          <w:lang w:val="es-ES" w:eastAsia="es-ES"/>
          <w14:ligatures w14:val="none"/>
        </w:rPr>
        <w:t>Así, desde mi punto de vista, el derecho de acceso a la información encuentra límites en el propio texto constitucional y que, debido a ello, debe existir una armonización congruente con ese derecho fundamental con los principios rectores de la función del Sujeto Obligado, lo que encuentra sustento en las tesis jurisprudenciales emitidas por la Suprema Corte de Justicia de la Nación, que son del literal siguiente:</w:t>
      </w:r>
    </w:p>
    <w:p w14:paraId="6096E9C7" w14:textId="77777777" w:rsidR="00C74027" w:rsidRPr="00C74027" w:rsidRDefault="00C74027" w:rsidP="00C74027">
      <w:pPr>
        <w:autoSpaceDE w:val="0"/>
        <w:autoSpaceDN w:val="0"/>
        <w:adjustRightInd w:val="0"/>
        <w:spacing w:after="0" w:line="360" w:lineRule="auto"/>
        <w:ind w:right="49"/>
        <w:jc w:val="both"/>
        <w:rPr>
          <w:rFonts w:ascii="Palatino Linotype" w:eastAsia="Times New Roman" w:hAnsi="Palatino Linotype" w:cs="Arial"/>
          <w:kern w:val="0"/>
          <w:lang w:val="es-ES" w:eastAsia="es-ES"/>
          <w14:ligatures w14:val="none"/>
        </w:rPr>
      </w:pPr>
    </w:p>
    <w:p w14:paraId="189354E2" w14:textId="77777777" w:rsidR="00C74027" w:rsidRPr="00C74027" w:rsidRDefault="00C74027" w:rsidP="00C74027">
      <w:pPr>
        <w:autoSpaceDE w:val="0"/>
        <w:autoSpaceDN w:val="0"/>
        <w:adjustRightInd w:val="0"/>
        <w:spacing w:after="0" w:line="360" w:lineRule="auto"/>
        <w:ind w:left="851" w:right="616"/>
        <w:jc w:val="both"/>
        <w:rPr>
          <w:rFonts w:ascii="Palatino Linotype" w:hAnsi="Palatino Linotype"/>
          <w:i/>
          <w:kern w:val="0"/>
          <w:lang w:val="es-ES"/>
          <w14:ligatures w14:val="none"/>
        </w:rPr>
      </w:pPr>
      <w:r w:rsidRPr="00C74027">
        <w:rPr>
          <w:rFonts w:ascii="Palatino Linotype" w:hAnsi="Palatino Linotype"/>
          <w:b/>
          <w:i/>
          <w:kern w:val="0"/>
          <w:lang w:val="es-ES"/>
          <w14:ligatures w14:val="none"/>
        </w:rPr>
        <w:t>“DERECHO A LA INFORMACIÓN. SU EJERCICIO SE ENCUENTRA LIMITADO TANTO POR LOS INTERESES NACIONALES Y DE LA SOCIEDAD, COMO POR LOS DERECHOS DE TERCEROS.</w:t>
      </w:r>
      <w:r w:rsidRPr="00C74027">
        <w:rPr>
          <w:rFonts w:ascii="Palatino Linotype" w:hAnsi="Palatino Linotype"/>
          <w:i/>
          <w:kern w:val="0"/>
          <w:lang w:val="es-ES"/>
          <w14:ligatures w14:val="none"/>
        </w:rPr>
        <w:t xml:space="preserve"> 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w:t>
      </w:r>
      <w:r w:rsidRPr="00C74027">
        <w:rPr>
          <w:rFonts w:ascii="Palatino Linotype" w:hAnsi="Palatino Linotype"/>
          <w:i/>
          <w:kern w:val="0"/>
          <w:lang w:val="es-ES"/>
          <w14:ligatures w14:val="none"/>
        </w:rPr>
        <w:lastRenderedPageBreak/>
        <w:t>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672C108E" w14:textId="77777777" w:rsidR="00C74027" w:rsidRPr="00C74027" w:rsidRDefault="00C74027" w:rsidP="00C74027">
      <w:pPr>
        <w:autoSpaceDE w:val="0"/>
        <w:autoSpaceDN w:val="0"/>
        <w:adjustRightInd w:val="0"/>
        <w:spacing w:after="0" w:line="360" w:lineRule="auto"/>
        <w:ind w:left="851" w:right="616"/>
        <w:jc w:val="both"/>
        <w:rPr>
          <w:rFonts w:ascii="Palatino Linotype" w:hAnsi="Palatino Linotype"/>
          <w:b/>
          <w:i/>
          <w:kern w:val="0"/>
          <w:lang w:val="es-ES"/>
          <w14:ligatures w14:val="none"/>
        </w:rPr>
      </w:pPr>
    </w:p>
    <w:p w14:paraId="2084091B" w14:textId="77777777" w:rsidR="00C74027" w:rsidRPr="00C74027" w:rsidRDefault="00C74027" w:rsidP="00C74027">
      <w:pPr>
        <w:autoSpaceDE w:val="0"/>
        <w:autoSpaceDN w:val="0"/>
        <w:adjustRightInd w:val="0"/>
        <w:spacing w:after="0" w:line="360" w:lineRule="auto"/>
        <w:ind w:left="851" w:right="616"/>
        <w:jc w:val="both"/>
        <w:rPr>
          <w:rFonts w:ascii="Palatino Linotype" w:hAnsi="Palatino Linotype"/>
          <w:i/>
          <w:kern w:val="0"/>
          <w:lang w:val="es-ES"/>
          <w14:ligatures w14:val="none"/>
        </w:rPr>
      </w:pPr>
      <w:r w:rsidRPr="00C74027">
        <w:rPr>
          <w:rFonts w:ascii="Palatino Linotype" w:hAnsi="Palatino Linotype"/>
          <w:b/>
          <w:i/>
          <w:kern w:val="0"/>
          <w:lang w:val="es-ES"/>
          <w14:ligatures w14:val="none"/>
        </w:rPr>
        <w:t>“TRANSPARENCIA Y ACCESO A LA INFORMACIÓN PÚBLICA GUBERNAMENTAL. EL ARTÍCULO 14, FRACCIÓN I, DE LA LEY FEDERAL RELATIVA, NO VIOLA LA GARANTÍA DE ACCESO A LA INFORMACIÓN.</w:t>
      </w:r>
      <w:r w:rsidRPr="00C74027">
        <w:rPr>
          <w:rFonts w:ascii="Palatino Linotype" w:hAnsi="Palatino Linotype"/>
          <w:i/>
          <w:kern w:val="0"/>
          <w:lang w:val="es-ES"/>
          <w14:ligatures w14:val="none"/>
        </w:rPr>
        <w:t xml:space="preserve">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w:t>
      </w:r>
      <w:r w:rsidRPr="00C74027">
        <w:rPr>
          <w:rFonts w:ascii="Palatino Linotype" w:hAnsi="Palatino Linotype"/>
          <w:i/>
          <w:kern w:val="0"/>
          <w:lang w:val="es-ES"/>
          <w14:ligatures w14:val="none"/>
        </w:rPr>
        <w:lastRenderedPageBreak/>
        <w:t xml:space="preserve">Mexicanos, porque es jurídicamente adecuado que en las leyes reguladoras de cada materia, </w:t>
      </w:r>
      <w:r w:rsidRPr="00C74027">
        <w:rPr>
          <w:rFonts w:ascii="Palatino Linotype" w:hAnsi="Palatino Linotype"/>
          <w:b/>
          <w:i/>
          <w:kern w:val="0"/>
          <w:lang w:val="es-ES"/>
          <w14:ligatures w14:val="none"/>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C74027">
        <w:rPr>
          <w:rFonts w:ascii="Palatino Linotype" w:hAnsi="Palatino Linotype"/>
          <w:i/>
          <w:kern w:val="0"/>
          <w:lang w:val="es-ES"/>
          <w14:ligatures w14:val="none"/>
        </w:rPr>
        <w:t xml:space="preserve"> la cual debe ser adecuada y necesaria para alcanzar el fin perseguido, de manera que las ventajas obtenidas con la reserva compensen el sacrificio que ésta implique para los titulares de la garantía individual mencionada o para la sociedad en general.”</w:t>
      </w:r>
    </w:p>
    <w:p w14:paraId="045E0B68" w14:textId="77777777" w:rsidR="00C74027" w:rsidRPr="00C74027" w:rsidRDefault="00C74027" w:rsidP="00C74027">
      <w:pPr>
        <w:autoSpaceDE w:val="0"/>
        <w:autoSpaceDN w:val="0"/>
        <w:adjustRightInd w:val="0"/>
        <w:spacing w:after="0" w:line="360" w:lineRule="auto"/>
        <w:ind w:left="851" w:right="616"/>
        <w:jc w:val="both"/>
        <w:rPr>
          <w:rFonts w:ascii="Palatino Linotype" w:hAnsi="Palatino Linotype"/>
          <w:i/>
          <w:kern w:val="0"/>
          <w:lang w:val="es-ES"/>
          <w14:ligatures w14:val="none"/>
        </w:rPr>
      </w:pPr>
    </w:p>
    <w:bookmarkEnd w:id="0"/>
    <w:p w14:paraId="26E849E8" w14:textId="77777777" w:rsidR="00C74027" w:rsidRPr="00C74027" w:rsidRDefault="00C74027" w:rsidP="00C74027">
      <w:pPr>
        <w:spacing w:after="0" w:line="360" w:lineRule="auto"/>
        <w:jc w:val="both"/>
        <w:rPr>
          <w:rFonts w:ascii="Palatino Linotype" w:hAnsi="Palatino Linotype" w:cs="Tahoma"/>
          <w:kern w:val="0"/>
          <w:lang w:val="es-ES"/>
          <w14:ligatures w14:val="none"/>
        </w:rPr>
      </w:pPr>
      <w:r w:rsidRPr="00C74027">
        <w:rPr>
          <w:rFonts w:ascii="Palatino Linotype" w:hAnsi="Palatino Linotype" w:cs="Tahoma"/>
          <w:kern w:val="0"/>
          <w:lang w:val="es-ES"/>
          <w14:ligatures w14:val="none"/>
        </w:rPr>
        <w:t xml:space="preserve">Con base en lo anterior, es posible advertir que existen elementos suficientes para que, en cada recurso de revisión que se analice, se acredite la respectiva prueba de daño, por lo que hace a la reserva de la información, pues ello abona a lo resuelto por el Instituto Nacional de Transparencia, Acceso a la Información Pública y Protección de Datos Personales, en los Recursos de Inconformidad con número </w:t>
      </w:r>
      <w:r w:rsidRPr="00C74027">
        <w:rPr>
          <w:rFonts w:ascii="Palatino Linotype" w:hAnsi="Palatino Linotype" w:cs="Tahoma"/>
          <w:b/>
          <w:kern w:val="0"/>
          <w:lang w:val="es-ES"/>
          <w14:ligatures w14:val="none"/>
        </w:rPr>
        <w:t>RIA 0118/18, RIA 0124/19 y RIA 0118/19</w:t>
      </w:r>
      <w:r w:rsidRPr="00C74027">
        <w:rPr>
          <w:rFonts w:ascii="Palatino Linotype" w:hAnsi="Palatino Linotype" w:cs="Tahoma"/>
          <w:kern w:val="0"/>
          <w:lang w:val="es-ES"/>
          <w14:ligatures w14:val="none"/>
        </w:rPr>
        <w:t>, en donde se precisó que este Organismo Garante no debe ceñirse únicamente a verificar cuestiones de forma, sino también argumentar por qué la información solicitada se adecua o no a la o las hipótesis señaladas.</w:t>
      </w:r>
    </w:p>
    <w:p w14:paraId="38681ACE" w14:textId="77777777" w:rsidR="00C74027" w:rsidRPr="00C74027" w:rsidRDefault="00C74027" w:rsidP="00C74027">
      <w:pPr>
        <w:spacing w:after="0" w:line="360" w:lineRule="auto"/>
        <w:jc w:val="both"/>
        <w:rPr>
          <w:rFonts w:ascii="Palatino Linotype" w:hAnsi="Palatino Linotype" w:cs="Tahoma"/>
          <w:kern w:val="0"/>
          <w:lang w:val="es-ES"/>
          <w14:ligatures w14:val="none"/>
        </w:rPr>
      </w:pPr>
    </w:p>
    <w:p w14:paraId="0CD91C4B" w14:textId="77777777" w:rsidR="00C74027" w:rsidRPr="00C74027" w:rsidRDefault="00C74027" w:rsidP="00C74027">
      <w:pPr>
        <w:spacing w:after="0" w:line="360" w:lineRule="auto"/>
        <w:jc w:val="both"/>
        <w:rPr>
          <w:rFonts w:ascii="Palatino Linotype" w:hAnsi="Palatino Linotype" w:cs="Tahoma"/>
          <w:kern w:val="0"/>
          <w:lang w:val="es-ES"/>
          <w14:ligatures w14:val="none"/>
        </w:rPr>
      </w:pPr>
      <w:r w:rsidRPr="00C74027">
        <w:rPr>
          <w:rFonts w:ascii="Palatino Linotype" w:hAnsi="Palatino Linotype" w:cs="Tahoma"/>
          <w:kern w:val="0"/>
          <w:lang w:val="es-ES"/>
          <w14:ligatures w14:val="none"/>
        </w:rPr>
        <w:t xml:space="preserve">También, el Juicio de Amparo Indirecto 1232/2017 resuelto por el Juzgado Cuarto de Distrito en Materia Administrativa en la Ciudad de México, cuya síntesis se expone en el libro Casos Paradigmáticos (Esquivel, Yasmin, et al. P. (2021), Casos Paradigmáticos del Poder Judicial de la Federación en materia de acceso a la información y protección de datos personales, INAI, pp. 45 a 61 ), en donde grosso modo se expone que se concedió el amparo y protección de la justicia al quejoso por un recurso de revisión resuelto por el INAI en donde destaca la </w:t>
      </w:r>
      <w:r w:rsidRPr="00C74027">
        <w:rPr>
          <w:rFonts w:ascii="Palatino Linotype" w:hAnsi="Palatino Linotype" w:cs="Tahoma"/>
          <w:kern w:val="0"/>
          <w:lang w:val="es-ES"/>
          <w14:ligatures w14:val="none"/>
        </w:rPr>
        <w:lastRenderedPageBreak/>
        <w:t>necesidad de que el Organismo Garante Nacional acredite la prueba de daño para la reserva de información bajo los argumentos siguientes:</w:t>
      </w:r>
    </w:p>
    <w:p w14:paraId="001F195B" w14:textId="77777777" w:rsidR="00C74027" w:rsidRPr="00C74027" w:rsidRDefault="00C74027" w:rsidP="00C74027">
      <w:pPr>
        <w:spacing w:after="0" w:line="360" w:lineRule="auto"/>
        <w:jc w:val="both"/>
        <w:rPr>
          <w:rFonts w:ascii="Palatino Linotype" w:eastAsia="Calibri" w:hAnsi="Palatino Linotype" w:cs="Tahoma"/>
          <w:kern w:val="0"/>
          <w:lang w:val="es-ES"/>
          <w14:ligatures w14:val="none"/>
        </w:rPr>
      </w:pPr>
    </w:p>
    <w:p w14:paraId="441C5CB3" w14:textId="77777777" w:rsidR="00C74027" w:rsidRPr="00C74027" w:rsidRDefault="00C74027" w:rsidP="00C74027">
      <w:pPr>
        <w:numPr>
          <w:ilvl w:val="0"/>
          <w:numId w:val="1"/>
        </w:numPr>
        <w:spacing w:after="0" w:line="360" w:lineRule="auto"/>
        <w:contextualSpacing/>
        <w:jc w:val="both"/>
        <w:rPr>
          <w:rFonts w:ascii="Palatino Linotype" w:eastAsia="Calibri" w:hAnsi="Palatino Linotype" w:cs="Tahoma"/>
          <w:kern w:val="0"/>
          <w:lang w:val="es-ES"/>
          <w14:ligatures w14:val="none"/>
        </w:rPr>
      </w:pPr>
      <w:r w:rsidRPr="00C74027">
        <w:rPr>
          <w:rFonts w:ascii="Palatino Linotype" w:eastAsia="Calibri" w:hAnsi="Palatino Linotype" w:cs="Tahoma"/>
          <w:kern w:val="0"/>
          <w:lang w:val="es-ES"/>
          <w14:ligatures w14:val="none"/>
        </w:rPr>
        <w:t xml:space="preserve">(…) </w:t>
      </w:r>
      <w:r w:rsidRPr="00C74027">
        <w:rPr>
          <w:rFonts w:ascii="Palatino Linotype" w:eastAsia="Calibri" w:hAnsi="Palatino Linotype" w:cs="Tahoma"/>
          <w:bCs/>
          <w:kern w:val="0"/>
          <w:lang w:val="es-ES"/>
          <w14:ligatures w14:val="none"/>
        </w:rPr>
        <w:t>el hecho de que se solicitara información relacionada o inmersa en una investigación</w:t>
      </w:r>
      <w:r w:rsidRPr="00C74027">
        <w:rPr>
          <w:rFonts w:ascii="Palatino Linotype" w:eastAsia="Calibri" w:hAnsi="Palatino Linotype" w:cs="Tahoma"/>
          <w:kern w:val="0"/>
          <w:lang w:val="es-ES"/>
          <w14:ligatures w14:val="none"/>
        </w:rPr>
        <w:t xml:space="preserve"> ministerial no genera, por sí misma, que tenga el carácter de reservada por obstaculizar una investigación ministerial, sino que es necesario que la reserva se funde y motive mediante una prueba de daño.</w:t>
      </w:r>
    </w:p>
    <w:p w14:paraId="0F1D120D" w14:textId="77777777" w:rsidR="00C74027" w:rsidRPr="00C74027" w:rsidRDefault="00C74027" w:rsidP="00C74027">
      <w:pPr>
        <w:spacing w:after="0" w:line="360" w:lineRule="auto"/>
        <w:jc w:val="both"/>
        <w:rPr>
          <w:rFonts w:ascii="Palatino Linotype" w:eastAsia="Calibri" w:hAnsi="Palatino Linotype" w:cs="Tahoma"/>
          <w:kern w:val="0"/>
          <w:lang w:val="es-ES"/>
          <w14:ligatures w14:val="none"/>
        </w:rPr>
      </w:pPr>
    </w:p>
    <w:p w14:paraId="694A4879" w14:textId="77777777" w:rsidR="00C74027" w:rsidRPr="00C74027" w:rsidRDefault="00C74027" w:rsidP="00C74027">
      <w:pPr>
        <w:numPr>
          <w:ilvl w:val="0"/>
          <w:numId w:val="1"/>
        </w:numPr>
        <w:spacing w:after="0" w:line="360" w:lineRule="auto"/>
        <w:contextualSpacing/>
        <w:jc w:val="both"/>
        <w:rPr>
          <w:rFonts w:ascii="Palatino Linotype" w:eastAsia="Calibri" w:hAnsi="Palatino Linotype" w:cs="Tahoma"/>
          <w:kern w:val="0"/>
          <w:lang w:val="es-ES"/>
          <w14:ligatures w14:val="none"/>
        </w:rPr>
      </w:pPr>
      <w:r w:rsidRPr="00C74027">
        <w:rPr>
          <w:rFonts w:ascii="Palatino Linotype" w:eastAsia="Calibri" w:hAnsi="Palatino Linotype" w:cs="Tahoma"/>
          <w:kern w:val="0"/>
          <w:lang w:val="es-ES"/>
          <w14:ligatures w14:val="none"/>
        </w:rPr>
        <w:t xml:space="preserve">(…) en la sentencia se sostuvo que el </w:t>
      </w:r>
      <w:r w:rsidRPr="00C74027">
        <w:rPr>
          <w:rFonts w:ascii="Palatino Linotype" w:eastAsia="Calibri" w:hAnsi="Palatino Linotype" w:cs="Tahoma"/>
          <w:b/>
          <w:bCs/>
          <w:kern w:val="0"/>
          <w:u w:val="single"/>
          <w:lang w:val="es-ES"/>
          <w14:ligatures w14:val="none"/>
        </w:rPr>
        <w:t>INAI no había justificado debidamente la ponderación entre los intereses en conflicto al correr la prueba de daño</w:t>
      </w:r>
      <w:r w:rsidRPr="00C74027">
        <w:rPr>
          <w:rFonts w:ascii="Palatino Linotype" w:eastAsia="Calibri" w:hAnsi="Palatino Linotype" w:cs="Tahoma"/>
          <w:kern w:val="0"/>
          <w:lang w:val="es-ES"/>
          <w14:ligatures w14:val="none"/>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61CB3C4C" w14:textId="77777777" w:rsidR="00C74027" w:rsidRPr="00C74027" w:rsidRDefault="00C74027" w:rsidP="00C74027">
      <w:pPr>
        <w:spacing w:after="0" w:line="360" w:lineRule="auto"/>
        <w:jc w:val="both"/>
        <w:rPr>
          <w:rFonts w:ascii="Palatino Linotype" w:eastAsia="Calibri" w:hAnsi="Palatino Linotype" w:cs="Tahoma"/>
          <w:kern w:val="0"/>
          <w:lang w:val="es-ES"/>
          <w14:ligatures w14:val="none"/>
        </w:rPr>
      </w:pPr>
    </w:p>
    <w:p w14:paraId="4CD5107E" w14:textId="77777777" w:rsidR="00C74027" w:rsidRPr="00C74027" w:rsidRDefault="00C74027" w:rsidP="00C74027">
      <w:pPr>
        <w:numPr>
          <w:ilvl w:val="0"/>
          <w:numId w:val="1"/>
        </w:numPr>
        <w:spacing w:after="0" w:line="360" w:lineRule="auto"/>
        <w:contextualSpacing/>
        <w:jc w:val="both"/>
        <w:rPr>
          <w:rFonts w:ascii="Palatino Linotype" w:eastAsia="Calibri" w:hAnsi="Palatino Linotype" w:cs="Tahoma"/>
          <w:kern w:val="0"/>
          <w:lang w:val="es-ES"/>
          <w14:ligatures w14:val="none"/>
        </w:rPr>
      </w:pPr>
      <w:r w:rsidRPr="00C74027">
        <w:rPr>
          <w:rFonts w:ascii="Palatino Linotype" w:eastAsia="Calibri" w:hAnsi="Palatino Linotype" w:cs="Tahoma"/>
          <w:kern w:val="0"/>
          <w:lang w:val="es-ES"/>
          <w14:ligatures w14:val="none"/>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14:paraId="24E6864B" w14:textId="77777777" w:rsidR="00C74027" w:rsidRPr="00C74027" w:rsidRDefault="00C74027" w:rsidP="00C74027">
      <w:pPr>
        <w:spacing w:after="0" w:line="360" w:lineRule="auto"/>
        <w:jc w:val="both"/>
        <w:rPr>
          <w:rFonts w:ascii="Palatino Linotype" w:eastAsia="Calibri" w:hAnsi="Palatino Linotype" w:cs="Tahoma"/>
          <w:kern w:val="0"/>
          <w:lang w:val="es-ES"/>
          <w14:ligatures w14:val="none"/>
        </w:rPr>
      </w:pPr>
    </w:p>
    <w:p w14:paraId="3ABAC0E4" w14:textId="77777777" w:rsidR="00C74027" w:rsidRPr="00C74027" w:rsidRDefault="00C74027" w:rsidP="00C74027">
      <w:pPr>
        <w:spacing w:after="0" w:line="360" w:lineRule="auto"/>
        <w:jc w:val="both"/>
        <w:rPr>
          <w:rFonts w:ascii="Palatino Linotype" w:eastAsia="Calibri" w:hAnsi="Palatino Linotype" w:cs="Tahoma"/>
          <w:kern w:val="0"/>
          <w:lang w:val="es-ES"/>
          <w14:ligatures w14:val="none"/>
        </w:rPr>
      </w:pPr>
      <w:r w:rsidRPr="00C74027">
        <w:rPr>
          <w:rFonts w:ascii="Palatino Linotype" w:eastAsia="Calibri" w:hAnsi="Palatino Linotype" w:cs="Tahoma"/>
          <w:kern w:val="0"/>
          <w:lang w:val="es-ES"/>
          <w14:ligatures w14:val="none"/>
        </w:rPr>
        <w:t>Aún más, al resolverse la impugnación que interpuso el Instituto Nacional de Transparencia, Acceso a la Información y Protección de Datos Personales,  en términos del artículo 81, inciso e) de la Ley de Amparo, que primero fue turnada al Vigésimo Primer Tribunal Colegiado en Materia del Primer Circuito, bajo el número de expediente 192/2018, mismo que fue atraído por la Suprema Corte de Justicia, determinó que:</w:t>
      </w:r>
    </w:p>
    <w:p w14:paraId="2986B5E8" w14:textId="77777777" w:rsidR="00C74027" w:rsidRPr="00C74027" w:rsidRDefault="00C74027" w:rsidP="00C74027">
      <w:pPr>
        <w:spacing w:after="0" w:line="360" w:lineRule="auto"/>
        <w:jc w:val="both"/>
        <w:rPr>
          <w:rFonts w:ascii="Palatino Linotype" w:eastAsia="Calibri" w:hAnsi="Palatino Linotype" w:cs="Tahoma"/>
          <w:kern w:val="0"/>
          <w:lang w:val="es-ES"/>
          <w14:ligatures w14:val="none"/>
        </w:rPr>
      </w:pPr>
    </w:p>
    <w:p w14:paraId="2FFD5F45" w14:textId="77777777" w:rsidR="00C74027" w:rsidRPr="00C74027" w:rsidRDefault="00C74027" w:rsidP="00C74027">
      <w:pPr>
        <w:numPr>
          <w:ilvl w:val="0"/>
          <w:numId w:val="2"/>
        </w:numPr>
        <w:spacing w:after="0" w:line="360" w:lineRule="auto"/>
        <w:contextualSpacing/>
        <w:jc w:val="both"/>
        <w:rPr>
          <w:rFonts w:ascii="Palatino Linotype" w:eastAsia="Calibri" w:hAnsi="Palatino Linotype" w:cs="Tahoma"/>
          <w:kern w:val="0"/>
          <w:lang w:val="es-ES"/>
          <w14:ligatures w14:val="none"/>
        </w:rPr>
      </w:pPr>
      <w:r w:rsidRPr="00C74027">
        <w:rPr>
          <w:rFonts w:ascii="Palatino Linotype" w:eastAsia="Calibri" w:hAnsi="Palatino Linotype" w:cs="Tahoma"/>
          <w:kern w:val="0"/>
          <w:lang w:val="es-ES"/>
          <w14:ligatures w14:val="none"/>
        </w:rPr>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14:paraId="263CB9AD" w14:textId="77777777" w:rsidR="00C74027" w:rsidRPr="00C74027" w:rsidRDefault="00C74027" w:rsidP="00C74027">
      <w:pPr>
        <w:spacing w:after="0" w:line="360" w:lineRule="auto"/>
        <w:jc w:val="both"/>
        <w:rPr>
          <w:rFonts w:ascii="Palatino Linotype" w:eastAsia="Calibri" w:hAnsi="Palatino Linotype" w:cs="Tahoma"/>
          <w:kern w:val="0"/>
          <w:lang w:val="es-ES"/>
          <w14:ligatures w14:val="none"/>
        </w:rPr>
      </w:pPr>
    </w:p>
    <w:p w14:paraId="02ABF300" w14:textId="77777777" w:rsidR="00C74027" w:rsidRPr="00C74027" w:rsidRDefault="00C74027" w:rsidP="00C74027">
      <w:pPr>
        <w:numPr>
          <w:ilvl w:val="0"/>
          <w:numId w:val="2"/>
        </w:numPr>
        <w:spacing w:after="0" w:line="360" w:lineRule="auto"/>
        <w:contextualSpacing/>
        <w:jc w:val="both"/>
        <w:rPr>
          <w:rFonts w:ascii="Palatino Linotype" w:eastAsia="Calibri" w:hAnsi="Palatino Linotype" w:cs="Tahoma"/>
          <w:b/>
          <w:bCs/>
          <w:kern w:val="0"/>
          <w:u w:val="single"/>
          <w:lang w:val="es-ES"/>
          <w14:ligatures w14:val="none"/>
        </w:rPr>
      </w:pPr>
      <w:r w:rsidRPr="00C74027">
        <w:rPr>
          <w:rFonts w:ascii="Palatino Linotype" w:eastAsia="Calibri" w:hAnsi="Palatino Linotype" w:cs="Tahoma"/>
          <w:b/>
          <w:bCs/>
          <w:kern w:val="0"/>
          <w:u w:val="single"/>
          <w:lang w:val="es-ES"/>
          <w14:ligatures w14:val="non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quedara satisfecha en sede administrativa, sin verse en la necesidad de acudir a otras instancias, de tal suerte que se dilate el tiempo en el que verá satisfecho el ejercicio de su derecho.</w:t>
      </w:r>
    </w:p>
    <w:p w14:paraId="1995EF9D" w14:textId="77777777" w:rsidR="00C74027" w:rsidRPr="00C74027" w:rsidRDefault="00C74027" w:rsidP="00C74027">
      <w:pPr>
        <w:spacing w:after="0" w:line="360" w:lineRule="auto"/>
        <w:jc w:val="both"/>
        <w:rPr>
          <w:rFonts w:ascii="Palatino Linotype" w:eastAsia="Calibri" w:hAnsi="Palatino Linotype" w:cs="Tahoma"/>
          <w:kern w:val="0"/>
          <w:lang w:val="es-ES"/>
          <w14:ligatures w14:val="none"/>
        </w:rPr>
      </w:pPr>
    </w:p>
    <w:p w14:paraId="28161EC0" w14:textId="77777777" w:rsidR="00C74027" w:rsidRPr="00C74027" w:rsidRDefault="00C74027" w:rsidP="00C74027">
      <w:pPr>
        <w:spacing w:after="0" w:line="360" w:lineRule="auto"/>
        <w:jc w:val="both"/>
        <w:rPr>
          <w:rFonts w:ascii="Palatino Linotype" w:eastAsia="Calibri" w:hAnsi="Palatino Linotype" w:cs="Tahoma"/>
          <w:kern w:val="0"/>
          <w:lang w:val="es-ES"/>
          <w14:ligatures w14:val="none"/>
        </w:rPr>
      </w:pPr>
      <w:r w:rsidRPr="00C74027">
        <w:rPr>
          <w:rFonts w:ascii="Palatino Linotype" w:eastAsia="Calibri" w:hAnsi="Palatino Linotype" w:cs="Tahoma"/>
          <w:kern w:val="0"/>
          <w:lang w:val="es-ES"/>
          <w14:ligatures w14:val="none"/>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 la prueba de daño.</w:t>
      </w:r>
    </w:p>
    <w:p w14:paraId="73A66584" w14:textId="77777777" w:rsidR="00C74027" w:rsidRPr="00C74027" w:rsidRDefault="00C74027" w:rsidP="00C74027">
      <w:pPr>
        <w:spacing w:after="0" w:line="360" w:lineRule="auto"/>
        <w:jc w:val="both"/>
        <w:rPr>
          <w:rFonts w:ascii="Palatino Linotype" w:hAnsi="Palatino Linotype" w:cs="Tahoma"/>
          <w:kern w:val="0"/>
          <w:lang w:val="es-ES"/>
          <w14:ligatures w14:val="none"/>
        </w:rPr>
      </w:pPr>
    </w:p>
    <w:p w14:paraId="51917AE1" w14:textId="77777777" w:rsidR="00C74027" w:rsidRPr="00C74027" w:rsidRDefault="00C74027" w:rsidP="00C74027">
      <w:pPr>
        <w:spacing w:after="0" w:line="360" w:lineRule="auto"/>
        <w:jc w:val="both"/>
        <w:rPr>
          <w:rFonts w:ascii="Palatino Linotype" w:hAnsi="Palatino Linotype" w:cs="Tahoma"/>
          <w:kern w:val="0"/>
          <w:lang w:val="es-ES"/>
          <w14:ligatures w14:val="none"/>
        </w:rPr>
      </w:pPr>
      <w:r w:rsidRPr="00C74027">
        <w:rPr>
          <w:rFonts w:ascii="Palatino Linotype" w:hAnsi="Palatino Linotype" w:cs="Tahoma"/>
          <w:kern w:val="0"/>
          <w:lang w:val="es-ES"/>
          <w14:ligatures w14:val="none"/>
        </w:rPr>
        <w:t xml:space="preserve">En ese sentido, se debe valorar el daño que causaría la divulgación de la información, con la finalidad de sustentar la reserva de la información y arribar a una determinación debidamente fundada y motivada que tenga como consecuencia la clasificación o no de la información. En otras palabras, la resolución que determina la existencia de información clasificada o bien que revoca dicho argumento, debe contener un análisis exhaustivo de los </w:t>
      </w:r>
      <w:r w:rsidRPr="00C74027">
        <w:rPr>
          <w:rFonts w:ascii="Palatino Linotype" w:hAnsi="Palatino Linotype" w:cs="Tahoma"/>
          <w:kern w:val="0"/>
          <w:lang w:val="es-ES"/>
          <w14:ligatures w14:val="none"/>
        </w:rPr>
        <w:lastRenderedPageBreak/>
        <w:t>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5523E261" w14:textId="77777777" w:rsidR="00C74027" w:rsidRPr="00C74027" w:rsidRDefault="00C74027" w:rsidP="00C74027">
      <w:pPr>
        <w:spacing w:after="0" w:line="360" w:lineRule="auto"/>
        <w:jc w:val="both"/>
        <w:rPr>
          <w:rFonts w:ascii="Palatino Linotype" w:hAnsi="Palatino Linotype" w:cs="Tahoma"/>
          <w:kern w:val="0"/>
          <w:lang w:val="es-ES"/>
          <w14:ligatures w14:val="none"/>
        </w:rPr>
      </w:pPr>
    </w:p>
    <w:p w14:paraId="5CB07881" w14:textId="77777777" w:rsidR="00C74027" w:rsidRPr="00C74027" w:rsidRDefault="00C74027" w:rsidP="00C74027">
      <w:pPr>
        <w:spacing w:after="0" w:line="360" w:lineRule="auto"/>
        <w:jc w:val="both"/>
        <w:rPr>
          <w:rFonts w:ascii="Palatino Linotype" w:hAnsi="Palatino Linotype" w:cs="Tahoma"/>
          <w:kern w:val="0"/>
          <w:lang w:val="es-ES"/>
          <w14:ligatures w14:val="none"/>
        </w:rPr>
      </w:pPr>
      <w:r w:rsidRPr="00C74027">
        <w:rPr>
          <w:rFonts w:ascii="Palatino Linotype" w:hAnsi="Palatino Linotype" w:cs="Tahoma"/>
          <w:kern w:val="0"/>
          <w:lang w:val="es-ES"/>
          <w14:ligatures w14:val="none"/>
        </w:rPr>
        <w:t xml:space="preserve">Bajo esa lógica, estimo que en el presente caso, si bien la naturaleza de la información solicitada en efecto es la de reservada por que la divulgación de la información pueda  vulnerar la conducción del debido proceso, por lo que, se puede desprender que la información, actualiza la causal de reserva establecida en el artículo 140, fracción VI, de la Ley de Transparencia y Acceso a la Información Pública del Estado de México y Municipios, para convalidar o revocar la clasificación como información reservada, se debe efectuar el estudio de clasificación </w:t>
      </w:r>
      <w:r w:rsidRPr="00C74027">
        <w:rPr>
          <w:rFonts w:ascii="Palatino Linotype" w:hAnsi="Palatino Linotype" w:cs="Tahoma"/>
          <w:bCs/>
          <w:kern w:val="0"/>
          <w:lang w:val="es-ES"/>
          <w14:ligatures w14:val="none"/>
        </w:rPr>
        <w:t>a la luz de los elementos que exigen los Lineamientos generales en materia de clasificación y desclasificación de la información, así como para la elaboración de versiones públicas.</w:t>
      </w:r>
    </w:p>
    <w:p w14:paraId="790BE1D3" w14:textId="77777777" w:rsidR="00C74027" w:rsidRPr="00C74027" w:rsidRDefault="00C74027" w:rsidP="00C74027">
      <w:pPr>
        <w:spacing w:after="0" w:line="360" w:lineRule="auto"/>
        <w:jc w:val="both"/>
        <w:rPr>
          <w:rFonts w:ascii="Palatino Linotype" w:hAnsi="Palatino Linotype" w:cs="Tahoma"/>
          <w:bCs/>
          <w:kern w:val="0"/>
          <w:lang w:val="es-ES"/>
          <w14:ligatures w14:val="none"/>
        </w:rPr>
      </w:pPr>
    </w:p>
    <w:p w14:paraId="57E34A3F" w14:textId="77777777" w:rsidR="00C74027" w:rsidRPr="00C74027" w:rsidRDefault="00C74027" w:rsidP="00C74027">
      <w:pPr>
        <w:spacing w:after="0" w:line="360" w:lineRule="auto"/>
        <w:jc w:val="both"/>
        <w:rPr>
          <w:rFonts w:ascii="Palatino Linotype" w:hAnsi="Palatino Linotype" w:cs="Tahoma"/>
          <w:bCs/>
          <w:kern w:val="0"/>
          <w:lang w:val="es-ES"/>
          <w14:ligatures w14:val="none"/>
        </w:rPr>
      </w:pPr>
      <w:r w:rsidRPr="00C74027">
        <w:rPr>
          <w:rFonts w:ascii="Palatino Linotype" w:hAnsi="Palatino Linotype" w:cs="Tahoma"/>
          <w:bCs/>
          <w:kern w:val="0"/>
          <w:lang w:val="es-ES"/>
          <w14:ligatures w14:val="none"/>
        </w:rPr>
        <w:t>En ese sentido, se debe valorar el daño que causaría la divulgación de la información, con la finalidad de sustentar la reserva de la información y arribar a una determinación debidamente fundada y motivada que tenga como consecuencia la clasificación o no de la información.</w:t>
      </w:r>
    </w:p>
    <w:p w14:paraId="45A4309F" w14:textId="77777777" w:rsidR="00C74027" w:rsidRPr="00C74027" w:rsidRDefault="00C74027" w:rsidP="00C74027">
      <w:pPr>
        <w:spacing w:after="0" w:line="360" w:lineRule="auto"/>
        <w:jc w:val="both"/>
        <w:rPr>
          <w:rFonts w:ascii="Palatino Linotype" w:hAnsi="Palatino Linotype" w:cs="Tahoma"/>
          <w:bCs/>
          <w:kern w:val="0"/>
          <w:lang w:val="es-ES"/>
          <w14:ligatures w14:val="none"/>
        </w:rPr>
      </w:pPr>
    </w:p>
    <w:p w14:paraId="46EA2684" w14:textId="77777777" w:rsidR="00C74027" w:rsidRPr="00C74027" w:rsidRDefault="00C74027" w:rsidP="00C74027">
      <w:pPr>
        <w:spacing w:after="0" w:line="360" w:lineRule="auto"/>
        <w:jc w:val="both"/>
        <w:rPr>
          <w:rFonts w:ascii="Palatino Linotype" w:hAnsi="Palatino Linotype" w:cs="Tahoma"/>
          <w:bCs/>
          <w:kern w:val="0"/>
          <w:lang w:val="es-ES"/>
          <w14:ligatures w14:val="none"/>
        </w:rPr>
      </w:pPr>
      <w:r w:rsidRPr="00C74027">
        <w:rPr>
          <w:rFonts w:ascii="Palatino Linotype" w:hAnsi="Palatino Linotype" w:cs="Tahoma"/>
          <w:bCs/>
          <w:kern w:val="0"/>
          <w:lang w:val="es-ES"/>
          <w14:ligatures w14:val="none"/>
        </w:rPr>
        <w:t>En otras palabras, la determinación que propone la existencia de información clasificada o bien que revoca dicho argumento,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1FD47F3B" w14:textId="77777777" w:rsidR="00C74027" w:rsidRPr="00C74027" w:rsidRDefault="00C74027" w:rsidP="00C74027">
      <w:pPr>
        <w:spacing w:after="0" w:line="360" w:lineRule="auto"/>
        <w:jc w:val="both"/>
        <w:rPr>
          <w:rFonts w:ascii="Palatino Linotype" w:hAnsi="Palatino Linotype" w:cs="Tahoma"/>
          <w:bCs/>
          <w:kern w:val="0"/>
          <w:lang w:val="es-ES"/>
          <w14:ligatures w14:val="none"/>
        </w:rPr>
      </w:pPr>
    </w:p>
    <w:p w14:paraId="3621B5C7" w14:textId="77777777" w:rsidR="00C74027" w:rsidRPr="00C74027" w:rsidRDefault="00C74027" w:rsidP="00C74027">
      <w:pPr>
        <w:spacing w:after="0" w:line="360" w:lineRule="auto"/>
        <w:jc w:val="both"/>
        <w:rPr>
          <w:rFonts w:ascii="Palatino Linotype" w:hAnsi="Palatino Linotype" w:cs="Tahoma"/>
          <w:bCs/>
          <w:kern w:val="0"/>
          <w:lang w:val="es-ES"/>
          <w14:ligatures w14:val="none"/>
        </w:rPr>
      </w:pPr>
      <w:r w:rsidRPr="00C74027">
        <w:rPr>
          <w:rFonts w:ascii="Palatino Linotype" w:hAnsi="Palatino Linotype" w:cs="Tahoma"/>
          <w:bCs/>
          <w:kern w:val="0"/>
          <w:lang w:val="es-ES"/>
          <w14:ligatures w14:val="none"/>
        </w:rPr>
        <w:lastRenderedPageBreak/>
        <w:t>En efecto, sólo de esta forma, el Instituto como máxima autoridad en materia de derecho de acceso a la información y protección de datos personales, garantiza que los particulares puedan ejercer sus derechos y ser partícipes de la vida democrática de nuestro Estado y nuestro país, de lo contrario se corre el riesgo de que el Sujeto Obligado realice una clasificación incorrecta de la información.</w:t>
      </w:r>
    </w:p>
    <w:p w14:paraId="464767BD" w14:textId="77777777" w:rsidR="00C74027" w:rsidRPr="00C74027" w:rsidRDefault="00C74027" w:rsidP="00C74027">
      <w:pPr>
        <w:spacing w:after="0" w:line="360" w:lineRule="auto"/>
        <w:jc w:val="both"/>
        <w:rPr>
          <w:rFonts w:ascii="Palatino Linotype" w:hAnsi="Palatino Linotype" w:cs="Tahoma"/>
          <w:bCs/>
          <w:kern w:val="0"/>
          <w:lang w:val="es-ES"/>
          <w14:ligatures w14:val="none"/>
        </w:rPr>
      </w:pPr>
    </w:p>
    <w:p w14:paraId="3C638C56" w14:textId="77777777" w:rsidR="00C74027" w:rsidRPr="00C74027" w:rsidRDefault="00C74027" w:rsidP="00C74027">
      <w:pPr>
        <w:spacing w:after="0" w:line="360" w:lineRule="auto"/>
        <w:jc w:val="both"/>
        <w:rPr>
          <w:rFonts w:ascii="Palatino Linotype" w:hAnsi="Palatino Linotype" w:cs="Tahoma"/>
          <w:bCs/>
          <w:kern w:val="0"/>
          <w:lang w:val="es-ES"/>
          <w14:ligatures w14:val="none"/>
        </w:rPr>
      </w:pPr>
      <w:r w:rsidRPr="00C74027">
        <w:rPr>
          <w:rFonts w:ascii="Palatino Linotype" w:hAnsi="Palatino Linotype" w:cs="Tahoma"/>
          <w:bCs/>
          <w:kern w:val="0"/>
          <w:lang w:val="es-ES"/>
          <w14:ligatures w14:val="none"/>
        </w:rPr>
        <w:t>Por lo tanto, mi postura es a favor de efectuar un análisis exhaustivo en todos aquellos casos que restrinjan el derecho de acceso a la información de los particulares, como es la figura de la clasificación de la información como reservada para verificar que se acredita o no la fracción correspondiente del artículo 140 de la Ley de Transparencia y Acceso a la Información Pública del Estado de México y Municipios, así como la prueba de daño.</w:t>
      </w:r>
    </w:p>
    <w:p w14:paraId="520B8E71" w14:textId="77777777" w:rsidR="00C74027" w:rsidRPr="00C74027" w:rsidRDefault="00C74027" w:rsidP="00C74027">
      <w:pPr>
        <w:spacing w:after="0" w:line="360" w:lineRule="auto"/>
        <w:jc w:val="both"/>
        <w:rPr>
          <w:rFonts w:ascii="Palatino Linotype" w:hAnsi="Palatino Linotype" w:cs="Tahoma"/>
          <w:bCs/>
          <w:kern w:val="0"/>
          <w:lang w:val="es-ES"/>
          <w14:ligatures w14:val="none"/>
        </w:rPr>
      </w:pPr>
    </w:p>
    <w:p w14:paraId="20645EAB" w14:textId="77777777" w:rsidR="00C74027" w:rsidRPr="00C74027" w:rsidRDefault="00C74027" w:rsidP="00C74027">
      <w:pPr>
        <w:spacing w:after="0" w:line="360" w:lineRule="auto"/>
        <w:jc w:val="both"/>
        <w:rPr>
          <w:rFonts w:ascii="Palatino Linotype" w:hAnsi="Palatino Linotype" w:cs="Tahoma"/>
          <w:bCs/>
          <w:kern w:val="0"/>
          <w:lang w:val="es-ES"/>
          <w14:ligatures w14:val="none"/>
        </w:rPr>
      </w:pPr>
      <w:r w:rsidRPr="00C74027">
        <w:rPr>
          <w:rFonts w:ascii="Palatino Linotype" w:hAnsi="Palatino Linotype" w:cs="Tahoma"/>
          <w:bCs/>
          <w:kern w:val="0"/>
          <w:lang w:val="es-ES"/>
          <w14:ligatures w14:val="none"/>
        </w:rPr>
        <w:t>En consecuencia, es necesario que en el análisis de las resoluciones que dicta este Pleno, se proporcione un estudio exhaustivo y ofrecer al Particular las herramientas para conocer las razones por las que procede o no la reserva de la información.</w:t>
      </w:r>
    </w:p>
    <w:p w14:paraId="459082E3" w14:textId="77777777" w:rsidR="00C74027" w:rsidRPr="00C74027" w:rsidRDefault="00C74027" w:rsidP="00C74027">
      <w:pPr>
        <w:spacing w:after="0" w:line="360" w:lineRule="auto"/>
        <w:jc w:val="both"/>
        <w:rPr>
          <w:rFonts w:ascii="Palatino Linotype" w:hAnsi="Palatino Linotype" w:cs="Tahoma"/>
          <w:bCs/>
          <w:kern w:val="0"/>
          <w:lang w:val="es-ES"/>
          <w14:ligatures w14:val="none"/>
        </w:rPr>
      </w:pPr>
    </w:p>
    <w:p w14:paraId="53FA2437" w14:textId="77777777" w:rsidR="00C74027" w:rsidRPr="00C74027" w:rsidRDefault="00C74027" w:rsidP="00C74027">
      <w:pPr>
        <w:spacing w:after="0" w:line="360" w:lineRule="auto"/>
        <w:jc w:val="both"/>
        <w:rPr>
          <w:rFonts w:ascii="Palatino Linotype" w:hAnsi="Palatino Linotype" w:cs="Tahoma"/>
          <w:bCs/>
          <w:kern w:val="0"/>
          <w:lang w:val="es-ES"/>
          <w14:ligatures w14:val="none"/>
        </w:rPr>
      </w:pPr>
      <w:r w:rsidRPr="00C74027">
        <w:rPr>
          <w:rFonts w:ascii="Palatino Linotype" w:hAnsi="Palatino Linotype" w:cs="Tahoma"/>
          <w:bCs/>
          <w:kern w:val="0"/>
          <w:lang w:val="es-ES"/>
          <w14:ligatures w14:val="none"/>
        </w:rPr>
        <w:t>Así, con base en los razonamientos expuestos, se emite el Presente Voto Particular. ---------- ------------------------------------------------------------------------------------------------------------------------</w:t>
      </w:r>
    </w:p>
    <w:p w14:paraId="3E4C4572" w14:textId="77777777" w:rsidR="00C74027" w:rsidRPr="00C74027" w:rsidRDefault="00C74027" w:rsidP="00C74027">
      <w:pPr>
        <w:spacing w:after="0" w:line="360" w:lineRule="auto"/>
        <w:jc w:val="both"/>
        <w:rPr>
          <w:rFonts w:ascii="Palatino Linotype" w:hAnsi="Palatino Linotype" w:cs="Tahoma"/>
          <w:kern w:val="0"/>
          <w:lang w:val="es-ES"/>
          <w14:ligatures w14:val="none"/>
        </w:rPr>
      </w:pPr>
    </w:p>
    <w:p w14:paraId="0F10FCBC" w14:textId="77777777" w:rsidR="00C74027" w:rsidRPr="00C74027" w:rsidRDefault="00C74027" w:rsidP="00C74027">
      <w:pPr>
        <w:spacing w:after="0" w:line="360" w:lineRule="auto"/>
        <w:jc w:val="both"/>
        <w:rPr>
          <w:rFonts w:ascii="Palatino Linotype" w:hAnsi="Palatino Linotype" w:cs="Tahoma"/>
          <w:kern w:val="0"/>
          <w:lang w:val="es-ES"/>
          <w14:ligatures w14:val="none"/>
        </w:rPr>
      </w:pPr>
    </w:p>
    <w:p w14:paraId="19BC755E" w14:textId="77777777" w:rsidR="00C74027" w:rsidRPr="00C74027" w:rsidRDefault="00C74027" w:rsidP="00C74027">
      <w:pPr>
        <w:spacing w:after="0" w:line="360" w:lineRule="auto"/>
        <w:jc w:val="both"/>
        <w:rPr>
          <w:rFonts w:ascii="Palatino Linotype" w:hAnsi="Palatino Linotype" w:cs="Tahoma"/>
          <w:kern w:val="0"/>
          <w:lang w:val="es-ES"/>
          <w14:ligatures w14:val="none"/>
        </w:rPr>
      </w:pPr>
    </w:p>
    <w:p w14:paraId="6DEF4C0C" w14:textId="77777777" w:rsidR="00C74027" w:rsidRPr="00C74027" w:rsidRDefault="00C74027" w:rsidP="00C74027">
      <w:pPr>
        <w:spacing w:after="0" w:line="360" w:lineRule="auto"/>
        <w:jc w:val="both"/>
        <w:rPr>
          <w:rFonts w:ascii="Palatino Linotype" w:hAnsi="Palatino Linotype" w:cs="Tahoma"/>
          <w:kern w:val="0"/>
          <w:lang w:val="es-ES"/>
          <w14:ligatures w14:val="none"/>
        </w:rPr>
      </w:pPr>
    </w:p>
    <w:p w14:paraId="10454B58" w14:textId="77777777" w:rsidR="00C74027" w:rsidRPr="00C74027" w:rsidRDefault="00C74027" w:rsidP="00C74027">
      <w:pPr>
        <w:spacing w:after="0" w:line="360" w:lineRule="auto"/>
        <w:jc w:val="both"/>
        <w:rPr>
          <w:rFonts w:ascii="Palatino Linotype" w:hAnsi="Palatino Linotype" w:cs="Tahoma"/>
          <w:kern w:val="0"/>
          <w:lang w:val="es-ES"/>
          <w14:ligatures w14:val="none"/>
        </w:rPr>
      </w:pPr>
    </w:p>
    <w:p w14:paraId="4D68207F" w14:textId="77777777" w:rsidR="00C74027" w:rsidRPr="00C74027" w:rsidRDefault="00C74027" w:rsidP="00C74027">
      <w:pPr>
        <w:spacing w:after="0" w:line="360" w:lineRule="auto"/>
        <w:jc w:val="both"/>
        <w:rPr>
          <w:rFonts w:ascii="Palatino Linotype" w:hAnsi="Palatino Linotype" w:cs="Tahoma"/>
          <w:kern w:val="0"/>
          <w:lang w:val="es-ES"/>
          <w14:ligatures w14:val="none"/>
        </w:rPr>
      </w:pPr>
    </w:p>
    <w:p w14:paraId="2EB38473" w14:textId="77777777" w:rsidR="00C74027" w:rsidRPr="00C74027" w:rsidRDefault="00C74027" w:rsidP="00C74027">
      <w:pPr>
        <w:spacing w:after="0" w:line="360" w:lineRule="auto"/>
        <w:jc w:val="both"/>
        <w:rPr>
          <w:rFonts w:ascii="Palatino Linotype" w:hAnsi="Palatino Linotype" w:cs="Tahoma"/>
          <w:kern w:val="0"/>
          <w:lang w:val="es-ES"/>
          <w14:ligatures w14:val="none"/>
        </w:rPr>
      </w:pPr>
    </w:p>
    <w:p w14:paraId="37ED013A" w14:textId="77777777" w:rsidR="00C74027" w:rsidRPr="00C74027" w:rsidRDefault="00C74027" w:rsidP="00C74027">
      <w:pPr>
        <w:spacing w:after="0" w:line="360" w:lineRule="auto"/>
        <w:jc w:val="both"/>
        <w:rPr>
          <w:kern w:val="0"/>
          <w:lang w:val="es-ES"/>
          <w14:ligatures w14:val="none"/>
        </w:rPr>
      </w:pPr>
    </w:p>
    <w:p w14:paraId="52ACADE3" w14:textId="77777777" w:rsidR="008302C9" w:rsidRPr="0078053D" w:rsidRDefault="008302C9"/>
    <w:sectPr w:rsidR="008302C9" w:rsidRPr="0078053D" w:rsidSect="00E16188">
      <w:headerReference w:type="even" r:id="rId7"/>
      <w:headerReference w:type="default" r:id="rId8"/>
      <w:footerReference w:type="default" r:id="rId9"/>
      <w:headerReference w:type="first" r:id="rId10"/>
      <w:pgSz w:w="12240" w:h="15840" w:code="1"/>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900CA" w14:textId="77777777" w:rsidR="00B65E4E" w:rsidRDefault="00B65E4E" w:rsidP="00C74027">
      <w:pPr>
        <w:spacing w:after="0" w:line="240" w:lineRule="auto"/>
      </w:pPr>
      <w:r>
        <w:separator/>
      </w:r>
    </w:p>
  </w:endnote>
  <w:endnote w:type="continuationSeparator" w:id="0">
    <w:p w14:paraId="51AE2723" w14:textId="77777777" w:rsidR="00B65E4E" w:rsidRDefault="00B65E4E" w:rsidP="00C74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2F1B5973" w14:textId="77777777" w:rsidR="006904CB" w:rsidRDefault="00000000">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10</w:t>
            </w:r>
            <w:r>
              <w:rPr>
                <w:b/>
                <w:bCs/>
                <w:sz w:val="24"/>
                <w:szCs w:val="24"/>
              </w:rPr>
              <w:fldChar w:fldCharType="end"/>
            </w:r>
          </w:p>
        </w:sdtContent>
      </w:sdt>
    </w:sdtContent>
  </w:sdt>
  <w:p w14:paraId="47435B7B" w14:textId="77777777" w:rsidR="006904CB" w:rsidRDefault="006904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3ACBA" w14:textId="77777777" w:rsidR="00B65E4E" w:rsidRDefault="00B65E4E" w:rsidP="00C74027">
      <w:pPr>
        <w:spacing w:after="0" w:line="240" w:lineRule="auto"/>
      </w:pPr>
      <w:r>
        <w:separator/>
      </w:r>
    </w:p>
  </w:footnote>
  <w:footnote w:type="continuationSeparator" w:id="0">
    <w:p w14:paraId="594C007A" w14:textId="77777777" w:rsidR="00B65E4E" w:rsidRDefault="00B65E4E" w:rsidP="00C74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9815E" w14:textId="77777777" w:rsidR="006904CB" w:rsidRDefault="00000000">
    <w:pPr>
      <w:pStyle w:val="Encabezado"/>
    </w:pPr>
    <w:r>
      <w:rPr>
        <w:noProof/>
      </w:rPr>
      <w:pict w14:anchorId="1A54D2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6" type="#_x0000_t136" style="position:absolute;margin-left:0;margin-top:0;width:541.8pt;height:81.25pt;rotation:315;z-index:-251656192;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5954"/>
    </w:tblGrid>
    <w:tr w:rsidR="0077694E" w:rsidRPr="001106EA" w14:paraId="6C475C85" w14:textId="77777777" w:rsidTr="0040472D">
      <w:trPr>
        <w:trHeight w:val="1843"/>
      </w:trPr>
      <w:tc>
        <w:tcPr>
          <w:tcW w:w="3119" w:type="dxa"/>
          <w:vAlign w:val="bottom"/>
        </w:tcPr>
        <w:p w14:paraId="47CB52E1" w14:textId="77777777" w:rsidR="006904CB" w:rsidRDefault="00000000" w:rsidP="00285C7B">
          <w:pPr>
            <w:pStyle w:val="Encabezado"/>
            <w:tabs>
              <w:tab w:val="center" w:pos="2614"/>
            </w:tabs>
            <w:ind w:left="-255"/>
          </w:pPr>
          <w:r>
            <w:rPr>
              <w:noProof/>
              <w:sz w:val="10"/>
              <w:szCs w:val="10"/>
              <w:lang w:eastAsia="es-MX"/>
            </w:rPr>
            <w:drawing>
              <wp:anchor distT="0" distB="0" distL="114300" distR="114300" simplePos="0" relativeHeight="251662336" behindDoc="0" locked="0" layoutInCell="1" allowOverlap="1" wp14:anchorId="261CDB07" wp14:editId="3C0B5011">
                <wp:simplePos x="0" y="0"/>
                <wp:positionH relativeFrom="column">
                  <wp:posOffset>-291465</wp:posOffset>
                </wp:positionH>
                <wp:positionV relativeFrom="paragraph">
                  <wp:posOffset>-860425</wp:posOffset>
                </wp:positionV>
                <wp:extent cx="1873250" cy="1126490"/>
                <wp:effectExtent l="0" t="0" r="0" b="0"/>
                <wp:wrapNone/>
                <wp:docPr id="1159569033" name="Imagen 1159569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5E374E20" w14:textId="77777777" w:rsidR="006904CB" w:rsidRDefault="006904CB" w:rsidP="00285C7B">
          <w:pPr>
            <w:pStyle w:val="Encabezado"/>
            <w:tabs>
              <w:tab w:val="center" w:pos="2614"/>
            </w:tabs>
            <w:ind w:left="-255"/>
          </w:pPr>
        </w:p>
      </w:tc>
      <w:tc>
        <w:tcPr>
          <w:tcW w:w="5954" w:type="dxa"/>
          <w:vAlign w:val="center"/>
        </w:tcPr>
        <w:p w14:paraId="0ABD159E" w14:textId="77777777" w:rsidR="006904CB" w:rsidRPr="00B9745A" w:rsidRDefault="00000000"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p>
        <w:p w14:paraId="12F308C5" w14:textId="5ECFD48F" w:rsidR="006904CB" w:rsidRDefault="00000000" w:rsidP="00285C7B">
          <w:pPr>
            <w:pStyle w:val="Encabezado"/>
            <w:ind w:left="-108" w:right="37"/>
            <w:jc w:val="both"/>
            <w:rPr>
              <w:rFonts w:ascii="Palatino Linotype" w:hAnsi="Palatino Linotype"/>
              <w:lang w:val="es-MX"/>
            </w:rPr>
          </w:pPr>
          <w:r w:rsidRPr="00B9745A">
            <w:rPr>
              <w:rFonts w:ascii="Palatino Linotype" w:hAnsi="Palatino Linotype" w:cs="Tahoma"/>
              <w:b/>
            </w:rPr>
            <w:t>Recurso de Revisión:</w:t>
          </w:r>
          <w:r>
            <w:rPr>
              <w:rFonts w:ascii="Palatino Linotype" w:hAnsi="Palatino Linotype" w:cs="Tahoma"/>
              <w:b/>
            </w:rPr>
            <w:t xml:space="preserve"> </w:t>
          </w:r>
          <w:r>
            <w:rPr>
              <w:rFonts w:ascii="Palatino Linotype" w:hAnsi="Palatino Linotype" w:cs="Tahoma"/>
              <w:bCs/>
            </w:rPr>
            <w:t>0</w:t>
          </w:r>
          <w:r w:rsidR="00C74027">
            <w:rPr>
              <w:rFonts w:ascii="Palatino Linotype" w:hAnsi="Palatino Linotype" w:cs="Tahoma"/>
              <w:bCs/>
            </w:rPr>
            <w:t>1460</w:t>
          </w:r>
          <w:r>
            <w:rPr>
              <w:rFonts w:ascii="Palatino Linotype" w:hAnsi="Palatino Linotype" w:cs="Tahoma"/>
              <w:bCs/>
            </w:rPr>
            <w:t>/</w:t>
          </w:r>
          <w:r w:rsidRPr="0095436B">
            <w:rPr>
              <w:rFonts w:ascii="Palatino Linotype" w:hAnsi="Palatino Linotype" w:cs="Tahoma"/>
              <w:bCs/>
            </w:rPr>
            <w:t>INFOEM/IP/RR/202</w:t>
          </w:r>
          <w:r w:rsidR="00C74027">
            <w:rPr>
              <w:rFonts w:ascii="Palatino Linotype" w:hAnsi="Palatino Linotype" w:cs="Tahoma"/>
              <w:bCs/>
            </w:rPr>
            <w:t>5</w:t>
          </w:r>
        </w:p>
        <w:p w14:paraId="405835B3" w14:textId="77777777" w:rsidR="00C74027" w:rsidRDefault="00000000" w:rsidP="00C74027">
          <w:pPr>
            <w:pStyle w:val="Encabezado"/>
            <w:ind w:left="-108" w:right="37"/>
            <w:jc w:val="both"/>
            <w:rPr>
              <w:rFonts w:ascii="Palatino Linotype" w:hAnsi="Palatino Linotype"/>
              <w:bCs/>
              <w:lang w:val="es-MX"/>
            </w:rPr>
          </w:pPr>
          <w:r>
            <w:rPr>
              <w:rFonts w:ascii="Palatino Linotype" w:hAnsi="Palatino Linotype" w:cs="Tahoma"/>
              <w:b/>
            </w:rPr>
            <w:t>Sujeto Obligado:</w:t>
          </w:r>
          <w:r>
            <w:rPr>
              <w:rFonts w:ascii="Palatino Linotype" w:hAnsi="Palatino Linotype"/>
              <w:bCs/>
              <w:lang w:val="es-MX"/>
            </w:rPr>
            <w:t xml:space="preserve"> </w:t>
          </w:r>
          <w:r w:rsidR="00C74027">
            <w:rPr>
              <w:rFonts w:ascii="Palatino Linotype" w:hAnsi="Palatino Linotype"/>
              <w:bCs/>
              <w:lang w:val="es-MX"/>
            </w:rPr>
            <w:t>Ayuntamiento de Xonacatlán</w:t>
          </w:r>
        </w:p>
        <w:p w14:paraId="497017A1" w14:textId="51A2615A" w:rsidR="006904CB" w:rsidRPr="00285C7B" w:rsidRDefault="00000000" w:rsidP="00C74027">
          <w:pPr>
            <w:pStyle w:val="Encabezado"/>
            <w:ind w:left="-108" w:right="37"/>
            <w:jc w:val="both"/>
            <w:rPr>
              <w:rFonts w:ascii="Palatino Linotype" w:hAnsi="Palatino Linotype"/>
              <w:bCs/>
              <w:lang w:val="es-ES_tradnl"/>
            </w:rPr>
          </w:pPr>
          <w:r w:rsidRPr="00B9745A">
            <w:rPr>
              <w:rFonts w:ascii="Palatino Linotype" w:hAnsi="Palatino Linotype" w:cs="Tahoma"/>
              <w:b/>
            </w:rPr>
            <w:t xml:space="preserve">Comisionado Ponente: </w:t>
          </w:r>
          <w:r>
            <w:rPr>
              <w:rFonts w:ascii="Palatino Linotype" w:hAnsi="Palatino Linotype" w:cs="Arial"/>
              <w:szCs w:val="20"/>
            </w:rPr>
            <w:t>José Martínez V</w:t>
          </w:r>
          <w:r w:rsidR="00C74027">
            <w:rPr>
              <w:rFonts w:ascii="Palatino Linotype" w:hAnsi="Palatino Linotype" w:cs="Arial"/>
              <w:szCs w:val="20"/>
            </w:rPr>
            <w:t>ilchis</w:t>
          </w:r>
        </w:p>
      </w:tc>
    </w:tr>
  </w:tbl>
  <w:p w14:paraId="08B53CC7" w14:textId="77777777" w:rsidR="006904CB" w:rsidRPr="001106EA" w:rsidRDefault="00000000">
    <w:pPr>
      <w:pStyle w:val="Encabezado"/>
      <w:rPr>
        <w:sz w:val="2"/>
        <w:szCs w:val="2"/>
      </w:rPr>
    </w:pPr>
    <w:r>
      <w:rPr>
        <w:noProof/>
      </w:rPr>
      <w:pict w14:anchorId="431E6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6" o:spid="_x0000_s1027" type="#_x0000_t136" style="position:absolute;margin-left:0;margin-top:0;width:541.8pt;height:81.25pt;rotation:315;z-index:-251655168;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C5B04" w14:textId="77777777" w:rsidR="006904CB" w:rsidRDefault="00000000">
    <w:pPr>
      <w:pStyle w:val="Encabezado"/>
    </w:pPr>
    <w:r>
      <w:rPr>
        <w:noProof/>
      </w:rPr>
      <w:pict w14:anchorId="0128C4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5" type="#_x0000_t136" style="position:absolute;margin-left:0;margin-top:0;width:541.8pt;height:81.25pt;rotation:315;z-index:-25165824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819154597">
    <w:abstractNumId w:val="0"/>
  </w:num>
  <w:num w:numId="2" w16cid:durableId="638610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27"/>
    <w:rsid w:val="00282E17"/>
    <w:rsid w:val="002B7DAD"/>
    <w:rsid w:val="006904CB"/>
    <w:rsid w:val="0078053D"/>
    <w:rsid w:val="008302C9"/>
    <w:rsid w:val="00B65E4E"/>
    <w:rsid w:val="00C437AF"/>
    <w:rsid w:val="00C74027"/>
    <w:rsid w:val="00C8157B"/>
    <w:rsid w:val="00CD5956"/>
    <w:rsid w:val="00E16188"/>
    <w:rsid w:val="00F26D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A894A"/>
  <w15:chartTrackingRefBased/>
  <w15:docId w15:val="{F95AA65E-C566-4CD7-8F45-9670A281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40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4027"/>
  </w:style>
  <w:style w:type="paragraph" w:styleId="Piedepgina">
    <w:name w:val="footer"/>
    <w:basedOn w:val="Normal"/>
    <w:link w:val="PiedepginaCar"/>
    <w:uiPriority w:val="99"/>
    <w:unhideWhenUsed/>
    <w:rsid w:val="00C740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4027"/>
  </w:style>
  <w:style w:type="table" w:styleId="Tablaconcuadrcula">
    <w:name w:val="Table Grid"/>
    <w:basedOn w:val="Tablanormal"/>
    <w:uiPriority w:val="59"/>
    <w:rsid w:val="00C74027"/>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161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2516</Words>
  <Characters>13840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 Gs</dc:creator>
  <cp:keywords/>
  <dc:description/>
  <cp:lastModifiedBy>inf03m_31@outlook.com</cp:lastModifiedBy>
  <cp:revision>3</cp:revision>
  <dcterms:created xsi:type="dcterms:W3CDTF">2025-05-02T22:10:00Z</dcterms:created>
  <dcterms:modified xsi:type="dcterms:W3CDTF">2025-05-06T16:10:00Z</dcterms:modified>
</cp:coreProperties>
</file>