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76" w:rsidRDefault="007F509E">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 xml:space="preserve">ÉCIMA NOVENA SESIÓN ORDINARIA DEL VEINTIOCHO DE MAYO DE DOS MIL VEINTICINCO EN EL RECURSO DE REVISIÓN </w:t>
      </w:r>
      <w:r>
        <w:rPr>
          <w:rFonts w:ascii="Palatino Linotype" w:eastAsia="Palatino Linotype" w:hAnsi="Palatino Linotype" w:cs="Palatino Linotype"/>
          <w:b/>
          <w:color w:val="000000"/>
        </w:rPr>
        <w:t>02769/INFOEM/IP/RR/2025.</w:t>
      </w:r>
    </w:p>
    <w:p w:rsidR="00E23276" w:rsidRDefault="007F509E">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w:t>
      </w:r>
      <w:r>
        <w:rPr>
          <w:rFonts w:ascii="Palatino Linotype" w:eastAsia="Palatino Linotype" w:hAnsi="Palatino Linotype" w:cs="Palatino Linotype"/>
        </w:rPr>
        <w:t xml:space="preserve">solvió por unanimidad de votos, </w:t>
      </w:r>
      <w:r>
        <w:rPr>
          <w:rFonts w:ascii="Palatino Linotype" w:eastAsia="Palatino Linotype" w:hAnsi="Palatino Linotype" w:cs="Palatino Linotype"/>
        </w:rPr>
        <w:t xml:space="preserve">la Resolución relativa al Recurso de Revisión </w:t>
      </w:r>
      <w:r>
        <w:rPr>
          <w:rFonts w:ascii="Palatino Linotype" w:eastAsia="Palatino Linotype" w:hAnsi="Palatino Linotype" w:cs="Palatino Linotype"/>
          <w:b/>
          <w:color w:val="000000"/>
        </w:rPr>
        <w:t>02769/INFOEM/IP/RR/2025</w:t>
      </w:r>
      <w:r>
        <w:rPr>
          <w:rFonts w:ascii="Palatino Linotype" w:eastAsia="Palatino Linotype" w:hAnsi="Palatino Linotype" w:cs="Palatino Linotype"/>
          <w:b/>
        </w:rPr>
        <w:t xml:space="preserve">, </w:t>
      </w:r>
      <w:r w:rsidR="00052740">
        <w:rPr>
          <w:rFonts w:ascii="Palatino Linotype" w:eastAsia="Palatino Linotype" w:hAnsi="Palatino Linotype" w:cs="Palatino Linotype"/>
          <w:b/>
        </w:rPr>
        <w:t xml:space="preserve">misma que fue engrosada conforme el criterio mayoritario,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w:t>
      </w:r>
      <w:r>
        <w:rPr>
          <w:rFonts w:ascii="Palatino Linotype" w:eastAsia="Palatino Linotype" w:hAnsi="Palatino Linotype" w:cs="Palatino Linotype"/>
        </w:rPr>
        <w:t xml:space="preserve"> de Transparencia, Acceso a la Información Pública y Protección de Personales Datos del Estado de México, así como 45 y 48, fracción I, de los Lineamientos para el funcionamiento del Pleno y las Comisiones del Instituto de Transparencia, Acceso a la Inform</w:t>
      </w:r>
      <w:r>
        <w:rPr>
          <w:rFonts w:ascii="Palatino Linotype" w:eastAsia="Palatino Linotype" w:hAnsi="Palatino Linotype" w:cs="Palatino Linotype"/>
        </w:rPr>
        <w:t xml:space="preserve">ación Pública y Protección de Datos Personales del Estado de México y Municipios. </w:t>
      </w:r>
    </w:p>
    <w:p w:rsidR="00E23276" w:rsidRDefault="007F509E">
      <w:pPr>
        <w:numPr>
          <w:ilvl w:val="0"/>
          <w:numId w:val="1"/>
        </w:numPr>
        <w:spacing w:before="240" w:after="24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rsidR="00E23276" w:rsidRDefault="007F509E">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la persona solicitante requirió del </w:t>
      </w:r>
      <w:r>
        <w:rPr>
          <w:rFonts w:ascii="Palatino Linotype" w:eastAsia="Palatino Linotype" w:hAnsi="Palatino Linotype" w:cs="Palatino Linotype"/>
          <w:b/>
        </w:rPr>
        <w:t>Sujeto Obligado</w:t>
      </w:r>
      <w:r>
        <w:rPr>
          <w:rFonts w:ascii="Palatino Linotype" w:eastAsia="Palatino Linotype" w:hAnsi="Palatino Linotype" w:cs="Palatino Linotype"/>
        </w:rPr>
        <w:t>, le proporcionara, entre otra información, lo siguient</w:t>
      </w:r>
      <w:r>
        <w:rPr>
          <w:rFonts w:ascii="Palatino Linotype" w:eastAsia="Palatino Linotype" w:hAnsi="Palatino Linotype" w:cs="Palatino Linotype"/>
        </w:rPr>
        <w:t>e:</w:t>
      </w:r>
    </w:p>
    <w:p w:rsidR="00E23276" w:rsidRDefault="007F509E">
      <w:pPr>
        <w:numPr>
          <w:ilvl w:val="0"/>
          <w:numId w:val="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 laudos que tiene a la fecha de la solicitud -30 de enero de 2025-.</w:t>
      </w:r>
    </w:p>
    <w:p w:rsidR="00E23276" w:rsidRDefault="007F509E">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respuesta se pronunció por conducto de la Tesorería Municipal, misma que indicó que la información es competencia del área jurídica. </w:t>
      </w:r>
    </w:p>
    <w:p w:rsidR="00E23276" w:rsidRDefault="00E23276">
      <w:pPr>
        <w:spacing w:after="0" w:line="360" w:lineRule="auto"/>
        <w:ind w:right="49"/>
        <w:jc w:val="both"/>
        <w:rPr>
          <w:rFonts w:ascii="Palatino Linotype" w:eastAsia="Palatino Linotype" w:hAnsi="Palatino Linotype" w:cs="Palatino Linotype"/>
        </w:rPr>
      </w:pPr>
    </w:p>
    <w:p w:rsidR="00E23276" w:rsidRDefault="007F509E">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la parte </w:t>
      </w:r>
      <w:r>
        <w:rPr>
          <w:rFonts w:ascii="Palatino Linotype" w:eastAsia="Palatino Linotype" w:hAnsi="Palatino Linotype" w:cs="Palatino Linotype"/>
          <w:b/>
        </w:rPr>
        <w:t>Rec</w:t>
      </w:r>
      <w:r>
        <w:rPr>
          <w:rFonts w:ascii="Palatino Linotype" w:eastAsia="Palatino Linotype" w:hAnsi="Palatino Linotype" w:cs="Palatino Linotype"/>
          <w:b/>
        </w:rPr>
        <w:t xml:space="preserve">urrente </w:t>
      </w:r>
      <w:r>
        <w:rPr>
          <w:rFonts w:ascii="Palatino Linotype" w:eastAsia="Palatino Linotype" w:hAnsi="Palatino Linotype" w:cs="Palatino Linotype"/>
        </w:rPr>
        <w:t>presentó el recurso de revisión que se resolvió, donde se manifestó en los siguientes términos:</w:t>
      </w:r>
    </w:p>
    <w:p w:rsidR="00E23276" w:rsidRDefault="007F509E">
      <w:pPr>
        <w:tabs>
          <w:tab w:val="left" w:pos="2745"/>
        </w:tabs>
        <w:spacing w:before="240" w:after="24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a) Acto impugnado: </w:t>
      </w:r>
      <w:r>
        <w:rPr>
          <w:rFonts w:ascii="Palatino Linotype" w:eastAsia="Palatino Linotype" w:hAnsi="Palatino Linotype" w:cs="Palatino Linotype"/>
          <w:i/>
        </w:rPr>
        <w:t>“información incompleta” (Sic)</w:t>
      </w:r>
    </w:p>
    <w:p w:rsidR="00E23276" w:rsidRDefault="007F509E">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rPr>
        <w:t>b) Razones o motivos de inconformidad</w:t>
      </w:r>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“Solo demuestran la incompetencia de los directores al no saber contestar, el incompetente del titular de la unidad de transparencia. </w:t>
      </w:r>
      <w:proofErr w:type="gramStart"/>
      <w:r>
        <w:rPr>
          <w:rFonts w:ascii="Palatino Linotype" w:eastAsia="Palatino Linotype" w:hAnsi="Palatino Linotype" w:cs="Palatino Linotype"/>
          <w:i/>
        </w:rPr>
        <w:t>no</w:t>
      </w:r>
      <w:proofErr w:type="gramEnd"/>
      <w:r>
        <w:rPr>
          <w:rFonts w:ascii="Palatino Linotype" w:eastAsia="Palatino Linotype" w:hAnsi="Palatino Linotype" w:cs="Palatino Linotype"/>
          <w:i/>
        </w:rPr>
        <w:t xml:space="preserve"> dan contestación a la solicitud.” (Sic)</w:t>
      </w:r>
    </w:p>
    <w:p w:rsidR="00E23276" w:rsidRDefault="00E23276">
      <w:pPr>
        <w:tabs>
          <w:tab w:val="left" w:pos="284"/>
        </w:tabs>
        <w:spacing w:after="0" w:line="360" w:lineRule="auto"/>
        <w:jc w:val="both"/>
        <w:rPr>
          <w:rFonts w:ascii="Palatino Linotype" w:eastAsia="Palatino Linotype" w:hAnsi="Palatino Linotype" w:cs="Palatino Linotype"/>
        </w:rPr>
      </w:pPr>
    </w:p>
    <w:p w:rsidR="00E23276" w:rsidRDefault="007F509E">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Consecuentemente, de las constancias que integran el expediente en que se actú</w:t>
      </w:r>
      <w:r>
        <w:rPr>
          <w:rFonts w:ascii="Palatino Linotype" w:eastAsia="Palatino Linotype" w:hAnsi="Palatino Linotype" w:cs="Palatino Linotype"/>
          <w:color w:val="000000"/>
        </w:rPr>
        <w:t xml:space="preserve">a, se advierte que, durante el periodo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fue omiso en rendir informe justificado; y,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fue omisa en hacer valer manifestaciones o rendir alegatos que conforme a derecho resulten procedentes.</w:t>
      </w:r>
    </w:p>
    <w:p w:rsidR="00E23276" w:rsidRDefault="00E23276">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23276" w:rsidRDefault="007F509E">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Bajo esas</w:t>
      </w:r>
      <w:r>
        <w:rPr>
          <w:rFonts w:ascii="Palatino Linotype" w:eastAsia="Palatino Linotype" w:hAnsi="Palatino Linotype" w:cs="Palatino Linotype"/>
        </w:rPr>
        <w:t xml:space="preserve"> consideraciones, el Pleno de este Instituto determinó que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resultaban parcialmente fundadas, y determinó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ordenar la entrega, de lo </w:t>
      </w:r>
      <w:r>
        <w:rPr>
          <w:rFonts w:ascii="Palatino Linotype" w:eastAsia="Palatino Linotype" w:hAnsi="Palatino Linotype" w:cs="Palatino Linotype"/>
        </w:rPr>
        <w:t>siguiente:</w:t>
      </w:r>
    </w:p>
    <w:p w:rsidR="00E23276" w:rsidRDefault="00E23276">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23276" w:rsidRDefault="007F509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rPr>
        <w:t>“</w:t>
      </w:r>
      <w:r>
        <w:rPr>
          <w:rFonts w:ascii="Palatino Linotype" w:eastAsia="Palatino Linotype" w:hAnsi="Palatino Linotype" w:cs="Palatino Linotype"/>
          <w:b/>
          <w:i/>
        </w:rPr>
        <w:t xml:space="preserve">Primero. </w:t>
      </w:r>
      <w:r>
        <w:rPr>
          <w:rFonts w:ascii="Palatino Linotype" w:eastAsia="Palatino Linotype" w:hAnsi="Palatino Linotype" w:cs="Palatino Linotype"/>
          <w:i/>
        </w:rPr>
        <w:t xml:space="preserve">Resultan </w:t>
      </w:r>
      <w:r>
        <w:rPr>
          <w:rFonts w:ascii="Palatino Linotype" w:eastAsia="Palatino Linotype" w:hAnsi="Palatino Linotype" w:cs="Palatino Linotype"/>
          <w:b/>
          <w:i/>
        </w:rPr>
        <w:t>parcialmente</w:t>
      </w:r>
      <w:r>
        <w:rPr>
          <w:rFonts w:ascii="Palatino Linotype" w:eastAsia="Palatino Linotype" w:hAnsi="Palatino Linotype" w:cs="Palatino Linotype"/>
          <w:i/>
        </w:rPr>
        <w:t xml:space="preserve"> </w:t>
      </w:r>
      <w:r>
        <w:rPr>
          <w:rFonts w:ascii="Palatino Linotype" w:eastAsia="Palatino Linotype" w:hAnsi="Palatino Linotype" w:cs="Palatino Linotype"/>
          <w:b/>
          <w:i/>
        </w:rPr>
        <w:t>fundadas</w:t>
      </w:r>
      <w:r>
        <w:rPr>
          <w:rFonts w:ascii="Palatino Linotype" w:eastAsia="Palatino Linotype" w:hAnsi="Palatino Linotype" w:cs="Palatino Linotype"/>
          <w:i/>
        </w:rPr>
        <w:t xml:space="preserve"> las razones o motivos de inconformidad hechos valer por la parte</w:t>
      </w:r>
      <w:r>
        <w:rPr>
          <w:rFonts w:ascii="Palatino Linotype" w:eastAsia="Palatino Linotype" w:hAnsi="Palatino Linotype" w:cs="Palatino Linotype"/>
          <w:b/>
          <w:i/>
        </w:rPr>
        <w:t xml:space="preserve"> Recurrente</w:t>
      </w:r>
      <w:r>
        <w:rPr>
          <w:rFonts w:ascii="Palatino Linotype" w:eastAsia="Palatino Linotype" w:hAnsi="Palatino Linotype" w:cs="Palatino Linotype"/>
          <w:i/>
        </w:rPr>
        <w:t xml:space="preserve"> en el recurso de revisión </w:t>
      </w:r>
      <w:r>
        <w:rPr>
          <w:rFonts w:ascii="Palatino Linotype" w:eastAsia="Palatino Linotype" w:hAnsi="Palatino Linotype" w:cs="Palatino Linotype"/>
          <w:b/>
          <w:i/>
        </w:rPr>
        <w:t>02769/INFOEM/IP/RR/2025</w:t>
      </w:r>
      <w:r>
        <w:rPr>
          <w:rFonts w:ascii="Palatino Linotype" w:eastAsia="Palatino Linotype" w:hAnsi="Palatino Linotype" w:cs="Palatino Linotype"/>
          <w:i/>
        </w:rPr>
        <w:t xml:space="preserve">; por lo que, en términos del </w:t>
      </w:r>
      <w:r>
        <w:rPr>
          <w:rFonts w:ascii="Palatino Linotype" w:eastAsia="Palatino Linotype" w:hAnsi="Palatino Linotype" w:cs="Palatino Linotype"/>
          <w:b/>
          <w:i/>
        </w:rPr>
        <w:t>Considerando</w:t>
      </w: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Cuarto </w:t>
      </w:r>
      <w:r>
        <w:rPr>
          <w:rFonts w:ascii="Palatino Linotype" w:eastAsia="Palatino Linotype" w:hAnsi="Palatino Linotype" w:cs="Palatino Linotype"/>
          <w:i/>
        </w:rPr>
        <w:t xml:space="preserve">de esta resolución, se </w:t>
      </w:r>
      <w:r>
        <w:rPr>
          <w:rFonts w:ascii="Palatino Linotype" w:eastAsia="Palatino Linotype" w:hAnsi="Palatino Linotype" w:cs="Palatino Linotype"/>
          <w:b/>
          <w:i/>
        </w:rPr>
        <w:t>Modif</w:t>
      </w:r>
      <w:r>
        <w:rPr>
          <w:rFonts w:ascii="Palatino Linotype" w:eastAsia="Palatino Linotype" w:hAnsi="Palatino Linotype" w:cs="Palatino Linotype"/>
          <w:b/>
          <w:i/>
        </w:rPr>
        <w:t xml:space="preserve">ica </w:t>
      </w:r>
      <w:r>
        <w:rPr>
          <w:rFonts w:ascii="Palatino Linotype" w:eastAsia="Palatino Linotype" w:hAnsi="Palatino Linotype" w:cs="Palatino Linotype"/>
          <w:i/>
        </w:rPr>
        <w:t xml:space="preserve">la respuesta emitida por el </w:t>
      </w:r>
      <w:r>
        <w:rPr>
          <w:rFonts w:ascii="Palatino Linotype" w:eastAsia="Palatino Linotype" w:hAnsi="Palatino Linotype" w:cs="Palatino Linotype"/>
          <w:b/>
          <w:i/>
        </w:rPr>
        <w:t>Sujeto Obligado.</w:t>
      </w:r>
    </w:p>
    <w:p w:rsidR="00E23276" w:rsidRDefault="00E23276">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b/>
          <w:i/>
        </w:rPr>
      </w:pPr>
    </w:p>
    <w:p w:rsidR="00E23276" w:rsidRDefault="007F509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bookmarkStart w:id="1" w:name="_heading=h.2et92p0" w:colFirst="0" w:colLast="0"/>
      <w:bookmarkEnd w:id="1"/>
      <w:r>
        <w:rPr>
          <w:rFonts w:ascii="Palatino Linotype" w:eastAsia="Palatino Linotype" w:hAnsi="Palatino Linotype" w:cs="Palatino Linotype"/>
          <w:b/>
          <w:i/>
        </w:rPr>
        <w:t xml:space="preserve">Segundo. </w:t>
      </w:r>
      <w:r>
        <w:rPr>
          <w:rFonts w:ascii="Palatino Linotype" w:eastAsia="Palatino Linotype" w:hAnsi="Palatino Linotype" w:cs="Palatino Linotype"/>
          <w:i/>
        </w:rPr>
        <w:t xml:space="preserve">Se </w:t>
      </w:r>
      <w:r>
        <w:rPr>
          <w:rFonts w:ascii="Palatino Linotype" w:eastAsia="Palatino Linotype" w:hAnsi="Palatino Linotype" w:cs="Palatino Linotype"/>
          <w:b/>
          <w:i/>
        </w:rPr>
        <w:t>Ordena</w:t>
      </w:r>
      <w:r>
        <w:rPr>
          <w:rFonts w:ascii="Palatino Linotype" w:eastAsia="Palatino Linotype" w:hAnsi="Palatino Linotype" w:cs="Palatino Linotype"/>
          <w:i/>
        </w:rPr>
        <w:t xml:space="preserve"> al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en términos de los Considerandos </w:t>
      </w:r>
      <w:r>
        <w:rPr>
          <w:rFonts w:ascii="Palatino Linotype" w:eastAsia="Palatino Linotype" w:hAnsi="Palatino Linotype" w:cs="Palatino Linotype"/>
          <w:b/>
          <w:i/>
        </w:rPr>
        <w:t xml:space="preserve">Cuarto y Quinto </w:t>
      </w:r>
      <w:r>
        <w:rPr>
          <w:rFonts w:ascii="Palatino Linotype" w:eastAsia="Palatino Linotype" w:hAnsi="Palatino Linotype" w:cs="Palatino Linotype"/>
          <w:i/>
        </w:rPr>
        <w:t xml:space="preserve">de esta resolución, </w:t>
      </w:r>
      <w:r>
        <w:rPr>
          <w:rFonts w:ascii="Palatino Linotype" w:eastAsia="Palatino Linotype" w:hAnsi="Palatino Linotype" w:cs="Palatino Linotype"/>
          <w:b/>
          <w:i/>
        </w:rPr>
        <w:t xml:space="preserve">haga entrega vía Sistema de Acceso a la Información Mexiquense (SAIMEX), </w:t>
      </w:r>
      <w:r>
        <w:rPr>
          <w:rFonts w:ascii="Palatino Linotype" w:eastAsia="Palatino Linotype" w:hAnsi="Palatino Linotype" w:cs="Palatino Linotype"/>
          <w:i/>
        </w:rPr>
        <w:t>previa búsqueda exhaustiva y razonable, de ser procedente en versión pública, los documentos donde conste o se advierta, lo siguiente:</w:t>
      </w:r>
    </w:p>
    <w:p w:rsidR="00E23276" w:rsidRDefault="00E23276">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p>
    <w:p w:rsidR="00E23276" w:rsidRDefault="007F509E">
      <w:pPr>
        <w:numPr>
          <w:ilvl w:val="0"/>
          <w:numId w:val="3"/>
        </w:numPr>
        <w:pBdr>
          <w:top w:val="nil"/>
          <w:left w:val="nil"/>
          <w:bottom w:val="nil"/>
          <w:right w:val="nil"/>
          <w:between w:val="nil"/>
        </w:pBdr>
        <w:spacing w:after="0" w:line="240" w:lineRule="auto"/>
        <w:ind w:left="993" w:right="616"/>
        <w:jc w:val="both"/>
        <w:rPr>
          <w:rFonts w:ascii="Palatino Linotype" w:eastAsia="Palatino Linotype" w:hAnsi="Palatino Linotype" w:cs="Palatino Linotype"/>
          <w:b/>
          <w:i/>
        </w:rPr>
      </w:pPr>
      <w:r>
        <w:rPr>
          <w:rFonts w:ascii="Palatino Linotype" w:eastAsia="Palatino Linotype" w:hAnsi="Palatino Linotype" w:cs="Palatino Linotype"/>
          <w:b/>
          <w:i/>
        </w:rPr>
        <w:t>Los laudos laborales con los que se cuenten del 30 de enero de 2024 al 30 de enero de 2025.</w:t>
      </w:r>
    </w:p>
    <w:p w:rsidR="00E23276" w:rsidRDefault="00E23276">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b/>
          <w:i/>
        </w:rPr>
      </w:pPr>
    </w:p>
    <w:p w:rsidR="00E23276" w:rsidRDefault="007F509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bookmarkStart w:id="2" w:name="_heading=h.59npxyxpomjd" w:colFirst="0" w:colLast="0"/>
      <w:bookmarkEnd w:id="2"/>
      <w:r>
        <w:rPr>
          <w:rFonts w:ascii="Palatino Linotype" w:eastAsia="Palatino Linotype" w:hAnsi="Palatino Linotype" w:cs="Palatino Linotype"/>
          <w:i/>
        </w:rPr>
        <w:t>Para la entrega en versión pública, se deberá emitir el Acuerdo del Comité de Transparencia de acuerdo con la Ley de Transparencia y Acceso a la Información Pública del Estado de México y Municipios, en el que funde y motive las razones sobre los datos que</w:t>
      </w:r>
      <w:r>
        <w:rPr>
          <w:rFonts w:ascii="Palatino Linotype" w:eastAsia="Palatino Linotype" w:hAnsi="Palatino Linotype" w:cs="Palatino Linotype"/>
          <w:i/>
        </w:rPr>
        <w:t xml:space="preserve"> se supriman o eliminen de los soportes documentales objeto de la versión públicas que se formule y se pongan a disposición de </w:t>
      </w:r>
      <w:r>
        <w:rPr>
          <w:rFonts w:ascii="Palatino Linotype" w:eastAsia="Palatino Linotype" w:hAnsi="Palatino Linotype" w:cs="Palatino Linotype"/>
          <w:b/>
          <w:i/>
        </w:rPr>
        <w:t>la parte Recurrente</w:t>
      </w:r>
      <w:r>
        <w:rPr>
          <w:rFonts w:ascii="Palatino Linotype" w:eastAsia="Palatino Linotype" w:hAnsi="Palatino Linotype" w:cs="Palatino Linotype"/>
          <w:i/>
        </w:rPr>
        <w:t>, mismo que igualmente hará de su conocimiento.</w:t>
      </w:r>
    </w:p>
    <w:p w:rsidR="00E23276" w:rsidRDefault="00E23276">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p>
    <w:p w:rsidR="00E23276" w:rsidRDefault="007F509E">
      <w:pPr>
        <w:pBdr>
          <w:top w:val="nil"/>
          <w:left w:val="nil"/>
          <w:bottom w:val="nil"/>
          <w:right w:val="nil"/>
          <w:between w:val="nil"/>
        </w:pBdr>
        <w:spacing w:after="0" w:line="240" w:lineRule="auto"/>
        <w:ind w:left="567" w:right="616"/>
        <w:jc w:val="both"/>
        <w:rPr>
          <w:rFonts w:ascii="Palatino Linotype" w:eastAsia="Palatino Linotype" w:hAnsi="Palatino Linotype" w:cs="Palatino Linotype"/>
          <w:i/>
        </w:rPr>
      </w:pPr>
      <w:bookmarkStart w:id="3" w:name="_heading=h.pk6g7unbmd4n" w:colFirst="0" w:colLast="0"/>
      <w:bookmarkEnd w:id="3"/>
      <w:r>
        <w:rPr>
          <w:rFonts w:ascii="Palatino Linotype" w:eastAsia="Palatino Linotype" w:hAnsi="Palatino Linotype" w:cs="Palatino Linotype"/>
          <w:i/>
        </w:rPr>
        <w:t xml:space="preserve">Para el caso de que la información que se ordena en el </w:t>
      </w:r>
      <w:r>
        <w:rPr>
          <w:rFonts w:ascii="Palatino Linotype" w:eastAsia="Palatino Linotype" w:hAnsi="Palatino Linotype" w:cs="Palatino Linotype"/>
          <w:b/>
          <w:i/>
        </w:rPr>
        <w:t xml:space="preserve">punto </w:t>
      </w:r>
      <w:r>
        <w:rPr>
          <w:rFonts w:ascii="Palatino Linotype" w:eastAsia="Palatino Linotype" w:hAnsi="Palatino Linotype" w:cs="Palatino Linotype"/>
          <w:b/>
          <w:i/>
        </w:rPr>
        <w:t>1</w:t>
      </w:r>
      <w:r>
        <w:rPr>
          <w:rFonts w:ascii="Palatino Linotype" w:eastAsia="Palatino Linotype" w:hAnsi="Palatino Linotype" w:cs="Palatino Linotype"/>
          <w:i/>
        </w:rPr>
        <w:t xml:space="preserve">, no obre en los archivos del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por no contar con laudos en determinado periodo respecto del cual se ordenan; bastará con que así lo haga del conocimiento de la </w:t>
      </w:r>
      <w:r>
        <w:rPr>
          <w:rFonts w:ascii="Palatino Linotype" w:eastAsia="Palatino Linotype" w:hAnsi="Palatino Linotype" w:cs="Palatino Linotype"/>
          <w:b/>
          <w:i/>
        </w:rPr>
        <w:t>parte Recurrente</w:t>
      </w:r>
      <w:r>
        <w:rPr>
          <w:rFonts w:ascii="Palatino Linotype" w:eastAsia="Palatino Linotype" w:hAnsi="Palatino Linotype" w:cs="Palatino Linotype"/>
          <w:i/>
        </w:rPr>
        <w:t>, de manera clara y precisa, en términos del artículo 19, párra</w:t>
      </w:r>
      <w:r>
        <w:rPr>
          <w:rFonts w:ascii="Palatino Linotype" w:eastAsia="Palatino Linotype" w:hAnsi="Palatino Linotype" w:cs="Palatino Linotype"/>
          <w:i/>
        </w:rPr>
        <w:t>fo segundo de la Ley de Transparencia y Acceso a la Información pública del Estado de México y Municipios para tener por colmado el requerimiento de información.</w:t>
      </w:r>
      <w:r>
        <w:rPr>
          <w:rFonts w:ascii="Palatino Linotype" w:eastAsia="Palatino Linotype" w:hAnsi="Palatino Linotype" w:cs="Palatino Linotype"/>
        </w:rPr>
        <w:t>”</w:t>
      </w:r>
    </w:p>
    <w:p w:rsidR="00E23276" w:rsidRDefault="00E23276">
      <w:pPr>
        <w:pBdr>
          <w:top w:val="nil"/>
          <w:left w:val="nil"/>
          <w:bottom w:val="nil"/>
          <w:right w:val="nil"/>
          <w:between w:val="nil"/>
        </w:pBdr>
        <w:spacing w:after="0" w:line="360" w:lineRule="auto"/>
        <w:jc w:val="both"/>
        <w:rPr>
          <w:rFonts w:ascii="Palatino Linotype" w:eastAsia="Palatino Linotype" w:hAnsi="Palatino Linotype" w:cs="Palatino Linotype"/>
        </w:rPr>
      </w:pPr>
    </w:p>
    <w:p w:rsidR="00E23276" w:rsidRDefault="007F509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b/>
        </w:rPr>
        <w:t xml:space="preserve">II. Razones del Voto Particular. </w:t>
      </w:r>
    </w:p>
    <w:p w:rsidR="00E23276" w:rsidRDefault="007F509E">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En primer lugar, es preciso señalar que, el presente voto se formula en virtud de que no se comparte que ordene la entrega de laudos, específicamente aquellos que no hayan causado estado o ejecutoria a la fecha de presentación de la solicitud, por consider</w:t>
      </w:r>
      <w:r>
        <w:rPr>
          <w:rFonts w:ascii="Palatino Linotype" w:eastAsia="Palatino Linotype" w:hAnsi="Palatino Linotype" w:cs="Palatino Linotype"/>
        </w:rPr>
        <w:t>arse información que actualiza causal de reserva.</w:t>
      </w:r>
    </w:p>
    <w:p w:rsidR="00E23276" w:rsidRDefault="007F509E">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En este sentido debemos entender que se entiende por un laudo, el cual es definido por el diccionario de la Real Academia Española como:</w:t>
      </w:r>
    </w:p>
    <w:p w:rsidR="00E23276" w:rsidRDefault="007F509E">
      <w:pPr>
        <w:spacing w:before="120" w:after="120" w:line="240" w:lineRule="auto"/>
        <w:ind w:left="862" w:right="902"/>
        <w:jc w:val="both"/>
        <w:rPr>
          <w:rFonts w:ascii="Palatino Linotype" w:eastAsia="Palatino Linotype" w:hAnsi="Palatino Linotype" w:cs="Palatino Linotype"/>
        </w:rPr>
      </w:pPr>
      <w:r>
        <w:rPr>
          <w:rFonts w:ascii="Palatino Linotype" w:eastAsia="Palatino Linotype" w:hAnsi="Palatino Linotype" w:cs="Palatino Linotype"/>
          <w:i/>
        </w:rPr>
        <w:t xml:space="preserve">“Decisión o fallo dictado por los árbitros o amigables componedores, </w:t>
      </w:r>
      <w:r>
        <w:rPr>
          <w:rFonts w:ascii="Palatino Linotype" w:eastAsia="Palatino Linotype" w:hAnsi="Palatino Linotype" w:cs="Palatino Linotype"/>
          <w:i/>
        </w:rPr>
        <w:t>que pone fin al procedimiento arbitral.” (Sic</w:t>
      </w:r>
      <w:r>
        <w:rPr>
          <w:rFonts w:ascii="Palatino Linotype" w:eastAsia="Palatino Linotype" w:hAnsi="Palatino Linotype" w:cs="Palatino Linotype"/>
        </w:rPr>
        <w:t>)</w:t>
      </w:r>
    </w:p>
    <w:p w:rsidR="00E23276" w:rsidRDefault="007F509E">
      <w:pPr>
        <w:spacing w:before="240" w:after="24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Luego entonces podemos decir que un laudo, es una resolución o sentencia definitiva que pone fin a un procedimiento arbitral.</w:t>
      </w:r>
    </w:p>
    <w:p w:rsidR="00E23276" w:rsidRDefault="007F509E">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Señalado lo anterior, las sentencias definitivas en materia laboral, es decir los l</w:t>
      </w:r>
      <w:r>
        <w:rPr>
          <w:rFonts w:ascii="Palatino Linotype" w:eastAsia="Palatino Linotype" w:hAnsi="Palatino Linotype" w:cs="Palatino Linotype"/>
        </w:rPr>
        <w:t>audos, en primera instancia no admiten ningún recurso por medio del cual se pueda revocar o modificar el fallo, en términos de lo señalado por el artículo 249 de la Ley del Trabajo de los Servidores Públicos del Estado y Municipios, el cual es la literalid</w:t>
      </w:r>
      <w:r>
        <w:rPr>
          <w:rFonts w:ascii="Palatino Linotype" w:eastAsia="Palatino Linotype" w:hAnsi="Palatino Linotype" w:cs="Palatino Linotype"/>
        </w:rPr>
        <w:t>ad siguiente:</w:t>
      </w:r>
    </w:p>
    <w:p w:rsidR="00E23276" w:rsidRDefault="007F509E">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249.-</w:t>
      </w:r>
      <w:r>
        <w:rPr>
          <w:rFonts w:ascii="Palatino Linotype" w:eastAsia="Palatino Linotype" w:hAnsi="Palatino Linotype" w:cs="Palatino Linotype"/>
          <w:i/>
        </w:rPr>
        <w:t xml:space="preserve"> Contra el laudo dictado por el Tribunal o la Sala, no procede recurso alguno.”</w:t>
      </w:r>
    </w:p>
    <w:p w:rsidR="00E23276" w:rsidRDefault="007F509E">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Sin embargo, y toda vez que, el laudo emitido puede ocasionar un agravio a las partes involucradas en el juicio, por lo que las partes tienen a s</w:t>
      </w:r>
      <w:r>
        <w:rPr>
          <w:rFonts w:ascii="Palatino Linotype" w:eastAsia="Palatino Linotype" w:hAnsi="Palatino Linotype" w:cs="Palatino Linotype"/>
        </w:rPr>
        <w:t>u alcance un medio de impugnación de defensa, para atacar dicho laudo, siendo el Amparo Directo, en términos de lo dispuesto en los artículos 103 fracción I, 107 fracciones I y VII de la Constitución Política de los Estados Unidos Mexicanos, y 170 fracción</w:t>
      </w:r>
      <w:r>
        <w:rPr>
          <w:rFonts w:ascii="Palatino Linotype" w:eastAsia="Palatino Linotype" w:hAnsi="Palatino Linotype" w:cs="Palatino Linotype"/>
        </w:rPr>
        <w:t xml:space="preserve"> I de la Ley de Amparo, que son del tenor literal siguiente:</w:t>
      </w:r>
    </w:p>
    <w:p w:rsidR="00E23276" w:rsidRDefault="007F509E">
      <w:pPr>
        <w:spacing w:before="120" w:after="120" w:line="240" w:lineRule="auto"/>
        <w:ind w:left="862" w:right="758"/>
        <w:jc w:val="center"/>
        <w:rPr>
          <w:rFonts w:ascii="Palatino Linotype" w:eastAsia="Palatino Linotype" w:hAnsi="Palatino Linotype" w:cs="Palatino Linotype"/>
          <w:b/>
          <w:i/>
        </w:rPr>
      </w:pPr>
      <w:r>
        <w:rPr>
          <w:rFonts w:ascii="Palatino Linotype" w:eastAsia="Palatino Linotype" w:hAnsi="Palatino Linotype" w:cs="Palatino Linotype"/>
          <w:b/>
          <w:i/>
        </w:rPr>
        <w:t>Constitución Política de los Estados Unidos Mexicanos</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Artículo 103</w:t>
      </w:r>
      <w:r>
        <w:rPr>
          <w:rFonts w:ascii="Palatino Linotype" w:eastAsia="Palatino Linotype" w:hAnsi="Palatino Linotype" w:cs="Palatino Linotype"/>
          <w:i/>
        </w:rPr>
        <w:t>. Los Tribunales de la Federación resolverán toda controversia que se suscite:</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Por normas generales, actos u omisiones de la autoridad que violen los derechos humanos reconocidos y las garantías otorgadas para su protección por esta </w:t>
      </w:r>
      <w:r>
        <w:rPr>
          <w:rFonts w:ascii="Palatino Linotype" w:eastAsia="Palatino Linotype" w:hAnsi="Palatino Linotype" w:cs="Palatino Linotype"/>
          <w:i/>
        </w:rPr>
        <w:lastRenderedPageBreak/>
        <w:t>Constitución, así como por los tratados internacionales de los que el Estado Mexicano sea parte;</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w:t>
      </w:r>
      <w:r>
        <w:rPr>
          <w:rFonts w:ascii="Palatino Linotype" w:eastAsia="Palatino Linotype" w:hAnsi="Palatino Linotype" w:cs="Palatino Linotype"/>
          <w:b/>
          <w:i/>
        </w:rPr>
        <w:t>rtículo 107.</w:t>
      </w:r>
      <w:r>
        <w:rPr>
          <w:rFonts w:ascii="Palatino Linotype" w:eastAsia="Palatino Linotype" w:hAnsi="Palatino Linotype" w:cs="Palatino Linotype"/>
          <w:i/>
        </w:rPr>
        <w:t xml:space="preserve"> Las controversias de que habla el artículo 103 de esta Constitución, con excepción de aquellas en materia electoral, se sujetarán a los procedimientos que determine la ley reglamentaria, de acuerdo con las bases siguientes:</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El juicio de amp</w:t>
      </w:r>
      <w:r>
        <w:rPr>
          <w:rFonts w:ascii="Palatino Linotype" w:eastAsia="Palatino Linotype" w:hAnsi="Palatino Linotype" w:cs="Palatino Linotype"/>
          <w:i/>
        </w:rPr>
        <w:t>aro se seguirá siempre a instancia de parte agraviada, teniendo tal carácter quien aduce ser titular de un derecho o de un interés legítimo individual o colectivo, siempre que alegue que el acto reclamado viola los derechos reconocidos por esta Constitució</w:t>
      </w:r>
      <w:r>
        <w:rPr>
          <w:rFonts w:ascii="Palatino Linotype" w:eastAsia="Palatino Linotype" w:hAnsi="Palatino Linotype" w:cs="Palatino Linotype"/>
          <w:i/>
        </w:rPr>
        <w:t>n y con ello se afecte su esfera jurídica, ya sea de manera directa o en virtud de su especial situación frente al orden jurídico.</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Tratándose de actos o resoluciones provenientes de tribunales judiciales, administrativos o del trabajo, el quejoso deberá ad</w:t>
      </w:r>
      <w:r>
        <w:rPr>
          <w:rFonts w:ascii="Palatino Linotype" w:eastAsia="Palatino Linotype" w:hAnsi="Palatino Linotype" w:cs="Palatino Linotype"/>
          <w:i/>
        </w:rPr>
        <w:t>ucir ser titular de un derecho subjetivo que se afecte de manera personal y directa;</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VII.</w:t>
      </w:r>
      <w:r>
        <w:rPr>
          <w:rFonts w:ascii="Palatino Linotype" w:eastAsia="Palatino Linotype" w:hAnsi="Palatino Linotype" w:cs="Palatino Linotype"/>
          <w:i/>
        </w:rPr>
        <w:t xml:space="preserve"> El amparo contra actos u omisiones en juicio, fuera de juicio o después de concluido, o que afecten a personas extrañas al juicio, contra normas generales o contra actos u omisiones de autoridad administrativa, se interpondrá ante el Juez de Distrito bajo</w:t>
      </w:r>
      <w:r>
        <w:rPr>
          <w:rFonts w:ascii="Palatino Linotype" w:eastAsia="Palatino Linotype" w:hAnsi="Palatino Linotype" w:cs="Palatino Linotype"/>
          <w:i/>
        </w:rPr>
        <w:t xml:space="preserve"> cuya jurisdicción se encuentre el lugar en que el acto reclamado se ejecute o trate de ejecutarse, y su tramitación se limitará al informe de la autoridad, a una audiencia para la que se citará en el mismo auto en el que se mande pedir el informe y se rec</w:t>
      </w:r>
      <w:r>
        <w:rPr>
          <w:rFonts w:ascii="Palatino Linotype" w:eastAsia="Palatino Linotype" w:hAnsi="Palatino Linotype" w:cs="Palatino Linotype"/>
          <w:i/>
        </w:rPr>
        <w:t>ibirán las pruebas que las partes interesadas ofrezcan y oirán los alegatos, pronunciándose en la misma audiencia la sentencia;</w:t>
      </w:r>
    </w:p>
    <w:p w:rsidR="00E23276" w:rsidRDefault="007F509E">
      <w:pPr>
        <w:spacing w:before="120" w:after="120" w:line="240" w:lineRule="auto"/>
        <w:ind w:left="862" w:right="758"/>
        <w:jc w:val="center"/>
        <w:rPr>
          <w:rFonts w:ascii="Palatino Linotype" w:eastAsia="Palatino Linotype" w:hAnsi="Palatino Linotype" w:cs="Palatino Linotype"/>
          <w:b/>
          <w:i/>
        </w:rPr>
      </w:pPr>
      <w:r>
        <w:rPr>
          <w:rFonts w:ascii="Palatino Linotype" w:eastAsia="Palatino Linotype" w:hAnsi="Palatino Linotype" w:cs="Palatino Linotype"/>
          <w:b/>
          <w:i/>
        </w:rPr>
        <w:t>Ley de Amparo</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b/>
          <w:i/>
        </w:rPr>
        <w:t>Artículo 170</w:t>
      </w:r>
      <w:r>
        <w:rPr>
          <w:rFonts w:ascii="Palatino Linotype" w:eastAsia="Palatino Linotype" w:hAnsi="Palatino Linotype" w:cs="Palatino Linotype"/>
          <w:i/>
        </w:rPr>
        <w:t>. El juicio de amparo directo procede:</w:t>
      </w:r>
    </w:p>
    <w:p w:rsidR="00E23276" w:rsidRDefault="007F509E">
      <w:pPr>
        <w:spacing w:before="120" w:after="120" w:line="240" w:lineRule="auto"/>
        <w:ind w:left="862" w:right="758"/>
        <w:jc w:val="both"/>
        <w:rPr>
          <w:rFonts w:ascii="Palatino Linotype" w:eastAsia="Palatino Linotype" w:hAnsi="Palatino Linotype" w:cs="Palatino Linotype"/>
          <w:i/>
          <w:u w:val="single"/>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Contra sentencias definitivas, </w:t>
      </w:r>
      <w:r>
        <w:rPr>
          <w:rFonts w:ascii="Palatino Linotype" w:eastAsia="Palatino Linotype" w:hAnsi="Palatino Linotype" w:cs="Palatino Linotype"/>
          <w:i/>
          <w:u w:val="single"/>
        </w:rPr>
        <w:t>laudos y resoluciones que pon</w:t>
      </w:r>
      <w:r>
        <w:rPr>
          <w:rFonts w:ascii="Palatino Linotype" w:eastAsia="Palatino Linotype" w:hAnsi="Palatino Linotype" w:cs="Palatino Linotype"/>
          <w:i/>
          <w:u w:val="single"/>
        </w:rPr>
        <w:t>gan fin al juicio, dictadas</w:t>
      </w:r>
      <w:r>
        <w:rPr>
          <w:rFonts w:ascii="Palatino Linotype" w:eastAsia="Palatino Linotype" w:hAnsi="Palatino Linotype" w:cs="Palatino Linotype"/>
          <w:i/>
        </w:rPr>
        <w:t xml:space="preserve"> por tribunales judiciales, administrativos, agrarios </w:t>
      </w:r>
      <w:r>
        <w:rPr>
          <w:rFonts w:ascii="Palatino Linotype" w:eastAsia="Palatino Linotype" w:hAnsi="Palatino Linotype" w:cs="Palatino Linotype"/>
          <w:i/>
          <w:u w:val="single"/>
        </w:rPr>
        <w:t>o del trabajo, ya sea que la violación se cometa en ellos, o que cometida durante el procedimiento, afecte las defensas del quejoso trascendiendo al resultado del fallo.</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u w:val="single"/>
        </w:rPr>
        <w:t>Se en</w:t>
      </w:r>
      <w:r>
        <w:rPr>
          <w:rFonts w:ascii="Palatino Linotype" w:eastAsia="Palatino Linotype" w:hAnsi="Palatino Linotype" w:cs="Palatino Linotype"/>
          <w:i/>
          <w:u w:val="single"/>
        </w:rPr>
        <w:t>tenderá por sentencias definitivas o laudos, los que decidan el juicio en lo principal</w:t>
      </w:r>
      <w:r>
        <w:rPr>
          <w:rFonts w:ascii="Palatino Linotype" w:eastAsia="Palatino Linotype" w:hAnsi="Palatino Linotype" w:cs="Palatino Linotype"/>
          <w:i/>
        </w:rPr>
        <w:t xml:space="preserve">; por resoluciones que pongan fin al juicio, las que sin decidirlo en lo </w:t>
      </w:r>
      <w:r>
        <w:rPr>
          <w:rFonts w:ascii="Palatino Linotype" w:eastAsia="Palatino Linotype" w:hAnsi="Palatino Linotype" w:cs="Palatino Linotype"/>
          <w:i/>
        </w:rPr>
        <w:lastRenderedPageBreak/>
        <w:t>principal lo den por concluido. En materia penal, las sentencias condenatorias, absolutorias y de</w:t>
      </w:r>
      <w:r>
        <w:rPr>
          <w:rFonts w:ascii="Palatino Linotype" w:eastAsia="Palatino Linotype" w:hAnsi="Palatino Linotype" w:cs="Palatino Linotype"/>
          <w:i/>
        </w:rPr>
        <w:t xml:space="preserve"> sobreseimiento, podrán ser impugnadas por la víctima u ofendido del delito.</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Para la procedencia del juicio deberán agotarse previamente los recursos ordinarios que se establezcan en la ley de la materia, por virtud de los cuales aquellas sentencias defini</w:t>
      </w:r>
      <w:r>
        <w:rPr>
          <w:rFonts w:ascii="Palatino Linotype" w:eastAsia="Palatino Linotype" w:hAnsi="Palatino Linotype" w:cs="Palatino Linotype"/>
          <w:i/>
        </w:rPr>
        <w:t>tivas o laudos y resoluciones puedan ser modificados o revocados, salvo el caso en que la ley permita la renuncia de los recursos.</w:t>
      </w:r>
    </w:p>
    <w:p w:rsidR="00E23276" w:rsidRDefault="007F509E">
      <w:pPr>
        <w:spacing w:before="120" w:after="120" w:line="240" w:lineRule="auto"/>
        <w:ind w:left="862" w:right="758"/>
        <w:jc w:val="both"/>
        <w:rPr>
          <w:rFonts w:ascii="Palatino Linotype" w:eastAsia="Palatino Linotype" w:hAnsi="Palatino Linotype" w:cs="Palatino Linotype"/>
          <w:i/>
        </w:rPr>
      </w:pPr>
      <w:r>
        <w:rPr>
          <w:rFonts w:ascii="Palatino Linotype" w:eastAsia="Palatino Linotype" w:hAnsi="Palatino Linotype" w:cs="Palatino Linotype"/>
          <w:i/>
        </w:rPr>
        <w:t>…</w:t>
      </w:r>
    </w:p>
    <w:p w:rsidR="00E23276" w:rsidRDefault="007F509E">
      <w:pPr>
        <w:spacing w:before="240"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transcrito, se advierte que procede el Amparo Directo por regla general en contra de sentencias definitivas, en este </w:t>
      </w:r>
      <w:r>
        <w:rPr>
          <w:rFonts w:ascii="Palatino Linotype" w:eastAsia="Palatino Linotype" w:hAnsi="Palatino Linotype" w:cs="Palatino Linotype"/>
        </w:rPr>
        <w:t>caso, laudos, que pongan fin al juicio, dictadas por tribunales judiciales, administrativos, agrarios o del trabajo, ya sea que la violación se cometa en ellos, o que cometida durante el procedimiento, afecte las defensas del quejoso trascendiendo al resul</w:t>
      </w:r>
      <w:r>
        <w:rPr>
          <w:rFonts w:ascii="Palatino Linotype" w:eastAsia="Palatino Linotype" w:hAnsi="Palatino Linotype" w:cs="Palatino Linotype"/>
        </w:rPr>
        <w:t>tado del fallo.</w:t>
      </w:r>
    </w:p>
    <w:p w:rsidR="00E23276" w:rsidRDefault="007F509E">
      <w:pPr>
        <w:spacing w:before="240"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 Lo que se robustece con la Contradicción de Tesis 14/2005-PS, a través de la cual especificó lo siguiente:</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“La cosa juzgada es la autoridad y la fuerza que la ley le atribuye a la sentencia ejecutoriada. Debe entender por autoridad la nece</w:t>
      </w:r>
      <w:r>
        <w:rPr>
          <w:rFonts w:ascii="Palatino Linotype" w:eastAsia="Palatino Linotype" w:hAnsi="Palatino Linotype" w:cs="Palatino Linotype"/>
          <w:i/>
        </w:rPr>
        <w:t>sidad jurídica de que lo fallado en las sentencias se considere irrevocable e inmutable, ya en el juicio en que aquéllas se pronuncien o en otro diverso y la fuerza consiste en el poder coactivo que proviene de la cosa juzgada o sea en que debe cumplirse l</w:t>
      </w:r>
      <w:r>
        <w:rPr>
          <w:rFonts w:ascii="Palatino Linotype" w:eastAsia="Palatino Linotype" w:hAnsi="Palatino Linotype" w:cs="Palatino Linotype"/>
          <w:i/>
        </w:rPr>
        <w:t>o que en ella se ordena.</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Existen dos clases de cosa juzgada, a saber: i) la formal y ii) y la material. La formal consiste en la fuerza y en la autoridad que tiene una sentencia en el juicio en que se pronunció, es decir, es aquella de efectos limitados, </w:t>
      </w:r>
      <w:r>
        <w:rPr>
          <w:rFonts w:ascii="Palatino Linotype" w:eastAsia="Palatino Linotype" w:hAnsi="Palatino Linotype" w:cs="Palatino Linotype"/>
          <w:i/>
        </w:rPr>
        <w:t>que produce sus consecuencias entre las partes que intervinieron y con relación al proceso en que ha sido emitida, pero que puede ser sujeta a revisión en otro proceso posterior. Además, la cosa juzgada formal puede ser destruida mediante los recursos extr</w:t>
      </w:r>
      <w:r>
        <w:rPr>
          <w:rFonts w:ascii="Palatino Linotype" w:eastAsia="Palatino Linotype" w:hAnsi="Palatino Linotype" w:cs="Palatino Linotype"/>
          <w:i/>
        </w:rPr>
        <w:t xml:space="preserve">aordinarios que otorga la ley contra las sentencias ejecutorias. Por lo que </w:t>
      </w:r>
      <w:r>
        <w:rPr>
          <w:rFonts w:ascii="Palatino Linotype" w:eastAsia="Palatino Linotype" w:hAnsi="Palatino Linotype" w:cs="Palatino Linotype"/>
          <w:i/>
        </w:rPr>
        <w:lastRenderedPageBreak/>
        <w:t>respecta a la cosa juzgada material, se trata de aquella cuya eficacia trasciende a toda clase de juicios, es decir, la cosa juzgada material se configura sólo cuando una sentencia</w:t>
      </w:r>
      <w:r>
        <w:rPr>
          <w:rFonts w:ascii="Palatino Linotype" w:eastAsia="Palatino Linotype" w:hAnsi="Palatino Linotype" w:cs="Palatino Linotype"/>
          <w:i/>
        </w:rPr>
        <w:t xml:space="preserve"> debe considerarse firme, es decir, cuando no puede ser impugnada por los medios ordinarios o extraordinarios de defensa.</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Las sentencias de segunda instancia tienen la calidad de cosa juzgada, es decir, hay cosa juzgada, cuando la sentencia causa ejecutor</w:t>
      </w:r>
      <w:r>
        <w:rPr>
          <w:rFonts w:ascii="Palatino Linotype" w:eastAsia="Palatino Linotype" w:hAnsi="Palatino Linotype" w:cs="Palatino Linotype"/>
          <w:i/>
        </w:rPr>
        <w:t>ia, esto es, la sentencia ya no puede ser impugnada por recurso ordinario alguno; sin embargo, ello no significa que no puedan ser atacadas en vía constitucional.</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Una sentencia ejecutoriada, es aquella susceptible de ejecutarse, contra la cual no cabe nin</w:t>
      </w:r>
      <w:r>
        <w:rPr>
          <w:rFonts w:ascii="Palatino Linotype" w:eastAsia="Palatino Linotype" w:hAnsi="Palatino Linotype" w:cs="Palatino Linotype"/>
          <w:i/>
        </w:rPr>
        <w:t>gún recurso ordinario, no obstante que pueda ser revocada o nulificada por algún medio de defensa extraordinario. Por ende, las sentencias causan ejecutoria por ministerio de ley y declaración judicial y de manera específica, las sentencias de segunda inst</w:t>
      </w:r>
      <w:r>
        <w:rPr>
          <w:rFonts w:ascii="Palatino Linotype" w:eastAsia="Palatino Linotype" w:hAnsi="Palatino Linotype" w:cs="Palatino Linotype"/>
          <w:i/>
        </w:rPr>
        <w:t>ancia causan ejecutoria por ministerio de ley.</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Por ende, una sentencia causa ejecutoria cuando ya no puede ser impugnada por recurso ordinario alguno y, en consecuencia, constituye la cosa juzgada, pero tal circunstancia, debe entenderse en el sentido de </w:t>
      </w:r>
      <w:r>
        <w:rPr>
          <w:rFonts w:ascii="Palatino Linotype" w:eastAsia="Palatino Linotype" w:hAnsi="Palatino Linotype" w:cs="Palatino Linotype"/>
          <w:i/>
        </w:rPr>
        <w:t>que esas sentencias no admiten ningún recurso o medio de defensa establecido en la legislación ordinaria; no así en relación a un medio extraordinario de defensa como lo es el juicio de amparo, que deriva de lo dispuesto en los artículos 103 y 107 de la Co</w:t>
      </w:r>
      <w:r>
        <w:rPr>
          <w:rFonts w:ascii="Palatino Linotype" w:eastAsia="Palatino Linotype" w:hAnsi="Palatino Linotype" w:cs="Palatino Linotype"/>
          <w:i/>
        </w:rPr>
        <w:t>nstitución Política de los Estados Unidos Mexicanos.</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Esta última apreciación se basa en que el juicio de amparo que se encuentra previsto en los artículos 103 y 107 de la Constitución Federal, y que se rige por la Ley de Amparo, que es reglamentaria de esos  preceptos constitucionales, constituye un procedi</w:t>
      </w:r>
      <w:r>
        <w:rPr>
          <w:rFonts w:ascii="Palatino Linotype" w:eastAsia="Palatino Linotype" w:hAnsi="Palatino Linotype" w:cs="Palatino Linotype"/>
          <w:i/>
        </w:rPr>
        <w:t>miento federal extraordinario de control constitucional, por virtud del cual los gobernados se encuentran en aptitud de solicitar a los Tribunales de la Federación la protección de sus derechos humanos y garantías constitucionales, cuando a través de un ac</w:t>
      </w:r>
      <w:r>
        <w:rPr>
          <w:rFonts w:ascii="Palatino Linotype" w:eastAsia="Palatino Linotype" w:hAnsi="Palatino Linotype" w:cs="Palatino Linotype"/>
          <w:i/>
        </w:rPr>
        <w:t>to de autoridad se les vulneran sus derechos fundamentales tutelados en la Carta Magna.</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 No se pierde de vista que la procedencia del juicio de amparo directo competencia de los Tribunales Colegiados de Circuito y del juicio de amparo indirecto competencia</w:t>
      </w:r>
      <w:r>
        <w:rPr>
          <w:rFonts w:ascii="Palatino Linotype" w:eastAsia="Palatino Linotype" w:hAnsi="Palatino Linotype" w:cs="Palatino Linotype"/>
          <w:i/>
        </w:rPr>
        <w:t xml:space="preserve"> de los Juzgados de Distrito, el acto reclamado puede consistir de acuerdo al tema de la contradicción en una sentencia definitiva o laudos y </w:t>
      </w:r>
      <w:r>
        <w:rPr>
          <w:rFonts w:ascii="Palatino Linotype" w:eastAsia="Palatino Linotype" w:hAnsi="Palatino Linotype" w:cs="Palatino Linotype"/>
          <w:i/>
        </w:rPr>
        <w:lastRenderedPageBreak/>
        <w:t>resoluciones que pongan fin al juicio, o bien, sentencias dictadas en segunda instancia que deriven de diligencias</w:t>
      </w:r>
      <w:r>
        <w:rPr>
          <w:rFonts w:ascii="Palatino Linotype" w:eastAsia="Palatino Linotype" w:hAnsi="Palatino Linotype" w:cs="Palatino Linotype"/>
          <w:i/>
        </w:rPr>
        <w:t xml:space="preserve"> emanadas de actos dictados en juicio, fuera de juicio o después de concluido y respecto de las cuales no proceda ningún recurso ordinario por el que puedan ser modificados o revocados, conforme a las disposiciones estudiadas por los Tribunales contendient</w:t>
      </w:r>
      <w:r>
        <w:rPr>
          <w:rFonts w:ascii="Palatino Linotype" w:eastAsia="Palatino Linotype" w:hAnsi="Palatino Linotype" w:cs="Palatino Linotype"/>
          <w:i/>
        </w:rPr>
        <w:t>es.</w:t>
      </w:r>
    </w:p>
    <w:p w:rsidR="00E23276" w:rsidRDefault="007F509E">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Además, que el amparo se debe interponer dentro de los 15 días posteriores del conocimiento de acto que se reclama en términos de lo señalado por el artículo 17 y 18 de la Ley de Amparo, que señala:</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17.</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El plazo para presentar la demanda de a</w:t>
      </w:r>
      <w:r>
        <w:rPr>
          <w:rFonts w:ascii="Palatino Linotype" w:eastAsia="Palatino Linotype" w:hAnsi="Palatino Linotype" w:cs="Palatino Linotype"/>
          <w:i/>
          <w:u w:val="single"/>
        </w:rPr>
        <w:t>mparo es de quince días</w:t>
      </w:r>
      <w:r>
        <w:rPr>
          <w:rFonts w:ascii="Palatino Linotype" w:eastAsia="Palatino Linotype" w:hAnsi="Palatino Linotype" w:cs="Palatino Linotype"/>
          <w:i/>
        </w:rPr>
        <w:t>, salvo:</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Cuando se reclame una norma general </w:t>
      </w:r>
      <w:proofErr w:type="spellStart"/>
      <w:r>
        <w:rPr>
          <w:rFonts w:ascii="Palatino Linotype" w:eastAsia="Palatino Linotype" w:hAnsi="Palatino Linotype" w:cs="Palatino Linotype"/>
          <w:i/>
        </w:rPr>
        <w:t>autoaplicativa</w:t>
      </w:r>
      <w:proofErr w:type="spellEnd"/>
      <w:r>
        <w:rPr>
          <w:rFonts w:ascii="Palatino Linotype" w:eastAsia="Palatino Linotype" w:hAnsi="Palatino Linotype" w:cs="Palatino Linotype"/>
          <w:i/>
        </w:rPr>
        <w:t>, o el procedimiento de extradición, en que será de treinta días;</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Cuando se reclame la sentencia definitiva condenatoria en un proceso penal, que imponga pena de prisi</w:t>
      </w:r>
      <w:r>
        <w:rPr>
          <w:rFonts w:ascii="Palatino Linotype" w:eastAsia="Palatino Linotype" w:hAnsi="Palatino Linotype" w:cs="Palatino Linotype"/>
          <w:i/>
        </w:rPr>
        <w:t>ón, podrá interponerse en un plazo de hasta ocho años;</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Cuando el amparo se promueva contra actos que tengan o puedan tener por efecto privar total o parcialmente, en forma temporal o definitiva, de la propiedad, posesión o disfrute de sus derechos agrarios a los núcleos de población ejidal o comunal, en que s</w:t>
      </w:r>
      <w:r>
        <w:rPr>
          <w:rFonts w:ascii="Palatino Linotype" w:eastAsia="Palatino Linotype" w:hAnsi="Palatino Linotype" w:cs="Palatino Linotype"/>
          <w:i/>
        </w:rPr>
        <w:t>erá de siete años, contados a partir de que, de manera indubitable, la autoridad responsable notifique el acto a los grupos agrarios mencionados;</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Cuando el acto reclamado implique peligro de privación de la vida, ataques a la libertad personal fuera de</w:t>
      </w:r>
      <w:r>
        <w:rPr>
          <w:rFonts w:ascii="Palatino Linotype" w:eastAsia="Palatino Linotype" w:hAnsi="Palatino Linotype" w:cs="Palatino Linotype"/>
          <w:i/>
        </w:rPr>
        <w:t xml:space="preserve"> procedimiento, incomunicación, deportación o expulsión, proscripción o destierro, desaparición forzada de personas o alguno de los prohibidos por el artículo 22 de la Constitución Política de los Estados Unidos Mexicanos, así como la incorporación forzosa</w:t>
      </w:r>
      <w:r>
        <w:rPr>
          <w:rFonts w:ascii="Palatino Linotype" w:eastAsia="Palatino Linotype" w:hAnsi="Palatino Linotype" w:cs="Palatino Linotype"/>
          <w:i/>
        </w:rPr>
        <w:t xml:space="preserve"> al Ejército, Armada o Fuerza Aérea nacionales, en que podrá presentarse en cualquier tiempo.</w:t>
      </w:r>
    </w:p>
    <w:p w:rsidR="00E23276" w:rsidRDefault="007F509E">
      <w:pPr>
        <w:spacing w:before="120" w:after="120" w:line="240" w:lineRule="auto"/>
        <w:ind w:left="862" w:right="902"/>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Los plazos a que se refiere el artículo anterior se computarán a partir del día siguiente a aquél en que surta efectos, conforme a la ley del acto, l</w:t>
      </w:r>
      <w:r>
        <w:rPr>
          <w:rFonts w:ascii="Palatino Linotype" w:eastAsia="Palatino Linotype" w:hAnsi="Palatino Linotype" w:cs="Palatino Linotype"/>
          <w:i/>
        </w:rPr>
        <w:t xml:space="preserve">a notificación al quejoso del acto o resolución que reclame o a aquél en que haya tenido conocimiento o se ostente sabedor del acto reclamado o de su ejecución, </w:t>
      </w:r>
      <w:r>
        <w:rPr>
          <w:rFonts w:ascii="Palatino Linotype" w:eastAsia="Palatino Linotype" w:hAnsi="Palatino Linotype" w:cs="Palatino Linotype"/>
          <w:i/>
        </w:rPr>
        <w:lastRenderedPageBreak/>
        <w:t>salvo el caso de la fracción I del artículo anterior en el que se computará a partir del día de</w:t>
      </w:r>
      <w:r>
        <w:rPr>
          <w:rFonts w:ascii="Palatino Linotype" w:eastAsia="Palatino Linotype" w:hAnsi="Palatino Linotype" w:cs="Palatino Linotype"/>
          <w:i/>
        </w:rPr>
        <w:t xml:space="preserve"> su entrada en vigor.</w:t>
      </w:r>
    </w:p>
    <w:p w:rsidR="00E23276" w:rsidRDefault="007F509E">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En consecuencia, se considera que no se debe ordenar la entrega de laudos, que específicamente no han causado estado; ello, ya que al dar a conocer el documento que contiene un laudo que aún no ha causado estado, vulnera el manejo del</w:t>
      </w:r>
      <w:r>
        <w:rPr>
          <w:rFonts w:ascii="Palatino Linotype" w:eastAsia="Palatino Linotype" w:hAnsi="Palatino Linotype" w:cs="Palatino Linotype"/>
        </w:rPr>
        <w:t xml:space="preserve"> procedimiento arbitral, al existir a favor de las partes el amparo por medio del cual aún se puede modificar o revocar el laudo.</w:t>
      </w:r>
    </w:p>
    <w:p w:rsidR="00E23276" w:rsidRDefault="007F509E">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Actualizándose con ello, la hipótesis señalada por el por el artículo 140, fracción VIII de Ley de Transparencia y Acceso a la</w:t>
      </w:r>
      <w:r>
        <w:rPr>
          <w:rFonts w:ascii="Palatino Linotype" w:eastAsia="Palatino Linotype" w:hAnsi="Palatino Linotype" w:cs="Palatino Linotype"/>
        </w:rPr>
        <w:t xml:space="preserve"> Información Pública del Estado de México y Municipios, que señala:</w:t>
      </w:r>
    </w:p>
    <w:p w:rsidR="00E23276" w:rsidRDefault="007F509E">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w:t>
      </w:r>
      <w:r>
        <w:rPr>
          <w:rFonts w:ascii="Palatino Linotype" w:eastAsia="Palatino Linotype" w:hAnsi="Palatino Linotype" w:cs="Palatino Linotype"/>
          <w:i/>
        </w:rPr>
        <w:t>guientes:</w:t>
      </w:r>
    </w:p>
    <w:p w:rsidR="00E23276" w:rsidRDefault="007F509E">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i/>
        </w:rPr>
        <w:t>…</w:t>
      </w:r>
    </w:p>
    <w:p w:rsidR="00E23276" w:rsidRDefault="007F509E">
      <w:pPr>
        <w:spacing w:before="120" w:after="120" w:line="240" w:lineRule="auto"/>
        <w:ind w:left="862" w:right="618"/>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Vulnere la conducción de los expedientes judiciales o de los procedimientos administrativos seguidos en forma de juicio, en tanto no hayan quedado firmes”</w:t>
      </w:r>
    </w:p>
    <w:p w:rsidR="00E23276" w:rsidRDefault="007F509E">
      <w:pPr>
        <w:spacing w:after="80" w:line="276" w:lineRule="auto"/>
        <w:ind w:left="860" w:right="620"/>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rsidR="00E23276" w:rsidRDefault="007F509E">
      <w:pPr>
        <w:spacing w:before="8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Lo que se robustece, del Artículo 113 fracción XI de la Ley General de Transparen</w:t>
      </w:r>
      <w:r>
        <w:rPr>
          <w:rFonts w:ascii="Palatino Linotype" w:eastAsia="Palatino Linotype" w:hAnsi="Palatino Linotype" w:cs="Palatino Linotype"/>
        </w:rPr>
        <w:t>cia y Acceso a la Información Pública, así como lo establecido en los Lineamientos Generales en Materia de Clasificación y Desclasificación de la Información, así como para la Elaboración de Versiones Públicas, que a la letra señalan lo siguiente:</w:t>
      </w:r>
    </w:p>
    <w:p w:rsidR="00E23276" w:rsidRDefault="007F509E">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w:t>
      </w:r>
      <w:r>
        <w:rPr>
          <w:rFonts w:ascii="Palatino Linotype" w:eastAsia="Palatino Linotype" w:hAnsi="Palatino Linotype" w:cs="Palatino Linotype"/>
          <w:b/>
          <w:i/>
        </w:rPr>
        <w:t>o 113</w:t>
      </w:r>
      <w:r>
        <w:rPr>
          <w:rFonts w:ascii="Palatino Linotype" w:eastAsia="Palatino Linotype" w:hAnsi="Palatino Linotype" w:cs="Palatino Linotype"/>
          <w:i/>
        </w:rPr>
        <w:t>. Como información reservada podrá clasificarse aquella cuya publicación:</w:t>
      </w:r>
    </w:p>
    <w:p w:rsidR="00E23276" w:rsidRDefault="007F509E">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i/>
        </w:rPr>
        <w:t>…</w:t>
      </w:r>
    </w:p>
    <w:p w:rsidR="00E23276" w:rsidRDefault="007F509E">
      <w:pPr>
        <w:spacing w:before="120" w:after="120" w:line="240" w:lineRule="auto"/>
        <w:ind w:left="862" w:right="862"/>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XI.</w:t>
      </w:r>
      <w:r>
        <w:rPr>
          <w:rFonts w:ascii="Palatino Linotype" w:eastAsia="Palatino Linotype" w:hAnsi="Palatino Linotype" w:cs="Palatino Linotype"/>
          <w:i/>
        </w:rPr>
        <w:t xml:space="preserve"> Vulnere la conducción de los Expedientes judiciales o de los procedimientos administrativos seguidos en forma de juicio, en tanto no hayan causado estado…” </w:t>
      </w:r>
    </w:p>
    <w:p w:rsidR="00E23276" w:rsidRDefault="007F509E">
      <w:pPr>
        <w:spacing w:before="240" w:after="24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Y de los Lineamientos Generales en materia de Clasificación y Desclasificación de la Información, así como para la elaboración de versiones públicas, prevé lo siguiente:</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Trigésimo</w:t>
      </w:r>
      <w:r>
        <w:rPr>
          <w:rFonts w:ascii="Palatino Linotype" w:eastAsia="Palatino Linotype" w:hAnsi="Palatino Linotype" w:cs="Palatino Linotype"/>
          <w:i/>
        </w:rPr>
        <w:t>. De conformidad con el artículo 113, fracción XI de la Ley General, podrá c</w:t>
      </w:r>
      <w:r>
        <w:rPr>
          <w:rFonts w:ascii="Palatino Linotype" w:eastAsia="Palatino Linotype" w:hAnsi="Palatino Linotype" w:cs="Palatino Linotype"/>
          <w:i/>
        </w:rPr>
        <w:t>onsiderarse como información reservada, aquella que vulnere la conducción de los expedientes judiciales o de los procedimientos administrativos seguidos en forma de juicio, siempre y cuando se acrediten los siguientes elementos:</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I.</w:t>
      </w:r>
      <w:r>
        <w:rPr>
          <w:rFonts w:ascii="Palatino Linotype" w:eastAsia="Palatino Linotype" w:hAnsi="Palatino Linotype" w:cs="Palatino Linotype"/>
          <w:i/>
        </w:rPr>
        <w:t xml:space="preserve"> La existencia de un jui</w:t>
      </w:r>
      <w:r>
        <w:rPr>
          <w:rFonts w:ascii="Palatino Linotype" w:eastAsia="Palatino Linotype" w:hAnsi="Palatino Linotype" w:cs="Palatino Linotype"/>
          <w:i/>
        </w:rPr>
        <w:t>cio o procedimiento administrativo materialmente jurisdiccional, que se encuentre en trámite, y</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Que la información solicitada se refiera a actuaciones, diligencias o constancias propias del procedimiento, y</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Que su difusión afecte o interrumpa la l</w:t>
      </w:r>
      <w:r>
        <w:rPr>
          <w:rFonts w:ascii="Palatino Linotype" w:eastAsia="Palatino Linotype" w:hAnsi="Palatino Linotype" w:cs="Palatino Linotype"/>
          <w:i/>
        </w:rPr>
        <w:t xml:space="preserve">ibertad de decisión de las autoridades dentro del juicio o procedimiento administrativo seguido en forma de juicio. </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Para los efectos del primer párrafo de este numeral, se considera procedimiento seguido en forma de juicio a aquel formalmente administrat</w:t>
      </w:r>
      <w:r>
        <w:rPr>
          <w:rFonts w:ascii="Palatino Linotype" w:eastAsia="Palatino Linotype" w:hAnsi="Palatino Linotype" w:cs="Palatino Linotype"/>
          <w:i/>
        </w:rPr>
        <w:t>ivo, pero materialmente jurisdiccional; esto es, en el que concurran los siguientes elementos:</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1.</w:t>
      </w:r>
      <w:r>
        <w:rPr>
          <w:rFonts w:ascii="Palatino Linotype" w:eastAsia="Palatino Linotype" w:hAnsi="Palatino Linotype" w:cs="Palatino Linotype"/>
          <w:i/>
        </w:rPr>
        <w:t xml:space="preserve"> Que se trate de un procedimiento en el que la autoridad dirima una controversia entre partes contendientes, así como los procedimientos en que la autoridad, </w:t>
      </w:r>
      <w:r>
        <w:rPr>
          <w:rFonts w:ascii="Palatino Linotype" w:eastAsia="Palatino Linotype" w:hAnsi="Palatino Linotype" w:cs="Palatino Linotype"/>
          <w:i/>
        </w:rPr>
        <w:t>frente al particular, prepare su resolución definitiva, aunque sólo sea un trámite para cumplir con la garantía de audiencia, y</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b/>
          <w:i/>
        </w:rPr>
        <w:t>2.</w:t>
      </w:r>
      <w:r>
        <w:rPr>
          <w:rFonts w:ascii="Palatino Linotype" w:eastAsia="Palatino Linotype" w:hAnsi="Palatino Linotype" w:cs="Palatino Linotype"/>
          <w:i/>
        </w:rPr>
        <w:t xml:space="preserve"> Que se cumplan las formalidades esenciales del procedimiento.</w:t>
      </w:r>
    </w:p>
    <w:p w:rsidR="00E23276" w:rsidRDefault="007F509E">
      <w:pPr>
        <w:spacing w:before="120" w:after="120" w:line="240" w:lineRule="auto"/>
        <w:ind w:left="862" w:right="561"/>
        <w:jc w:val="both"/>
        <w:rPr>
          <w:rFonts w:ascii="Palatino Linotype" w:eastAsia="Palatino Linotype" w:hAnsi="Palatino Linotype" w:cs="Palatino Linotype"/>
          <w:i/>
        </w:rPr>
      </w:pPr>
      <w:r>
        <w:rPr>
          <w:rFonts w:ascii="Palatino Linotype" w:eastAsia="Palatino Linotype" w:hAnsi="Palatino Linotype" w:cs="Palatino Linotype"/>
          <w:i/>
        </w:rPr>
        <w:t xml:space="preserve"> No serán objeto de reserva las resoluciones interlocutorias o </w:t>
      </w:r>
      <w:r>
        <w:rPr>
          <w:rFonts w:ascii="Palatino Linotype" w:eastAsia="Palatino Linotype" w:hAnsi="Palatino Linotype" w:cs="Palatino Linotype"/>
          <w:i/>
        </w:rPr>
        <w:t>definitivas que se dicten dentro de los procedimientos o con las que se concluya el mismo. En estos casos deberá otorgarse acceso a la resolución en versión pública, testando la información clasificada.”</w:t>
      </w:r>
    </w:p>
    <w:p w:rsidR="00E23276" w:rsidRDefault="007F509E">
      <w:pPr>
        <w:spacing w:before="240" w:after="240" w:line="360" w:lineRule="auto"/>
        <w:ind w:right="142"/>
        <w:jc w:val="both"/>
        <w:rPr>
          <w:rFonts w:ascii="Palatino Linotype" w:eastAsia="Palatino Linotype" w:hAnsi="Palatino Linotype" w:cs="Palatino Linotype"/>
          <w:highlight w:val="yellow"/>
        </w:rPr>
      </w:pPr>
      <w:bookmarkStart w:id="4" w:name="_heading=h.30j0zll" w:colFirst="0" w:colLast="0"/>
      <w:bookmarkEnd w:id="4"/>
      <w:r>
        <w:rPr>
          <w:rFonts w:ascii="Palatino Linotype" w:eastAsia="Palatino Linotype" w:hAnsi="Palatino Linotype" w:cs="Palatino Linotype"/>
        </w:rPr>
        <w:lastRenderedPageBreak/>
        <w:t>Es por todo lo vertido en líneas argumentativas ante</w:t>
      </w:r>
      <w:r>
        <w:rPr>
          <w:rFonts w:ascii="Palatino Linotype" w:eastAsia="Palatino Linotype" w:hAnsi="Palatino Linotype" w:cs="Palatino Linotype"/>
        </w:rPr>
        <w:t xml:space="preserve">riores, que la suscrita no comparte que se ordene la entrega de laudos que no han causado ejecutoria; y por ende, se formula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w:t>
      </w:r>
    </w:p>
    <w:p w:rsidR="00E23276" w:rsidRDefault="00E23276">
      <w:pPr>
        <w:spacing w:before="240" w:after="240" w:line="360" w:lineRule="auto"/>
        <w:ind w:right="142"/>
        <w:jc w:val="both"/>
        <w:rPr>
          <w:rFonts w:ascii="Palatino Linotype" w:eastAsia="Palatino Linotype" w:hAnsi="Palatino Linotype" w:cs="Palatino Linotype"/>
          <w:highlight w:val="yellow"/>
        </w:rPr>
      </w:pPr>
    </w:p>
    <w:p w:rsidR="00E23276" w:rsidRDefault="00E23276">
      <w:pPr>
        <w:spacing w:before="240" w:after="240" w:line="360" w:lineRule="auto"/>
        <w:ind w:right="142"/>
        <w:jc w:val="both"/>
        <w:rPr>
          <w:rFonts w:ascii="Palatino Linotype" w:eastAsia="Palatino Linotype" w:hAnsi="Palatino Linotype" w:cs="Palatino Linotype"/>
          <w:highlight w:val="yellow"/>
        </w:rPr>
      </w:pPr>
    </w:p>
    <w:p w:rsidR="00E23276" w:rsidRDefault="00E23276">
      <w:pPr>
        <w:spacing w:before="240" w:after="240" w:line="360" w:lineRule="auto"/>
        <w:ind w:right="142"/>
        <w:jc w:val="both"/>
        <w:rPr>
          <w:rFonts w:ascii="Palatino Linotype" w:eastAsia="Palatino Linotype" w:hAnsi="Palatino Linotype" w:cs="Palatino Linotype"/>
          <w:highlight w:val="yellow"/>
        </w:rPr>
      </w:pPr>
    </w:p>
    <w:p w:rsidR="00E23276" w:rsidRDefault="00E23276">
      <w:pPr>
        <w:spacing w:before="240" w:after="240" w:line="360" w:lineRule="auto"/>
        <w:ind w:right="142"/>
        <w:jc w:val="both"/>
        <w:rPr>
          <w:rFonts w:ascii="Palatino Linotype" w:eastAsia="Palatino Linotype" w:hAnsi="Palatino Linotype" w:cs="Palatino Linotype"/>
          <w:highlight w:val="yellow"/>
        </w:rPr>
      </w:pPr>
    </w:p>
    <w:p w:rsidR="00E23276" w:rsidRDefault="00E23276">
      <w:pPr>
        <w:spacing w:before="240" w:after="240" w:line="360" w:lineRule="auto"/>
        <w:ind w:right="142"/>
        <w:jc w:val="both"/>
        <w:rPr>
          <w:rFonts w:ascii="Palatino Linotype" w:eastAsia="Palatino Linotype" w:hAnsi="Palatino Linotype" w:cs="Palatino Linotype"/>
          <w:highlight w:val="yellow"/>
        </w:rPr>
      </w:pPr>
    </w:p>
    <w:p w:rsidR="00E23276" w:rsidRDefault="00E23276">
      <w:pPr>
        <w:spacing w:before="240" w:after="240" w:line="360" w:lineRule="auto"/>
        <w:ind w:right="142"/>
        <w:jc w:val="both"/>
        <w:rPr>
          <w:rFonts w:ascii="Palatino Linotype" w:eastAsia="Palatino Linotype" w:hAnsi="Palatino Linotype" w:cs="Palatino Linotype"/>
          <w:highlight w:val="yellow"/>
        </w:rPr>
      </w:pPr>
      <w:bookmarkStart w:id="5" w:name="_GoBack"/>
      <w:bookmarkEnd w:id="5"/>
    </w:p>
    <w:sectPr w:rsidR="00E23276">
      <w:headerReference w:type="default" r:id="rId8"/>
      <w:footerReference w:type="default" r:id="rId9"/>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9E" w:rsidRDefault="007F509E">
      <w:pPr>
        <w:spacing w:after="0" w:line="240" w:lineRule="auto"/>
      </w:pPr>
      <w:r>
        <w:separator/>
      </w:r>
    </w:p>
  </w:endnote>
  <w:endnote w:type="continuationSeparator" w:id="0">
    <w:p w:rsidR="007F509E" w:rsidRDefault="007F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entury Gothic">
    <w:panose1 w:val="020B0502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76" w:rsidRDefault="007F50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sidR="00052740">
      <w:rPr>
        <w:rFonts w:ascii="Palatino Linotype" w:eastAsia="Palatino Linotype" w:hAnsi="Palatino Linotype" w:cs="Palatino Linotype"/>
        <w:b/>
        <w:color w:val="000000"/>
        <w:sz w:val="20"/>
        <w:szCs w:val="20"/>
      </w:rPr>
      <w:fldChar w:fldCharType="separate"/>
    </w:r>
    <w:r w:rsidR="006934EB">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sidR="00052740">
      <w:rPr>
        <w:rFonts w:ascii="Palatino Linotype" w:eastAsia="Palatino Linotype" w:hAnsi="Palatino Linotype" w:cs="Palatino Linotype"/>
        <w:b/>
        <w:color w:val="000000"/>
        <w:sz w:val="20"/>
        <w:szCs w:val="20"/>
      </w:rPr>
      <w:fldChar w:fldCharType="separate"/>
    </w:r>
    <w:r w:rsidR="006934EB">
      <w:rPr>
        <w:rFonts w:ascii="Palatino Linotype" w:eastAsia="Palatino Linotype" w:hAnsi="Palatino Linotype" w:cs="Palatino Linotype"/>
        <w:b/>
        <w:noProof/>
        <w:color w:val="000000"/>
        <w:sz w:val="20"/>
        <w:szCs w:val="20"/>
      </w:rPr>
      <w:t>11</w:t>
    </w:r>
    <w:r>
      <w:rPr>
        <w:rFonts w:ascii="Palatino Linotype" w:eastAsia="Palatino Linotype" w:hAnsi="Palatino Linotype" w:cs="Palatino Linotype"/>
        <w:b/>
        <w:color w:val="000000"/>
        <w:sz w:val="20"/>
        <w:szCs w:val="20"/>
      </w:rPr>
      <w:fldChar w:fldCharType="end"/>
    </w:r>
  </w:p>
  <w:p w:rsidR="00E23276" w:rsidRDefault="00E2327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9E" w:rsidRDefault="007F509E">
      <w:pPr>
        <w:spacing w:after="0" w:line="240" w:lineRule="auto"/>
      </w:pPr>
      <w:r>
        <w:separator/>
      </w:r>
    </w:p>
  </w:footnote>
  <w:footnote w:type="continuationSeparator" w:id="0">
    <w:p w:rsidR="007F509E" w:rsidRDefault="007F5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276" w:rsidRDefault="007F50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r>
      <w:rPr>
        <w:noProof/>
      </w:rPr>
      <w:drawing>
        <wp:anchor distT="0" distB="0" distL="0" distR="0" simplePos="0" relativeHeight="251658240" behindDoc="1" locked="0" layoutInCell="1" hidden="0" allowOverlap="1">
          <wp:simplePos x="0" y="0"/>
          <wp:positionH relativeFrom="column">
            <wp:posOffset>-1000122</wp:posOffset>
          </wp:positionH>
          <wp:positionV relativeFrom="paragraph">
            <wp:posOffset>-720088</wp:posOffset>
          </wp:positionV>
          <wp:extent cx="7510628" cy="98837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23276" w:rsidRDefault="007F509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02769/INFOEM/IP/RR/2025</w:t>
    </w:r>
  </w:p>
  <w:p w:rsidR="00E23276" w:rsidRDefault="007F509E">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San Martín de Las Pirámides</w:t>
    </w:r>
  </w:p>
  <w:p w:rsidR="00E23276" w:rsidRDefault="007F509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Comisionada Ponente: Guadalupe Ramírez Peña</w:t>
    </w:r>
  </w:p>
  <w:p w:rsidR="00E23276" w:rsidRDefault="00E2327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FF0000"/>
        <w:sz w:val="24"/>
        <w:szCs w:val="24"/>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62EB6"/>
    <w:multiLevelType w:val="multilevel"/>
    <w:tmpl w:val="6492897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550EC4"/>
    <w:multiLevelType w:val="multilevel"/>
    <w:tmpl w:val="3E66609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29A0644"/>
    <w:multiLevelType w:val="multilevel"/>
    <w:tmpl w:val="172088D6"/>
    <w:lvl w:ilvl="0">
      <w:start w:val="1"/>
      <w:numFmt w:val="bullet"/>
      <w:lvlText w:val="●"/>
      <w:lvlJc w:val="left"/>
      <w:pPr>
        <w:ind w:left="1362" w:hanging="359"/>
      </w:pPr>
      <w:rPr>
        <w:rFonts w:ascii="Noto Sans Symbols" w:eastAsia="Noto Sans Symbols" w:hAnsi="Noto Sans Symbols" w:cs="Noto Sans Symbols"/>
      </w:rPr>
    </w:lvl>
    <w:lvl w:ilvl="1">
      <w:start w:val="1"/>
      <w:numFmt w:val="bullet"/>
      <w:lvlText w:val="o"/>
      <w:lvlJc w:val="left"/>
      <w:pPr>
        <w:ind w:left="2082" w:hanging="360"/>
      </w:pPr>
      <w:rPr>
        <w:rFonts w:ascii="Courier New" w:eastAsia="Courier New" w:hAnsi="Courier New" w:cs="Courier New"/>
      </w:rPr>
    </w:lvl>
    <w:lvl w:ilvl="2">
      <w:start w:val="1"/>
      <w:numFmt w:val="bullet"/>
      <w:lvlText w:val="▪"/>
      <w:lvlJc w:val="left"/>
      <w:pPr>
        <w:ind w:left="2802" w:hanging="360"/>
      </w:pPr>
      <w:rPr>
        <w:rFonts w:ascii="Noto Sans Symbols" w:eastAsia="Noto Sans Symbols" w:hAnsi="Noto Sans Symbols" w:cs="Noto Sans Symbols"/>
      </w:rPr>
    </w:lvl>
    <w:lvl w:ilvl="3">
      <w:start w:val="1"/>
      <w:numFmt w:val="bullet"/>
      <w:lvlText w:val="●"/>
      <w:lvlJc w:val="left"/>
      <w:pPr>
        <w:ind w:left="3522" w:hanging="360"/>
      </w:pPr>
      <w:rPr>
        <w:rFonts w:ascii="Noto Sans Symbols" w:eastAsia="Noto Sans Symbols" w:hAnsi="Noto Sans Symbols" w:cs="Noto Sans Symbols"/>
      </w:rPr>
    </w:lvl>
    <w:lvl w:ilvl="4">
      <w:start w:val="1"/>
      <w:numFmt w:val="bullet"/>
      <w:lvlText w:val="o"/>
      <w:lvlJc w:val="left"/>
      <w:pPr>
        <w:ind w:left="4242" w:hanging="360"/>
      </w:pPr>
      <w:rPr>
        <w:rFonts w:ascii="Courier New" w:eastAsia="Courier New" w:hAnsi="Courier New" w:cs="Courier New"/>
      </w:rPr>
    </w:lvl>
    <w:lvl w:ilvl="5">
      <w:start w:val="1"/>
      <w:numFmt w:val="bullet"/>
      <w:lvlText w:val="▪"/>
      <w:lvlJc w:val="left"/>
      <w:pPr>
        <w:ind w:left="4962" w:hanging="360"/>
      </w:pPr>
      <w:rPr>
        <w:rFonts w:ascii="Noto Sans Symbols" w:eastAsia="Noto Sans Symbols" w:hAnsi="Noto Sans Symbols" w:cs="Noto Sans Symbols"/>
      </w:rPr>
    </w:lvl>
    <w:lvl w:ilvl="6">
      <w:start w:val="1"/>
      <w:numFmt w:val="bullet"/>
      <w:lvlText w:val="●"/>
      <w:lvlJc w:val="left"/>
      <w:pPr>
        <w:ind w:left="5682" w:hanging="360"/>
      </w:pPr>
      <w:rPr>
        <w:rFonts w:ascii="Noto Sans Symbols" w:eastAsia="Noto Sans Symbols" w:hAnsi="Noto Sans Symbols" w:cs="Noto Sans Symbols"/>
      </w:rPr>
    </w:lvl>
    <w:lvl w:ilvl="7">
      <w:start w:val="1"/>
      <w:numFmt w:val="bullet"/>
      <w:lvlText w:val="o"/>
      <w:lvlJc w:val="left"/>
      <w:pPr>
        <w:ind w:left="6402" w:hanging="360"/>
      </w:pPr>
      <w:rPr>
        <w:rFonts w:ascii="Courier New" w:eastAsia="Courier New" w:hAnsi="Courier New" w:cs="Courier New"/>
      </w:rPr>
    </w:lvl>
    <w:lvl w:ilvl="8">
      <w:start w:val="1"/>
      <w:numFmt w:val="bullet"/>
      <w:lvlText w:val="▪"/>
      <w:lvlJc w:val="left"/>
      <w:pPr>
        <w:ind w:left="7122"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76"/>
    <w:rsid w:val="00052740"/>
    <w:rsid w:val="001D7D1A"/>
    <w:rsid w:val="006934EB"/>
    <w:rsid w:val="00783AE0"/>
    <w:rsid w:val="007F509E"/>
    <w:rsid w:val="00E23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CCEF8-0641-44AE-A148-5E2B87C9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paragraph" w:styleId="NormalWeb">
    <w:name w:val="Normal (Web)"/>
    <w:basedOn w:val="Normal"/>
    <w:uiPriority w:val="99"/>
    <w:semiHidden/>
    <w:unhideWhenUsed/>
    <w:rsid w:val="00080EC3"/>
    <w:pPr>
      <w:spacing w:before="100" w:beforeAutospacing="1" w:after="100" w:afterAutospacing="1" w:line="240" w:lineRule="auto"/>
    </w:pPr>
    <w:rPr>
      <w:rFonts w:ascii="Times New Roman" w:eastAsia="Times New Roman" w:hAnsi="Times New Roman" w:cs="Times New Roman"/>
      <w:sz w:val="24"/>
      <w:szCs w:val="24"/>
    </w:rPr>
  </w:style>
  <w:style w:type="character" w:styleId="nfasisintenso">
    <w:name w:val="Intense Emphasis"/>
    <w:basedOn w:val="Fuentedeprrafopredeter"/>
    <w:uiPriority w:val="21"/>
    <w:qFormat/>
    <w:rsid w:val="00AD40A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da8z+RuEn4TUyc0jFCKky12+A==">CgMxLjAyDmguOWF2NGdoMnZzdWZrMghoLmdqZGd4czIJaC4yZXQ5MnAwMg5oLjU5bnB4eXhwb21qZDIOaC5wazZnN3VuYm1kNG4yCWguMzBqMHpsbDgAciExa0E4U0NOcVVmdVhnTUthTF9GVUgxN3RtZS1hMlZ2cGw=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2824</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4</cp:revision>
  <cp:lastPrinted>2025-06-02T17:14:00Z</cp:lastPrinted>
  <dcterms:created xsi:type="dcterms:W3CDTF">2025-06-02T17:14:00Z</dcterms:created>
  <dcterms:modified xsi:type="dcterms:W3CDTF">2025-06-02T17:14:00Z</dcterms:modified>
</cp:coreProperties>
</file>