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1EDD8" w14:textId="77777777" w:rsidR="004327D8" w:rsidRPr="00E245B5" w:rsidRDefault="00431E06">
      <w:pPr>
        <w:spacing w:before="240" w:after="240" w:line="360" w:lineRule="auto"/>
        <w:ind w:left="-567"/>
        <w:jc w:val="both"/>
        <w:rPr>
          <w:rFonts w:ascii="Palatino Linotype" w:eastAsia="Palatino Linotype" w:hAnsi="Palatino Linotype" w:cs="Palatino Linotype"/>
          <w:b/>
        </w:rPr>
      </w:pPr>
      <w:bookmarkStart w:id="0" w:name="_heading=h.gjdgxs" w:colFirst="0" w:colLast="0"/>
      <w:bookmarkStart w:id="1" w:name="_GoBack"/>
      <w:bookmarkEnd w:id="0"/>
      <w:bookmarkEnd w:id="1"/>
      <w:r w:rsidRPr="00E245B5">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CB7DD8" w:rsidRPr="00E245B5">
        <w:rPr>
          <w:rFonts w:ascii="Palatino Linotype" w:eastAsia="Palatino Linotype" w:hAnsi="Palatino Linotype" w:cs="Palatino Linotype"/>
          <w:b/>
        </w:rPr>
        <w:t>NOVENA</w:t>
      </w:r>
      <w:r w:rsidRPr="00E245B5">
        <w:rPr>
          <w:rFonts w:ascii="Palatino Linotype" w:eastAsia="Palatino Linotype" w:hAnsi="Palatino Linotype" w:cs="Palatino Linotype"/>
          <w:b/>
        </w:rPr>
        <w:t xml:space="preserve"> SESIÓN ORDINARIA DEL </w:t>
      </w:r>
      <w:r w:rsidR="00CB7DD8" w:rsidRPr="00E245B5">
        <w:rPr>
          <w:rFonts w:ascii="Palatino Linotype" w:eastAsia="Palatino Linotype" w:hAnsi="Palatino Linotype" w:cs="Palatino Linotype"/>
          <w:b/>
        </w:rPr>
        <w:t>DOCE</w:t>
      </w:r>
      <w:r w:rsidRPr="00E245B5">
        <w:rPr>
          <w:rFonts w:ascii="Palatino Linotype" w:eastAsia="Palatino Linotype" w:hAnsi="Palatino Linotype" w:cs="Palatino Linotype"/>
          <w:b/>
        </w:rPr>
        <w:t xml:space="preserve"> DE </w:t>
      </w:r>
      <w:r w:rsidR="00AC471C" w:rsidRPr="00E245B5">
        <w:rPr>
          <w:rFonts w:ascii="Palatino Linotype" w:eastAsia="Palatino Linotype" w:hAnsi="Palatino Linotype" w:cs="Palatino Linotype"/>
          <w:b/>
        </w:rPr>
        <w:t>MARZO</w:t>
      </w:r>
      <w:r w:rsidRPr="00E245B5">
        <w:rPr>
          <w:rFonts w:ascii="Palatino Linotype" w:eastAsia="Palatino Linotype" w:hAnsi="Palatino Linotype" w:cs="Palatino Linotype"/>
          <w:b/>
        </w:rPr>
        <w:t xml:space="preserve"> DE DOS MIL VEINTICINCO, EN EL RECURSO DE REVISIÓN </w:t>
      </w:r>
      <w:r w:rsidRPr="00E245B5">
        <w:rPr>
          <w:rFonts w:ascii="Palatino Linotype" w:eastAsia="Palatino Linotype" w:hAnsi="Palatino Linotype" w:cs="Palatino Linotype"/>
          <w:b/>
          <w:color w:val="000000"/>
        </w:rPr>
        <w:t>0</w:t>
      </w:r>
      <w:r w:rsidR="00CB7DD8" w:rsidRPr="00E245B5">
        <w:rPr>
          <w:rFonts w:ascii="Palatino Linotype" w:eastAsia="Palatino Linotype" w:hAnsi="Palatino Linotype" w:cs="Palatino Linotype"/>
          <w:b/>
          <w:color w:val="000000"/>
        </w:rPr>
        <w:t>899</w:t>
      </w:r>
      <w:r w:rsidRPr="00E245B5">
        <w:rPr>
          <w:rFonts w:ascii="Palatino Linotype" w:eastAsia="Palatino Linotype" w:hAnsi="Palatino Linotype" w:cs="Palatino Linotype"/>
          <w:b/>
          <w:color w:val="000000"/>
        </w:rPr>
        <w:t>/INFOEM/IP/RR/202</w:t>
      </w:r>
      <w:r w:rsidR="00CB7DD8" w:rsidRPr="00E245B5">
        <w:rPr>
          <w:rFonts w:ascii="Palatino Linotype" w:eastAsia="Palatino Linotype" w:hAnsi="Palatino Linotype" w:cs="Palatino Linotype"/>
          <w:b/>
          <w:color w:val="000000"/>
        </w:rPr>
        <w:t>5</w:t>
      </w:r>
      <w:r w:rsidRPr="00E245B5">
        <w:rPr>
          <w:rFonts w:ascii="Palatino Linotype" w:eastAsia="Palatino Linotype" w:hAnsi="Palatino Linotype" w:cs="Palatino Linotype"/>
          <w:b/>
        </w:rPr>
        <w:t>.</w:t>
      </w:r>
    </w:p>
    <w:p w14:paraId="7E7E1A4F" w14:textId="77777777" w:rsidR="004327D8" w:rsidRPr="00E245B5" w:rsidRDefault="00431E06">
      <w:pPr>
        <w:spacing w:after="80" w:line="360" w:lineRule="auto"/>
        <w:ind w:left="-567" w:right="-93"/>
        <w:jc w:val="both"/>
        <w:rPr>
          <w:rFonts w:ascii="Palatino Linotype" w:eastAsia="Palatino Linotype" w:hAnsi="Palatino Linotype" w:cs="Palatino Linotype"/>
        </w:rPr>
      </w:pPr>
      <w:r w:rsidRPr="00E245B5">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 los Recursos de Revisión </w:t>
      </w:r>
      <w:r w:rsidRPr="00E245B5">
        <w:rPr>
          <w:rFonts w:ascii="Palatino Linotype" w:eastAsia="Palatino Linotype" w:hAnsi="Palatino Linotype" w:cs="Palatino Linotype"/>
          <w:b/>
          <w:color w:val="000000"/>
        </w:rPr>
        <w:t>0</w:t>
      </w:r>
      <w:r w:rsidR="00CB7DD8" w:rsidRPr="00E245B5">
        <w:rPr>
          <w:rFonts w:ascii="Palatino Linotype" w:eastAsia="Palatino Linotype" w:hAnsi="Palatino Linotype" w:cs="Palatino Linotype"/>
          <w:b/>
          <w:color w:val="000000"/>
        </w:rPr>
        <w:t>0899</w:t>
      </w:r>
      <w:r w:rsidRPr="00E245B5">
        <w:rPr>
          <w:rFonts w:ascii="Palatino Linotype" w:eastAsia="Palatino Linotype" w:hAnsi="Palatino Linotype" w:cs="Palatino Linotype"/>
          <w:b/>
          <w:color w:val="000000"/>
        </w:rPr>
        <w:t>/INFOEM/IP/RR/202</w:t>
      </w:r>
      <w:r w:rsidR="00CB7DD8" w:rsidRPr="00E245B5">
        <w:rPr>
          <w:rFonts w:ascii="Palatino Linotype" w:eastAsia="Palatino Linotype" w:hAnsi="Palatino Linotype" w:cs="Palatino Linotype"/>
          <w:b/>
          <w:color w:val="000000"/>
        </w:rPr>
        <w:t>5</w:t>
      </w:r>
      <w:r w:rsidRPr="00E245B5">
        <w:rPr>
          <w:rFonts w:ascii="Palatino Linotype" w:eastAsia="Palatino Linotype" w:hAnsi="Palatino Linotype" w:cs="Palatino Linotype"/>
          <w:b/>
        </w:rPr>
        <w:t xml:space="preserve">, </w:t>
      </w:r>
      <w:r w:rsidRPr="00E245B5">
        <w:rPr>
          <w:rFonts w:ascii="Palatino Linotype" w:eastAsia="Palatino Linotype" w:hAnsi="Palatino Linotype" w:cs="Palatino Linotype"/>
        </w:rPr>
        <w:t>conforme al criterio mayoritario del Pleno</w:t>
      </w:r>
      <w:r w:rsidRPr="00E245B5">
        <w:rPr>
          <w:rFonts w:ascii="Palatino Linotype" w:eastAsia="Palatino Linotype" w:hAnsi="Palatino Linotype" w:cs="Palatino Linotype"/>
          <w:b/>
        </w:rPr>
        <w:t xml:space="preserve">, </w:t>
      </w:r>
      <w:r w:rsidRPr="00E245B5">
        <w:rPr>
          <w:rFonts w:ascii="Palatino Linotype" w:eastAsia="Palatino Linotype" w:hAnsi="Palatino Linotype" w:cs="Palatino Linotype"/>
        </w:rPr>
        <w:t xml:space="preserve">respecto de la cual, quien suscribe, emite </w:t>
      </w:r>
      <w:r w:rsidRPr="00E245B5">
        <w:rPr>
          <w:rFonts w:ascii="Palatino Linotype" w:eastAsia="Palatino Linotype" w:hAnsi="Palatino Linotype" w:cs="Palatino Linotype"/>
          <w:b/>
        </w:rPr>
        <w:t>VOTO PARTICULAR</w:t>
      </w:r>
      <w:r w:rsidRPr="00E245B5">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46C4344C" w14:textId="77777777" w:rsidR="004327D8" w:rsidRPr="00E245B5" w:rsidRDefault="004327D8">
      <w:pPr>
        <w:spacing w:after="80" w:line="360" w:lineRule="auto"/>
        <w:ind w:left="-567" w:right="-93"/>
        <w:jc w:val="both"/>
        <w:rPr>
          <w:rFonts w:ascii="Palatino Linotype" w:eastAsia="Palatino Linotype" w:hAnsi="Palatino Linotype" w:cs="Palatino Linotype"/>
        </w:rPr>
      </w:pPr>
    </w:p>
    <w:p w14:paraId="70171B27" w14:textId="77777777" w:rsidR="004327D8" w:rsidRPr="00E245B5" w:rsidRDefault="00431E06">
      <w:pPr>
        <w:spacing w:after="80" w:line="360" w:lineRule="auto"/>
        <w:ind w:left="-567" w:right="-93"/>
        <w:jc w:val="both"/>
        <w:rPr>
          <w:rFonts w:ascii="Palatino Linotype" w:eastAsia="Palatino Linotype" w:hAnsi="Palatino Linotype" w:cs="Palatino Linotype"/>
        </w:rPr>
      </w:pPr>
      <w:r w:rsidRPr="00E245B5">
        <w:rPr>
          <w:rFonts w:ascii="Palatino Linotype" w:eastAsia="Palatino Linotype" w:hAnsi="Palatino Linotype" w:cs="Palatino Linotype"/>
        </w:rPr>
        <w:t>Al respecto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14:paraId="41799550" w14:textId="77777777" w:rsidR="004327D8" w:rsidRPr="00E245B5" w:rsidRDefault="004327D8">
      <w:pPr>
        <w:spacing w:after="80" w:line="360" w:lineRule="auto"/>
        <w:ind w:left="-567" w:right="-93"/>
        <w:jc w:val="both"/>
        <w:rPr>
          <w:rFonts w:ascii="Palatino Linotype" w:eastAsia="Palatino Linotype" w:hAnsi="Palatino Linotype" w:cs="Palatino Linotype"/>
        </w:rPr>
      </w:pPr>
    </w:p>
    <w:p w14:paraId="7061F880" w14:textId="7849D937" w:rsidR="00CB7DD8" w:rsidRPr="00E245B5" w:rsidRDefault="00431E06">
      <w:pPr>
        <w:spacing w:after="80" w:line="360" w:lineRule="auto"/>
        <w:ind w:left="-567" w:right="-93"/>
        <w:jc w:val="both"/>
        <w:rPr>
          <w:rFonts w:ascii="Palatino Linotype" w:eastAsia="Palatino Linotype" w:hAnsi="Palatino Linotype" w:cs="Palatino Linotype"/>
        </w:rPr>
      </w:pPr>
      <w:r w:rsidRPr="00E245B5">
        <w:rPr>
          <w:rFonts w:ascii="Palatino Linotype" w:eastAsia="Palatino Linotype" w:hAnsi="Palatino Linotype" w:cs="Palatino Linotype"/>
        </w:rPr>
        <w:lastRenderedPageBreak/>
        <w:t>Sin embargo, es preciso mencionar que, el presente voto particular se formula</w:t>
      </w:r>
      <w:r w:rsidR="00CB7DD8" w:rsidRPr="00E245B5">
        <w:rPr>
          <w:rFonts w:ascii="Palatino Linotype" w:eastAsia="Palatino Linotype" w:hAnsi="Palatino Linotype" w:cs="Palatino Linotype"/>
        </w:rPr>
        <w:t xml:space="preserve"> para robustecer el tema respecto a la naturaleza de la información requerida</w:t>
      </w:r>
      <w:r w:rsidR="00E871D1">
        <w:rPr>
          <w:rFonts w:ascii="Palatino Linotype" w:eastAsia="Palatino Linotype" w:hAnsi="Palatino Linotype" w:cs="Palatino Linotype"/>
        </w:rPr>
        <w:t xml:space="preserve"> y entregada, </w:t>
      </w:r>
      <w:r w:rsidR="00CB7DD8" w:rsidRPr="00E245B5">
        <w:rPr>
          <w:rFonts w:ascii="Palatino Linotype" w:eastAsia="Palatino Linotype" w:hAnsi="Palatino Linotype" w:cs="Palatino Linotype"/>
        </w:rPr>
        <w:t xml:space="preserve"> la cual pudiera contener información sobre los elementos operativos del Sujeto Obligado.</w:t>
      </w:r>
    </w:p>
    <w:p w14:paraId="7987298D" w14:textId="77777777" w:rsidR="00CB7DD8" w:rsidRPr="00E245B5" w:rsidRDefault="00CB7DD8">
      <w:pPr>
        <w:spacing w:after="80" w:line="360" w:lineRule="auto"/>
        <w:ind w:left="-567" w:right="-93"/>
        <w:jc w:val="both"/>
        <w:rPr>
          <w:rFonts w:ascii="Palatino Linotype" w:eastAsia="Palatino Linotype" w:hAnsi="Palatino Linotype" w:cs="Palatino Linotype"/>
        </w:rPr>
      </w:pPr>
    </w:p>
    <w:p w14:paraId="51520B85" w14:textId="77777777" w:rsidR="00CB7DD8" w:rsidRPr="00E245B5" w:rsidRDefault="00CB7DD8">
      <w:pPr>
        <w:spacing w:after="80" w:line="360" w:lineRule="auto"/>
        <w:ind w:left="-567" w:right="-93"/>
        <w:jc w:val="both"/>
        <w:rPr>
          <w:rFonts w:ascii="Palatino Linotype" w:eastAsia="Palatino Linotype" w:hAnsi="Palatino Linotype" w:cs="Palatino Linotype"/>
        </w:rPr>
      </w:pPr>
      <w:r w:rsidRPr="00E245B5">
        <w:rPr>
          <w:rFonts w:ascii="Palatino Linotype" w:eastAsia="Palatino Linotype" w:hAnsi="Palatino Linotype" w:cs="Palatino Linotype"/>
        </w:rPr>
        <w:t>Lo anterior en razón de que la información que solicita el particular se relaciona con el organigrama completo de la Coordinación General de la Policía de Investigación.</w:t>
      </w:r>
      <w:r w:rsidR="003D54A6" w:rsidRPr="00E245B5">
        <w:rPr>
          <w:rFonts w:ascii="Palatino Linotype" w:eastAsia="Palatino Linotype" w:hAnsi="Palatino Linotype" w:cs="Palatino Linotype"/>
        </w:rPr>
        <w:t xml:space="preserve"> Es de recordar que la información relacionada con el organigrama o estructura orgánica forma parte de las obligaciones de transparencia común establecidas en el artículo 92, fracción II de la Ley de Transparencia y Acceso a la Información Pública del Estado de México y Municipios; cómo se logra apreciar:</w:t>
      </w:r>
    </w:p>
    <w:p w14:paraId="5390CC8D" w14:textId="77777777" w:rsidR="003D54A6" w:rsidRPr="00E245B5" w:rsidRDefault="003D54A6">
      <w:pPr>
        <w:spacing w:after="80" w:line="360" w:lineRule="auto"/>
        <w:ind w:left="-567" w:right="-93"/>
        <w:jc w:val="both"/>
        <w:rPr>
          <w:rFonts w:ascii="Palatino Linotype" w:eastAsia="Palatino Linotype" w:hAnsi="Palatino Linotype" w:cs="Palatino Linotype"/>
        </w:rPr>
      </w:pPr>
    </w:p>
    <w:p w14:paraId="750411E4" w14:textId="77777777" w:rsidR="003D54A6" w:rsidRPr="00E245B5" w:rsidRDefault="003D54A6" w:rsidP="003D54A6">
      <w:pPr>
        <w:spacing w:after="80" w:line="360" w:lineRule="auto"/>
        <w:ind w:right="708"/>
        <w:jc w:val="both"/>
        <w:rPr>
          <w:rFonts w:ascii="Palatino Linotype" w:hAnsi="Palatino Linotype"/>
          <w:i/>
        </w:rPr>
      </w:pPr>
      <w:r w:rsidRPr="00E245B5">
        <w:rPr>
          <w:rFonts w:ascii="Palatino Linotype" w:hAnsi="Palatino Linotype"/>
          <w:i/>
        </w:rPr>
        <w:t>Capítulo II De las Obligaciones de Transparencia Comunes 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82F3B69" w14:textId="77777777" w:rsidR="003D54A6" w:rsidRPr="00E245B5" w:rsidRDefault="003D54A6" w:rsidP="003D54A6">
      <w:pPr>
        <w:spacing w:after="80" w:line="360" w:lineRule="auto"/>
        <w:ind w:right="708"/>
        <w:jc w:val="both"/>
        <w:rPr>
          <w:rFonts w:ascii="Palatino Linotype" w:hAnsi="Palatino Linotype"/>
          <w:i/>
        </w:rPr>
      </w:pPr>
      <w:r w:rsidRPr="00E245B5">
        <w:rPr>
          <w:rFonts w:ascii="Palatino Linotype" w:hAnsi="Palatino Linotype"/>
          <w:i/>
        </w:rPr>
        <w:t>…</w:t>
      </w:r>
    </w:p>
    <w:p w14:paraId="0706EE0F" w14:textId="77777777" w:rsidR="003D54A6" w:rsidRPr="00E245B5" w:rsidRDefault="003D54A6" w:rsidP="003D54A6">
      <w:pPr>
        <w:spacing w:after="80" w:line="360" w:lineRule="auto"/>
        <w:ind w:right="708"/>
        <w:jc w:val="both"/>
        <w:rPr>
          <w:rFonts w:ascii="Palatino Linotype" w:hAnsi="Palatino Linotype"/>
          <w:i/>
        </w:rPr>
      </w:pPr>
      <w:r w:rsidRPr="00E245B5">
        <w:rPr>
          <w:rFonts w:ascii="Palatino Linotype" w:hAnsi="Palatino Linotype"/>
          <w:b/>
          <w:i/>
        </w:rPr>
        <w:t xml:space="preserve">II. Su estructura orgánica completa, en un formato que permita vincular cada parte de la estructura, </w:t>
      </w:r>
      <w:r w:rsidRPr="00E245B5">
        <w:rPr>
          <w:rFonts w:ascii="Palatino Linotype" w:hAnsi="Palatino Linotype"/>
          <w:b/>
          <w:i/>
          <w:u w:val="single"/>
        </w:rPr>
        <w:t>las atribuciones y responsabilidades que le corresponden a cada servidor público</w:t>
      </w:r>
      <w:r w:rsidRPr="00E245B5">
        <w:rPr>
          <w:rFonts w:ascii="Palatino Linotype" w:hAnsi="Palatino Linotype"/>
          <w:i/>
        </w:rPr>
        <w:t>, prestador de servicios profesionales o miembro de los sujetos obligados, de conformidad con las disposiciones jurídicas aplicables;</w:t>
      </w:r>
    </w:p>
    <w:p w14:paraId="2FE770CB" w14:textId="77777777" w:rsidR="003D54A6" w:rsidRPr="00E245B5" w:rsidRDefault="003D54A6" w:rsidP="003D54A6">
      <w:pPr>
        <w:spacing w:after="80" w:line="360" w:lineRule="auto"/>
        <w:ind w:right="708"/>
        <w:jc w:val="both"/>
        <w:rPr>
          <w:rFonts w:ascii="Palatino Linotype" w:eastAsia="Palatino Linotype" w:hAnsi="Palatino Linotype" w:cs="Palatino Linotype"/>
          <w:i/>
        </w:rPr>
      </w:pPr>
      <w:r w:rsidRPr="00E245B5">
        <w:rPr>
          <w:rFonts w:ascii="Palatino Linotype" w:hAnsi="Palatino Linotype"/>
          <w:i/>
        </w:rPr>
        <w:t>…</w:t>
      </w:r>
    </w:p>
    <w:p w14:paraId="5CDEF030" w14:textId="77777777" w:rsidR="00CB7DD8" w:rsidRPr="00E245B5" w:rsidRDefault="00CB7DD8">
      <w:pPr>
        <w:spacing w:after="80" w:line="360" w:lineRule="auto"/>
        <w:ind w:left="-567" w:right="-93"/>
        <w:jc w:val="both"/>
        <w:rPr>
          <w:rFonts w:ascii="Palatino Linotype" w:eastAsia="Palatino Linotype" w:hAnsi="Palatino Linotype" w:cs="Palatino Linotype"/>
        </w:rPr>
      </w:pPr>
    </w:p>
    <w:p w14:paraId="6FB15679" w14:textId="77777777" w:rsidR="003D54A6" w:rsidRPr="00E245B5" w:rsidRDefault="003D54A6" w:rsidP="003D54A6">
      <w:pPr>
        <w:spacing w:after="80" w:line="360" w:lineRule="auto"/>
        <w:ind w:left="-567" w:right="-93"/>
        <w:jc w:val="both"/>
        <w:rPr>
          <w:rFonts w:ascii="Palatino Linotype" w:hAnsi="Palatino Linotype"/>
        </w:rPr>
      </w:pPr>
      <w:r w:rsidRPr="00E245B5">
        <w:rPr>
          <w:rFonts w:ascii="Palatino Linotype" w:eastAsia="Palatino Linotype" w:hAnsi="Palatino Linotype" w:cs="Palatino Linotype"/>
        </w:rPr>
        <w:lastRenderedPageBreak/>
        <w:t xml:space="preserve">Además, los </w:t>
      </w:r>
      <w:r w:rsidRPr="00E245B5">
        <w:rPr>
          <w:rFonts w:ascii="Palatino Linotype" w:hAnsi="Palatino Linotype"/>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 que la información relativa a la estructura orgánica debe incluir los siguientes criterios:</w:t>
      </w:r>
    </w:p>
    <w:p w14:paraId="014F5586" w14:textId="77777777" w:rsidR="003D54A6" w:rsidRPr="00E245B5" w:rsidRDefault="003D54A6" w:rsidP="003D54A6">
      <w:pPr>
        <w:spacing w:after="80" w:line="360" w:lineRule="auto"/>
        <w:ind w:left="-567" w:right="-93"/>
        <w:jc w:val="both"/>
        <w:rPr>
          <w:rFonts w:ascii="Palatino Linotype" w:hAnsi="Palatino Linotype"/>
        </w:rPr>
      </w:pPr>
    </w:p>
    <w:p w14:paraId="5B90A901" w14:textId="77777777" w:rsidR="003D54A6" w:rsidRPr="00E245B5" w:rsidRDefault="003D54A6" w:rsidP="003D54A6">
      <w:pPr>
        <w:spacing w:after="80" w:line="360" w:lineRule="auto"/>
        <w:ind w:right="425"/>
        <w:jc w:val="both"/>
        <w:rPr>
          <w:rFonts w:ascii="Palatino Linotype" w:hAnsi="Palatino Linotype"/>
          <w:i/>
        </w:rPr>
      </w:pPr>
      <w:r w:rsidRPr="00E245B5">
        <w:rPr>
          <w:rFonts w:ascii="Palatino Linotype" w:hAnsi="Palatino Linotype"/>
          <w:i/>
        </w:rPr>
        <w:t>…</w:t>
      </w:r>
    </w:p>
    <w:p w14:paraId="57B07576" w14:textId="77777777" w:rsidR="003D54A6" w:rsidRPr="00E245B5" w:rsidRDefault="003D54A6" w:rsidP="003D54A6">
      <w:pPr>
        <w:spacing w:after="80" w:line="360" w:lineRule="auto"/>
        <w:ind w:right="425"/>
        <w:jc w:val="both"/>
        <w:rPr>
          <w:rFonts w:ascii="Palatino Linotype" w:hAnsi="Palatino Linotype"/>
          <w:i/>
        </w:rPr>
      </w:pPr>
      <w:r w:rsidRPr="00E245B5">
        <w:rPr>
          <w:rFonts w:ascii="Palatino Linotype" w:hAnsi="Palatino Linotype"/>
          <w:i/>
        </w:rPr>
        <w:t xml:space="preserve">Criterio 3 Denominación del área de nivel directivo o mando superior (de acuerdo con el catálogo que en su caso regule la actividad del sujeto obligado). </w:t>
      </w:r>
    </w:p>
    <w:p w14:paraId="27971CF7" w14:textId="77777777" w:rsidR="003D54A6" w:rsidRPr="00E245B5" w:rsidRDefault="003D54A6" w:rsidP="003D54A6">
      <w:pPr>
        <w:spacing w:after="80" w:line="360" w:lineRule="auto"/>
        <w:ind w:right="425"/>
        <w:jc w:val="both"/>
        <w:rPr>
          <w:rFonts w:ascii="Palatino Linotype" w:hAnsi="Palatino Linotype"/>
          <w:i/>
        </w:rPr>
      </w:pPr>
      <w:r w:rsidRPr="00E245B5">
        <w:rPr>
          <w:rFonts w:ascii="Palatino Linotype" w:hAnsi="Palatino Linotype"/>
          <w:i/>
        </w:rPr>
        <w:t xml:space="preserve">Criterio 4 Denominación del puesto (de acuerdo con el catálogo que en su caso regule la actividad del sujeto obligado). La información debe publicarse con perspectiva de género, en caso de que el catálogo que regule al sujeto obligado no contenga redacción con perspectiva de género, se incluirá la alternativa incluyente y no sexista entre paréntesis o corchetes. </w:t>
      </w:r>
    </w:p>
    <w:p w14:paraId="6B3EF530" w14:textId="77777777" w:rsidR="003D54A6" w:rsidRPr="00E245B5" w:rsidRDefault="003D54A6" w:rsidP="003D54A6">
      <w:pPr>
        <w:spacing w:after="80" w:line="360" w:lineRule="auto"/>
        <w:ind w:right="425"/>
        <w:jc w:val="both"/>
        <w:rPr>
          <w:rFonts w:ascii="Palatino Linotype" w:hAnsi="Palatino Linotype"/>
          <w:i/>
        </w:rPr>
      </w:pPr>
      <w:r w:rsidRPr="00E245B5">
        <w:rPr>
          <w:rFonts w:ascii="Palatino Linotype" w:hAnsi="Palatino Linotype"/>
          <w:i/>
        </w:rPr>
        <w:t>Criterio 5 Denominación del cargo (de conformidad con el nombramiento otorgado).</w:t>
      </w:r>
    </w:p>
    <w:p w14:paraId="69511AE3" w14:textId="77777777" w:rsidR="003D54A6" w:rsidRPr="00E245B5" w:rsidRDefault="003D54A6" w:rsidP="003D54A6">
      <w:pPr>
        <w:spacing w:after="80" w:line="360" w:lineRule="auto"/>
        <w:ind w:right="425"/>
        <w:jc w:val="both"/>
        <w:rPr>
          <w:rFonts w:ascii="Palatino Linotype" w:hAnsi="Palatino Linotype"/>
          <w:i/>
        </w:rPr>
      </w:pPr>
      <w:r w:rsidRPr="00E245B5">
        <w:rPr>
          <w:rFonts w:ascii="Palatino Linotype" w:hAnsi="Palatino Linotype"/>
          <w:i/>
        </w:rPr>
        <w:t xml:space="preserve">Criterio 6 Área de adscripción inmediata superior. </w:t>
      </w:r>
    </w:p>
    <w:p w14:paraId="67815865" w14:textId="77777777" w:rsidR="003D54A6" w:rsidRPr="00E245B5" w:rsidRDefault="003D54A6" w:rsidP="003D54A6">
      <w:pPr>
        <w:spacing w:after="80" w:line="360" w:lineRule="auto"/>
        <w:ind w:right="425"/>
        <w:jc w:val="both"/>
        <w:rPr>
          <w:rFonts w:ascii="Palatino Linotype" w:hAnsi="Palatino Linotype"/>
          <w:i/>
        </w:rPr>
      </w:pPr>
      <w:r w:rsidRPr="00E245B5">
        <w:rPr>
          <w:rFonts w:ascii="Palatino Linotype" w:hAnsi="Palatino Linotype"/>
          <w:i/>
        </w:rPr>
        <w:t>Criterio 7 Por cada puesto y/o cargo de la estructura se deberá especificar la denominación de la norma que establece sus atribuciones, responsabilidades y/o funciones, según sea el caso y el fundamento legal (artículo y/o fracción) que sustenta el puesto.</w:t>
      </w:r>
    </w:p>
    <w:p w14:paraId="6829040A" w14:textId="77777777" w:rsidR="003D54A6" w:rsidRPr="00E245B5" w:rsidRDefault="003D54A6" w:rsidP="003D54A6">
      <w:pPr>
        <w:spacing w:after="80" w:line="360" w:lineRule="auto"/>
        <w:ind w:right="425"/>
        <w:jc w:val="both"/>
        <w:rPr>
          <w:rFonts w:ascii="Palatino Linotype" w:hAnsi="Palatino Linotype"/>
          <w:i/>
        </w:rPr>
      </w:pPr>
      <w:r w:rsidRPr="00E245B5">
        <w:rPr>
          <w:rFonts w:ascii="Palatino Linotype" w:hAnsi="Palatino Linotype"/>
          <w:i/>
        </w:rPr>
        <w:t xml:space="preserve">Criterio 8 Por cada puesto o cargo deben registrarse las atribuciones, responsabilidades y/o funciones, según sea el caso, haciendo uso de lenguaje incluyente y no sexista, en caso de que la información no contenga redacción con perspectiva de género, se incluirá la alternativa incluyente y no sexista entre paréntesis o corchetes. </w:t>
      </w:r>
    </w:p>
    <w:p w14:paraId="088CDC50" w14:textId="77777777" w:rsidR="003D54A6" w:rsidRPr="00E245B5" w:rsidRDefault="003D54A6" w:rsidP="003D54A6">
      <w:pPr>
        <w:spacing w:after="80" w:line="360" w:lineRule="auto"/>
        <w:ind w:right="425"/>
        <w:jc w:val="both"/>
        <w:rPr>
          <w:rFonts w:ascii="Palatino Linotype" w:hAnsi="Palatino Linotype"/>
          <w:i/>
        </w:rPr>
      </w:pPr>
      <w:r w:rsidRPr="00E245B5">
        <w:rPr>
          <w:rFonts w:ascii="Palatino Linotype" w:hAnsi="Palatino Linotype"/>
          <w:i/>
        </w:rPr>
        <w:lastRenderedPageBreak/>
        <w:t xml:space="preserve">Criterio 9 Hipervínculo al perfil y/o requerimientos del puesto o cargo, en caso de existir de acuerdo con la normatividad que aplique. La información debe publicarse con perspectiva de género, en caso de que los documentos que regulen al sujeto obligado no contengan redacción con perspectiva de género, se incluirá la alternativa incluyente y no sexista entre paréntesis o corchetes. </w:t>
      </w:r>
    </w:p>
    <w:p w14:paraId="1EEC9306" w14:textId="77777777" w:rsidR="003D54A6" w:rsidRPr="00E245B5" w:rsidRDefault="003D54A6" w:rsidP="003D54A6">
      <w:pPr>
        <w:spacing w:after="80" w:line="360" w:lineRule="auto"/>
        <w:ind w:right="425"/>
        <w:jc w:val="both"/>
        <w:rPr>
          <w:rFonts w:ascii="Palatino Linotype" w:hAnsi="Palatino Linotype"/>
          <w:i/>
        </w:rPr>
      </w:pPr>
      <w:r w:rsidRPr="00E245B5">
        <w:rPr>
          <w:rFonts w:ascii="Palatino Linotype" w:hAnsi="Palatino Linotype"/>
          <w:i/>
        </w:rPr>
        <w:t>Criterio 10 Por cada área del sujeto obligado se debe incluir, en su caso, el número total de personas prestadoras de servicios profesionales o de las y los miembros que integren el sujeto obligado de conformidad con las disposiciones aplicables (por ejemplo, en puestos honoríficos).</w:t>
      </w:r>
    </w:p>
    <w:p w14:paraId="74D11C3A" w14:textId="77777777" w:rsidR="003D54A6" w:rsidRPr="00E245B5" w:rsidRDefault="003D54A6" w:rsidP="003D54A6">
      <w:pPr>
        <w:spacing w:after="80" w:line="360" w:lineRule="auto"/>
        <w:ind w:right="425"/>
        <w:jc w:val="both"/>
        <w:rPr>
          <w:rFonts w:ascii="Palatino Linotype" w:hAnsi="Palatino Linotype"/>
          <w:i/>
        </w:rPr>
      </w:pPr>
      <w:r w:rsidRPr="00E245B5">
        <w:rPr>
          <w:rFonts w:ascii="Palatino Linotype" w:hAnsi="Palatino Linotype"/>
          <w:i/>
        </w:rPr>
        <w:t>…</w:t>
      </w:r>
    </w:p>
    <w:p w14:paraId="1534CF1D" w14:textId="77777777" w:rsidR="003D54A6" w:rsidRPr="00E245B5" w:rsidRDefault="003D54A6" w:rsidP="003D54A6">
      <w:pPr>
        <w:spacing w:after="80" w:line="360" w:lineRule="auto"/>
        <w:ind w:left="-567" w:right="-93"/>
        <w:jc w:val="both"/>
        <w:rPr>
          <w:rFonts w:ascii="Palatino Linotype" w:hAnsi="Palatino Linotype"/>
        </w:rPr>
      </w:pPr>
    </w:p>
    <w:p w14:paraId="25FA50B2" w14:textId="77777777" w:rsidR="003D54A6" w:rsidRPr="00E245B5" w:rsidRDefault="003D54A6" w:rsidP="003D54A6">
      <w:pPr>
        <w:spacing w:after="80" w:line="360" w:lineRule="auto"/>
        <w:ind w:left="-567" w:right="-93"/>
        <w:jc w:val="both"/>
        <w:rPr>
          <w:rFonts w:ascii="Palatino Linotype" w:hAnsi="Palatino Linotype"/>
        </w:rPr>
      </w:pPr>
      <w:r w:rsidRPr="00E245B5">
        <w:rPr>
          <w:rFonts w:ascii="Palatino Linotype" w:hAnsi="Palatino Linotype"/>
        </w:rPr>
        <w:t>Es así que la normatividad en la materia establece los parámetros o campos que deberá incluir la información relacionada con la est</w:t>
      </w:r>
      <w:r w:rsidR="006A2763" w:rsidRPr="00E245B5">
        <w:rPr>
          <w:rFonts w:ascii="Palatino Linotype" w:hAnsi="Palatino Linotype"/>
        </w:rPr>
        <w:t>ructura orgánica u organigrama, entre los cuales destaca la denominación del cargo, las atribuciones o responsabilidades individuales de cada servidor público y el número total de personas prestadoras que integran la unidad administrativa.</w:t>
      </w:r>
    </w:p>
    <w:p w14:paraId="0EF6893E" w14:textId="77777777" w:rsidR="006A2763" w:rsidRPr="00E245B5" w:rsidRDefault="006A2763" w:rsidP="003D54A6">
      <w:pPr>
        <w:spacing w:after="80" w:line="360" w:lineRule="auto"/>
        <w:ind w:left="-567" w:right="-93"/>
        <w:jc w:val="both"/>
        <w:rPr>
          <w:rFonts w:ascii="Palatino Linotype" w:hAnsi="Palatino Linotype"/>
        </w:rPr>
      </w:pPr>
    </w:p>
    <w:p w14:paraId="22FBDB6E" w14:textId="1E473501" w:rsidR="00252540" w:rsidRPr="00E245B5" w:rsidRDefault="006A2763" w:rsidP="006318D2">
      <w:pPr>
        <w:spacing w:after="80" w:line="360" w:lineRule="auto"/>
        <w:ind w:left="-567" w:right="-93"/>
        <w:jc w:val="both"/>
        <w:rPr>
          <w:rFonts w:ascii="Palatino Linotype" w:hAnsi="Palatino Linotype"/>
          <w:color w:val="222222"/>
        </w:rPr>
      </w:pPr>
      <w:r w:rsidRPr="00E245B5">
        <w:rPr>
          <w:rFonts w:ascii="Palatino Linotype" w:hAnsi="Palatino Linotype"/>
        </w:rPr>
        <w:t xml:space="preserve">Es por lo anterior que cobra relevancia la naturaleza del Sujeto Obligado, ya que el recurrente solicitó específicamente de la </w:t>
      </w:r>
      <w:r w:rsidRPr="00E245B5">
        <w:rPr>
          <w:rFonts w:ascii="Palatino Linotype" w:eastAsia="Palatino Linotype" w:hAnsi="Palatino Linotype" w:cs="Palatino Linotype"/>
        </w:rPr>
        <w:t>Coordinación General de la Policía de Investigación</w:t>
      </w:r>
      <w:r w:rsidR="00252540" w:rsidRPr="00E245B5">
        <w:rPr>
          <w:rFonts w:ascii="Palatino Linotype" w:eastAsia="Palatino Linotype" w:hAnsi="Palatino Linotype" w:cs="Palatino Linotype"/>
        </w:rPr>
        <w:t>,</w:t>
      </w:r>
      <w:r w:rsidR="006318D2" w:rsidRPr="00E245B5">
        <w:rPr>
          <w:rFonts w:ascii="Palatino Linotype" w:eastAsia="Palatino Linotype" w:hAnsi="Palatino Linotype" w:cs="Palatino Linotype"/>
        </w:rPr>
        <w:t xml:space="preserve"> debiendo recordar </w:t>
      </w:r>
      <w:r w:rsidR="00E871D1">
        <w:rPr>
          <w:rFonts w:ascii="Palatino Linotype" w:eastAsia="Palatino Linotype" w:hAnsi="Palatino Linotype" w:cs="Palatino Linotype"/>
        </w:rPr>
        <w:t xml:space="preserve">esa Coordinación es la </w:t>
      </w:r>
      <w:r w:rsidR="00252540" w:rsidRPr="00E245B5">
        <w:rPr>
          <w:rFonts w:ascii="Palatino Linotype" w:hAnsi="Palatino Linotype"/>
          <w:color w:val="222222"/>
        </w:rPr>
        <w:t xml:space="preserve"> encarga</w:t>
      </w:r>
      <w:r w:rsidR="00E871D1">
        <w:rPr>
          <w:rFonts w:ascii="Palatino Linotype" w:hAnsi="Palatino Linotype"/>
          <w:color w:val="222222"/>
        </w:rPr>
        <w:t>da</w:t>
      </w:r>
      <w:r w:rsidR="00252540" w:rsidRPr="00E245B5">
        <w:rPr>
          <w:rFonts w:ascii="Palatino Linotype" w:hAnsi="Palatino Linotype"/>
          <w:color w:val="222222"/>
        </w:rPr>
        <w:t xml:space="preserve"> de realizar los actos de  investigación necesarios sobre hechos delictuosos, así como de recibir denuncias, entrevistar a testigos y acudir para  el resguardo del lugar de los hechos.</w:t>
      </w:r>
    </w:p>
    <w:p w14:paraId="331DBE83" w14:textId="77777777" w:rsidR="006318D2" w:rsidRPr="00E245B5" w:rsidRDefault="006318D2" w:rsidP="006318D2">
      <w:pPr>
        <w:spacing w:after="80" w:line="360" w:lineRule="auto"/>
        <w:ind w:left="-567" w:right="-93"/>
        <w:jc w:val="both"/>
        <w:rPr>
          <w:rFonts w:ascii="Palatino Linotype" w:eastAsia="Palatino Linotype" w:hAnsi="Palatino Linotype" w:cs="Palatino Linotype"/>
        </w:rPr>
      </w:pPr>
    </w:p>
    <w:p w14:paraId="1722803C" w14:textId="77777777" w:rsidR="005B1899" w:rsidRPr="00E245B5" w:rsidRDefault="006318D2" w:rsidP="005B1899">
      <w:pPr>
        <w:spacing w:after="80" w:line="360" w:lineRule="auto"/>
        <w:ind w:left="-567" w:right="-93"/>
        <w:jc w:val="both"/>
        <w:rPr>
          <w:rFonts w:ascii="Palatino Linotype" w:eastAsia="Palatino Linotype" w:hAnsi="Palatino Linotype" w:cs="Palatino Linotype"/>
        </w:rPr>
      </w:pPr>
      <w:r w:rsidRPr="00E245B5">
        <w:rPr>
          <w:rFonts w:ascii="Palatino Linotype" w:eastAsia="Palatino Linotype" w:hAnsi="Palatino Linotype" w:cs="Palatino Linotype"/>
        </w:rPr>
        <w:lastRenderedPageBreak/>
        <w:t xml:space="preserve">Es por lo anterior que el Sujeto Obligado debe tener especial atención al momento de cumplir con las obligaciones de transparencia común, o bien, dar atención a las solicitudes, a efecto de no relevar información que </w:t>
      </w:r>
      <w:proofErr w:type="spellStart"/>
      <w:r w:rsidRPr="00E245B5">
        <w:rPr>
          <w:rFonts w:ascii="Palatino Linotype" w:eastAsia="Palatino Linotype" w:hAnsi="Palatino Linotype" w:cs="Palatino Linotype"/>
        </w:rPr>
        <w:t>de</w:t>
      </w:r>
      <w:proofErr w:type="spellEnd"/>
      <w:r w:rsidRPr="00E245B5">
        <w:rPr>
          <w:rFonts w:ascii="Palatino Linotype" w:eastAsia="Palatino Linotype" w:hAnsi="Palatino Linotype" w:cs="Palatino Linotype"/>
        </w:rPr>
        <w:t xml:space="preserve"> cuenta del personal operativo</w:t>
      </w:r>
      <w:r w:rsidR="005B1899" w:rsidRPr="00E245B5">
        <w:rPr>
          <w:rFonts w:ascii="Palatino Linotype" w:eastAsia="Palatino Linotype" w:hAnsi="Palatino Linotype" w:cs="Palatino Linotype"/>
        </w:rPr>
        <w:t>.</w:t>
      </w:r>
    </w:p>
    <w:p w14:paraId="219E2CB4" w14:textId="77777777" w:rsidR="005B1899" w:rsidRPr="00E245B5" w:rsidRDefault="005B1899" w:rsidP="005B1899">
      <w:pPr>
        <w:spacing w:after="80" w:line="360" w:lineRule="auto"/>
        <w:ind w:left="-567" w:right="-93"/>
        <w:jc w:val="both"/>
        <w:rPr>
          <w:rFonts w:ascii="Palatino Linotype" w:eastAsia="Palatino Linotype" w:hAnsi="Palatino Linotype" w:cs="Palatino Linotype"/>
        </w:rPr>
      </w:pPr>
    </w:p>
    <w:p w14:paraId="4C25C3FD" w14:textId="0D356499" w:rsidR="005B1899" w:rsidRPr="00E245B5" w:rsidRDefault="00E871D1" w:rsidP="005B1899">
      <w:pPr>
        <w:spacing w:after="80" w:line="360" w:lineRule="auto"/>
        <w:ind w:left="-567" w:right="-93"/>
        <w:jc w:val="both"/>
        <w:rPr>
          <w:rFonts w:ascii="Palatino Linotype" w:eastAsia="Palatino Linotype" w:hAnsi="Palatino Linotype" w:cs="Palatino Linotype"/>
        </w:rPr>
      </w:pPr>
      <w:r>
        <w:rPr>
          <w:rFonts w:ascii="Palatino Linotype" w:eastAsia="Palatino Linotype" w:hAnsi="Palatino Linotype" w:cs="Palatino Linotype"/>
        </w:rPr>
        <w:t xml:space="preserve">En </w:t>
      </w:r>
      <w:proofErr w:type="gramStart"/>
      <w:r>
        <w:rPr>
          <w:rFonts w:ascii="Palatino Linotype" w:eastAsia="Palatino Linotype" w:hAnsi="Palatino Linotype" w:cs="Palatino Linotype"/>
        </w:rPr>
        <w:t>este sentidos</w:t>
      </w:r>
      <w:proofErr w:type="gramEnd"/>
      <w:r>
        <w:rPr>
          <w:rFonts w:ascii="Palatino Linotype" w:eastAsia="Palatino Linotype" w:hAnsi="Palatino Linotype" w:cs="Palatino Linotype"/>
        </w:rPr>
        <w:t xml:space="preserve">, es de señalar </w:t>
      </w:r>
      <w:r w:rsidR="005B1899" w:rsidRPr="00E245B5">
        <w:rPr>
          <w:rFonts w:ascii="Palatino Linotype" w:eastAsia="Palatino Linotype" w:hAnsi="Palatino Linotype" w:cs="Palatino Linotype"/>
        </w:rPr>
        <w:t>que el artículo 81, fracción II de la Ley de Seguridad del Estado de México dispone de manera expresa que toda información para la seguridad pública generada o en poder de Instituciones de Seguridad Pública o de cualquier instancia del Sistema Estatal debe clasificarse, sirve de referencia la siguiente cita:</w:t>
      </w:r>
    </w:p>
    <w:p w14:paraId="5FDCAF81" w14:textId="77777777" w:rsidR="005B1899" w:rsidRPr="00E245B5" w:rsidRDefault="005B1899" w:rsidP="005B1899">
      <w:pPr>
        <w:spacing w:after="0" w:line="240" w:lineRule="auto"/>
        <w:ind w:left="851" w:right="900"/>
        <w:jc w:val="both"/>
        <w:rPr>
          <w:rFonts w:ascii="Palatino Linotype" w:eastAsia="Palatino Linotype" w:hAnsi="Palatino Linotype" w:cs="Palatino Linotype"/>
          <w:i/>
        </w:rPr>
      </w:pPr>
    </w:p>
    <w:p w14:paraId="3045C59A" w14:textId="77777777" w:rsidR="005B1899" w:rsidRPr="00E245B5" w:rsidRDefault="005B1899" w:rsidP="005B1899">
      <w:pPr>
        <w:spacing w:after="0" w:line="240" w:lineRule="auto"/>
        <w:ind w:left="284" w:right="708"/>
        <w:jc w:val="both"/>
        <w:rPr>
          <w:rFonts w:ascii="Palatino Linotype" w:eastAsia="Palatino Linotype" w:hAnsi="Palatino Linotype" w:cs="Palatino Linotype"/>
          <w:i/>
        </w:rPr>
      </w:pPr>
      <w:r w:rsidRPr="00E245B5">
        <w:rPr>
          <w:rFonts w:ascii="Palatino Linotype" w:eastAsia="Palatino Linotype" w:hAnsi="Palatino Linotype" w:cs="Palatino Linotype"/>
          <w:i/>
        </w:rPr>
        <w:t>“</w:t>
      </w:r>
      <w:r w:rsidRPr="00E245B5">
        <w:rPr>
          <w:rFonts w:ascii="Palatino Linotype" w:eastAsia="Palatino Linotype" w:hAnsi="Palatino Linotype" w:cs="Palatino Linotype"/>
          <w:b/>
          <w:i/>
        </w:rPr>
        <w:t>Artículo 81.-</w:t>
      </w:r>
      <w:r w:rsidRPr="00E245B5">
        <w:rPr>
          <w:rFonts w:ascii="Palatino Linotype" w:eastAsia="Palatino Linotype" w:hAnsi="Palatino Linotype" w:cs="Palatino Linotype"/>
          <w:i/>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w:t>
      </w:r>
    </w:p>
    <w:p w14:paraId="7FBA6155" w14:textId="77777777" w:rsidR="005B1899" w:rsidRPr="00E245B5" w:rsidRDefault="005B1899" w:rsidP="005B1899">
      <w:pPr>
        <w:spacing w:after="0" w:line="240" w:lineRule="auto"/>
        <w:ind w:left="284" w:right="708"/>
        <w:jc w:val="both"/>
        <w:rPr>
          <w:rFonts w:ascii="Palatino Linotype" w:eastAsia="Palatino Linotype" w:hAnsi="Palatino Linotype" w:cs="Palatino Linotype"/>
          <w:i/>
        </w:rPr>
      </w:pPr>
      <w:r w:rsidRPr="00E245B5">
        <w:rPr>
          <w:rFonts w:ascii="Palatino Linotype" w:eastAsia="Palatino Linotype" w:hAnsi="Palatino Linotype" w:cs="Palatino Linotype"/>
          <w:i/>
        </w:rPr>
        <w:t>…</w:t>
      </w:r>
    </w:p>
    <w:p w14:paraId="2C350985" w14:textId="77777777" w:rsidR="005B1899" w:rsidRPr="00E245B5" w:rsidRDefault="005B1899" w:rsidP="005B1899">
      <w:pPr>
        <w:spacing w:after="0" w:line="240" w:lineRule="auto"/>
        <w:ind w:left="284" w:right="708"/>
        <w:jc w:val="both"/>
        <w:rPr>
          <w:rFonts w:ascii="Palatino Linotype" w:eastAsia="Palatino Linotype" w:hAnsi="Palatino Linotype" w:cs="Palatino Linotype"/>
          <w:i/>
        </w:rPr>
      </w:pPr>
      <w:bookmarkStart w:id="2" w:name="_heading=h.2et92p0" w:colFirst="0" w:colLast="0"/>
      <w:bookmarkEnd w:id="2"/>
      <w:r w:rsidRPr="00E245B5">
        <w:rPr>
          <w:rFonts w:ascii="Palatino Linotype" w:eastAsia="Palatino Linotype" w:hAnsi="Palatino Linotype" w:cs="Palatino Linotype"/>
          <w:b/>
          <w:i/>
          <w:u w:val="single"/>
        </w:rPr>
        <w:t>II. Aquella cuya revelación pueda ser utilizada para actualizar o potenciar una amenaza a la seguridad pública o a las instituciones del Estado de México;</w:t>
      </w:r>
      <w:r w:rsidRPr="00E245B5">
        <w:rPr>
          <w:rFonts w:ascii="Palatino Linotype" w:eastAsia="Palatino Linotype" w:hAnsi="Palatino Linotype" w:cs="Palatino Linotype"/>
          <w:b/>
          <w:i/>
        </w:rPr>
        <w:t xml:space="preserve">” </w:t>
      </w:r>
    </w:p>
    <w:p w14:paraId="09BAEEBD" w14:textId="77777777" w:rsidR="005B1899" w:rsidRPr="00E245B5" w:rsidRDefault="005B1899" w:rsidP="005B1899">
      <w:pPr>
        <w:spacing w:after="0" w:line="360" w:lineRule="auto"/>
        <w:ind w:left="567" w:right="708"/>
        <w:jc w:val="both"/>
        <w:rPr>
          <w:rFonts w:ascii="Palatino Linotype" w:eastAsia="Palatino Linotype" w:hAnsi="Palatino Linotype" w:cs="Palatino Linotype"/>
          <w:b/>
          <w:i/>
          <w:u w:val="single"/>
        </w:rPr>
      </w:pPr>
    </w:p>
    <w:p w14:paraId="63657DB5" w14:textId="77777777" w:rsidR="005B1899" w:rsidRPr="00E245B5" w:rsidRDefault="005B1899" w:rsidP="005B1899">
      <w:pPr>
        <w:spacing w:after="0" w:line="360" w:lineRule="auto"/>
        <w:ind w:left="-426"/>
        <w:jc w:val="both"/>
        <w:rPr>
          <w:rFonts w:ascii="Palatino Linotype" w:eastAsia="Palatino Linotype" w:hAnsi="Palatino Linotype" w:cs="Palatino Linotype"/>
        </w:rPr>
      </w:pPr>
      <w:r w:rsidRPr="00E245B5">
        <w:rPr>
          <w:rFonts w:ascii="Palatino Linotype" w:eastAsia="Palatino Linotype" w:hAnsi="Palatino Linotype" w:cs="Palatino Linotype"/>
        </w:rPr>
        <w:t xml:space="preserve">En armonía con esta disposición normativa, la Ley General de Transparencia y Acceso a la Información Pública, en su artículo 113, fracción I señala que deberá reservarse la información que con su publicación se comprometa a la seguridad pública y cuente con un efecto demostrable, posteriormente el artículo 140 fracción I de la Ley de Transparencia Local replica esta circunstancia de reserva, que señalan: </w:t>
      </w:r>
    </w:p>
    <w:p w14:paraId="479479AC" w14:textId="77777777" w:rsidR="005B1899" w:rsidRPr="00E245B5" w:rsidRDefault="005B1899" w:rsidP="005B1899">
      <w:pPr>
        <w:tabs>
          <w:tab w:val="left" w:pos="284"/>
        </w:tabs>
        <w:spacing w:after="0" w:line="240" w:lineRule="auto"/>
        <w:ind w:left="567" w:right="709"/>
        <w:jc w:val="both"/>
        <w:rPr>
          <w:rFonts w:ascii="Palatino Linotype" w:eastAsia="Palatino Linotype" w:hAnsi="Palatino Linotype" w:cs="Palatino Linotype"/>
          <w:i/>
        </w:rPr>
      </w:pPr>
    </w:p>
    <w:p w14:paraId="260C8B0F" w14:textId="77777777" w:rsidR="005B1899" w:rsidRPr="00E245B5" w:rsidRDefault="005B1899" w:rsidP="005B1899">
      <w:pPr>
        <w:spacing w:after="120" w:line="360" w:lineRule="auto"/>
        <w:ind w:left="284" w:right="900"/>
        <w:jc w:val="both"/>
        <w:rPr>
          <w:rFonts w:ascii="Palatino Linotype" w:eastAsia="Palatino Linotype" w:hAnsi="Palatino Linotype" w:cs="Palatino Linotype"/>
          <w:b/>
        </w:rPr>
      </w:pPr>
      <w:r w:rsidRPr="00E245B5">
        <w:rPr>
          <w:rFonts w:ascii="Palatino Linotype" w:eastAsia="Palatino Linotype" w:hAnsi="Palatino Linotype" w:cs="Palatino Linotype"/>
          <w:b/>
        </w:rPr>
        <w:t>“Ley General de Transparencia y Acceso a la Información Pública:</w:t>
      </w:r>
    </w:p>
    <w:p w14:paraId="4A3F948B" w14:textId="77777777" w:rsidR="005B1899" w:rsidRPr="00E245B5" w:rsidRDefault="005B1899" w:rsidP="005B1899">
      <w:pPr>
        <w:spacing w:after="120" w:line="276" w:lineRule="auto"/>
        <w:ind w:left="284" w:right="900"/>
        <w:jc w:val="both"/>
        <w:rPr>
          <w:rFonts w:ascii="Palatino Linotype" w:eastAsia="Palatino Linotype" w:hAnsi="Palatino Linotype" w:cs="Palatino Linotype"/>
          <w:i/>
        </w:rPr>
      </w:pPr>
      <w:r w:rsidRPr="00E245B5">
        <w:rPr>
          <w:rFonts w:ascii="Palatino Linotype" w:eastAsia="Palatino Linotype" w:hAnsi="Palatino Linotype" w:cs="Palatino Linotype"/>
          <w:b/>
          <w:i/>
        </w:rPr>
        <w:t>Artículo 113</w:t>
      </w:r>
      <w:r w:rsidRPr="00E245B5">
        <w:rPr>
          <w:rFonts w:ascii="Palatino Linotype" w:eastAsia="Palatino Linotype" w:hAnsi="Palatino Linotype" w:cs="Palatino Linotype"/>
          <w:i/>
        </w:rPr>
        <w:t>. Como información reservada podrá clasificarse aquella cuya publicación:</w:t>
      </w:r>
    </w:p>
    <w:p w14:paraId="04326706" w14:textId="77777777" w:rsidR="005B1899" w:rsidRPr="00E245B5" w:rsidRDefault="005B1899" w:rsidP="005B1899">
      <w:pPr>
        <w:spacing w:after="120" w:line="276" w:lineRule="auto"/>
        <w:ind w:left="284" w:right="900"/>
        <w:jc w:val="both"/>
        <w:rPr>
          <w:rFonts w:ascii="Palatino Linotype" w:eastAsia="Palatino Linotype" w:hAnsi="Palatino Linotype" w:cs="Palatino Linotype"/>
          <w:i/>
        </w:rPr>
      </w:pPr>
      <w:r w:rsidRPr="00E245B5">
        <w:rPr>
          <w:rFonts w:ascii="Palatino Linotype" w:eastAsia="Palatino Linotype" w:hAnsi="Palatino Linotype" w:cs="Palatino Linotype"/>
          <w:b/>
          <w:i/>
        </w:rPr>
        <w:t>I. Comprometa la seguridad nacional, la seguridad pública o la defensa nacional y cuente con un propósito genuino y un efecto demostrable</w:t>
      </w:r>
      <w:r w:rsidRPr="00E245B5">
        <w:rPr>
          <w:rFonts w:ascii="Palatino Linotype" w:eastAsia="Palatino Linotype" w:hAnsi="Palatino Linotype" w:cs="Palatino Linotype"/>
          <w:i/>
        </w:rPr>
        <w:t>;”</w:t>
      </w:r>
    </w:p>
    <w:p w14:paraId="1CA71272" w14:textId="77777777" w:rsidR="005B1899" w:rsidRPr="00E245B5" w:rsidRDefault="005B1899" w:rsidP="005B1899">
      <w:pPr>
        <w:spacing w:after="120" w:line="276" w:lineRule="auto"/>
        <w:ind w:left="284" w:right="900"/>
        <w:jc w:val="both"/>
        <w:rPr>
          <w:rFonts w:ascii="Palatino Linotype" w:eastAsia="Palatino Linotype" w:hAnsi="Palatino Linotype" w:cs="Palatino Linotype"/>
          <w:b/>
        </w:rPr>
      </w:pPr>
      <w:r w:rsidRPr="00E245B5">
        <w:rPr>
          <w:rFonts w:ascii="Palatino Linotype" w:eastAsia="Palatino Linotype" w:hAnsi="Palatino Linotype" w:cs="Palatino Linotype"/>
          <w:b/>
        </w:rPr>
        <w:lastRenderedPageBreak/>
        <w:t xml:space="preserve">“Ley de Transparencia y Acceso a la Información Pública del Estado de México y Municipios: </w:t>
      </w:r>
    </w:p>
    <w:p w14:paraId="507B5AE8" w14:textId="77777777" w:rsidR="005B1899" w:rsidRPr="00E245B5" w:rsidRDefault="005B1899" w:rsidP="005B1899">
      <w:pPr>
        <w:spacing w:after="120" w:line="276" w:lineRule="auto"/>
        <w:ind w:left="284" w:right="900"/>
        <w:jc w:val="both"/>
        <w:rPr>
          <w:rFonts w:ascii="Palatino Linotype" w:eastAsia="Palatino Linotype" w:hAnsi="Palatino Linotype" w:cs="Palatino Linotype"/>
          <w:i/>
        </w:rPr>
      </w:pPr>
      <w:r w:rsidRPr="00E245B5">
        <w:rPr>
          <w:rFonts w:ascii="Palatino Linotype" w:eastAsia="Palatino Linotype" w:hAnsi="Palatino Linotype" w:cs="Palatino Linotype"/>
          <w:b/>
          <w:i/>
        </w:rPr>
        <w:t>Artículo 140</w:t>
      </w:r>
      <w:r w:rsidRPr="00E245B5">
        <w:rPr>
          <w:rFonts w:ascii="Palatino Linotype" w:eastAsia="Palatino Linotype" w:hAnsi="Palatino Linotype" w:cs="Palatino Linotype"/>
          <w:i/>
        </w:rPr>
        <w:t>. El acceso a la información pública será restringido excepcionalmente, cuando por razones de interés público, ésta sea clasificada como reservada, conforme a los criterios siguientes:</w:t>
      </w:r>
    </w:p>
    <w:p w14:paraId="275B58AA" w14:textId="77777777" w:rsidR="005B1899" w:rsidRPr="00E245B5" w:rsidRDefault="005B1899" w:rsidP="005B1899">
      <w:pPr>
        <w:spacing w:after="120" w:line="276" w:lineRule="auto"/>
        <w:ind w:left="284" w:right="900"/>
        <w:jc w:val="both"/>
        <w:rPr>
          <w:rFonts w:ascii="Palatino Linotype" w:eastAsia="Palatino Linotype" w:hAnsi="Palatino Linotype" w:cs="Palatino Linotype"/>
          <w:i/>
        </w:rPr>
      </w:pPr>
      <w:r w:rsidRPr="00E245B5">
        <w:rPr>
          <w:rFonts w:ascii="Palatino Linotype" w:eastAsia="Palatino Linotype" w:hAnsi="Palatino Linotype" w:cs="Palatino Linotype"/>
          <w:b/>
          <w:i/>
        </w:rPr>
        <w:t>I. Comprometa la seguridad pública y cuente con un propósito genuino y un efecto demostrable</w:t>
      </w:r>
      <w:r w:rsidRPr="00E245B5">
        <w:rPr>
          <w:rFonts w:ascii="Palatino Linotype" w:eastAsia="Palatino Linotype" w:hAnsi="Palatino Linotype" w:cs="Palatino Linotype"/>
          <w:i/>
        </w:rPr>
        <w:t>;”</w:t>
      </w:r>
    </w:p>
    <w:p w14:paraId="76653830" w14:textId="77777777" w:rsidR="005B1899" w:rsidRPr="00E245B5" w:rsidRDefault="005B1899" w:rsidP="005B1899">
      <w:pPr>
        <w:spacing w:after="120" w:line="276" w:lineRule="auto"/>
        <w:ind w:left="567" w:right="900"/>
        <w:jc w:val="both"/>
        <w:rPr>
          <w:rFonts w:ascii="Palatino Linotype" w:eastAsia="Palatino Linotype" w:hAnsi="Palatino Linotype" w:cs="Palatino Linotype"/>
          <w:i/>
        </w:rPr>
      </w:pPr>
    </w:p>
    <w:p w14:paraId="24297FC0" w14:textId="77777777" w:rsidR="005B1899" w:rsidRPr="00E245B5" w:rsidRDefault="005B1899" w:rsidP="005B1899">
      <w:pPr>
        <w:spacing w:after="0" w:line="360" w:lineRule="auto"/>
        <w:ind w:left="-567"/>
        <w:jc w:val="both"/>
        <w:rPr>
          <w:rFonts w:ascii="Palatino Linotype" w:eastAsia="Palatino Linotype" w:hAnsi="Palatino Linotype" w:cs="Palatino Linotype"/>
        </w:rPr>
      </w:pPr>
      <w:r w:rsidRPr="00E245B5">
        <w:rPr>
          <w:rFonts w:ascii="Palatino Linotype" w:eastAsia="Palatino Linotype" w:hAnsi="Palatino Linotype" w:cs="Palatino Linotype"/>
        </w:rPr>
        <w:t>Correlativo a lo anterior, Lineamientos Generales en Materia de Clasificación y Desclasificación de la Información, así como para la Elaboración de Versiones Públicas, publicados el 16 de abril de 2016 y reformados el 18 de noviembre de 2022 señalan en su numeral décimo octavo que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w:t>
      </w:r>
    </w:p>
    <w:p w14:paraId="6716BB65" w14:textId="77777777" w:rsidR="005B1899" w:rsidRPr="00E245B5" w:rsidRDefault="005B1899" w:rsidP="005B1899">
      <w:pPr>
        <w:spacing w:after="0" w:line="360" w:lineRule="auto"/>
        <w:ind w:left="-567"/>
        <w:jc w:val="both"/>
        <w:rPr>
          <w:rFonts w:ascii="Palatino Linotype" w:eastAsia="Palatino Linotype" w:hAnsi="Palatino Linotype" w:cs="Palatino Linotype"/>
        </w:rPr>
      </w:pPr>
    </w:p>
    <w:p w14:paraId="6E1FF8F1" w14:textId="77777777" w:rsidR="005B1899" w:rsidRPr="00E245B5" w:rsidRDefault="005B1899" w:rsidP="005B1899">
      <w:pPr>
        <w:spacing w:after="0" w:line="360" w:lineRule="auto"/>
        <w:ind w:left="-567"/>
        <w:jc w:val="both"/>
        <w:rPr>
          <w:rFonts w:ascii="Palatino Linotype" w:eastAsia="Palatino Linotype" w:hAnsi="Palatino Linotype" w:cs="Palatino Linotype"/>
        </w:rPr>
      </w:pPr>
      <w:r w:rsidRPr="00E245B5">
        <w:rPr>
          <w:rFonts w:ascii="Palatino Linotype" w:eastAsia="Palatino Linotype" w:hAnsi="Palatino Linotype" w:cs="Palatino Linotype"/>
        </w:rPr>
        <w:t xml:space="preserve">Es crucial señalar que estos Lineamientos señalan </w:t>
      </w:r>
      <w:r w:rsidRPr="00E245B5">
        <w:rPr>
          <w:rFonts w:ascii="Palatino Linotype" w:eastAsia="Palatino Linotype" w:hAnsi="Palatino Linotype" w:cs="Palatino Linotype"/>
          <w:b/>
          <w:u w:val="single"/>
        </w:rPr>
        <w:t>que es susceptible de considerarse como reservada aquella que revele datos que pudieran ser aprovechados para conocer la capacidad de reacción de las instituciones encargadas de la seguridad pública</w:t>
      </w:r>
      <w:r w:rsidRPr="00E245B5">
        <w:rPr>
          <w:rFonts w:ascii="Palatino Linotype" w:eastAsia="Palatino Linotype" w:hAnsi="Palatino Linotype" w:cs="Palatino Linotype"/>
        </w:rPr>
        <w:t>, sus planes, estrategias, tecnología, información, sistemas de comunicaciones.</w:t>
      </w:r>
    </w:p>
    <w:p w14:paraId="5B9E1AED" w14:textId="77777777" w:rsidR="005B1899" w:rsidRPr="00E245B5" w:rsidRDefault="005B1899" w:rsidP="005B1899">
      <w:pPr>
        <w:spacing w:after="0" w:line="360" w:lineRule="auto"/>
        <w:ind w:left="-567"/>
        <w:jc w:val="both"/>
        <w:rPr>
          <w:rFonts w:ascii="Palatino Linotype" w:eastAsia="Palatino Linotype" w:hAnsi="Palatino Linotype" w:cs="Palatino Linotype"/>
        </w:rPr>
      </w:pPr>
    </w:p>
    <w:p w14:paraId="5B7BED28" w14:textId="77777777" w:rsidR="005B1899" w:rsidRPr="00E245B5" w:rsidRDefault="005B1899" w:rsidP="005B1899">
      <w:pPr>
        <w:spacing w:after="0" w:line="360" w:lineRule="auto"/>
        <w:ind w:left="-567"/>
        <w:jc w:val="both"/>
        <w:rPr>
          <w:rFonts w:ascii="Palatino Linotype" w:eastAsia="Palatino Linotype" w:hAnsi="Palatino Linotype" w:cs="Palatino Linotype"/>
        </w:rPr>
      </w:pPr>
      <w:r w:rsidRPr="00E245B5">
        <w:rPr>
          <w:rFonts w:ascii="Palatino Linotype" w:eastAsia="Palatino Linotype" w:hAnsi="Palatino Linotype" w:cs="Palatino Linotype"/>
        </w:rPr>
        <w:t xml:space="preserve">Hasta este punto tenemos que los instrumentos normativos que debemos observar en estricto sentido disponen puntualmente la reserva de información para los casos en los que se revele información que pueda ser empleada para conocer la capacidad de reacción, es decir, todo lo relativo a servidores públicos operativos que integran las instituciones de seguridad pública, ya </w:t>
      </w:r>
      <w:r w:rsidRPr="00E245B5">
        <w:rPr>
          <w:rFonts w:ascii="Palatino Linotype" w:eastAsia="Palatino Linotype" w:hAnsi="Palatino Linotype" w:cs="Palatino Linotype"/>
        </w:rPr>
        <w:lastRenderedPageBreak/>
        <w:t>que su divulgación podría ser utilizada para actualizar o potenciar una amenaza para la seguridad pública de la sociedad; teniendo esto en cuenta y trasladando estas premisas al caso particular se estima que con la entrega de información de los servidores públicos con funciones operativas adscritos a instituciones de seguridad pública, revela información actualizada sobre el número de policías operativos en activo a la fecha de la solicitud de información y en consecuencia su estado de fuerza vigente, lo cual no sólo contraviene lo dispuesto expresamente por las disposiciones previamente insertadas, sino que, además, pone en riesgo los valores jurídicos y los principios bajo los cuales de las instituciones de seguridad pública se debe regir como son la legalidad, objetividad, eficiencia, profesionalismo, honradez y respeto a los derechos humanos reconocidos en la Constitución General.</w:t>
      </w:r>
    </w:p>
    <w:p w14:paraId="3C46096C" w14:textId="77777777" w:rsidR="005B1899" w:rsidRPr="00E245B5" w:rsidRDefault="005B1899" w:rsidP="005B1899">
      <w:pPr>
        <w:spacing w:after="0" w:line="360" w:lineRule="auto"/>
        <w:ind w:left="-567"/>
        <w:jc w:val="both"/>
        <w:rPr>
          <w:rFonts w:ascii="Palatino Linotype" w:eastAsia="Palatino Linotype" w:hAnsi="Palatino Linotype" w:cs="Palatino Linotype"/>
        </w:rPr>
      </w:pPr>
    </w:p>
    <w:p w14:paraId="65E451AB" w14:textId="77777777" w:rsidR="005B1899" w:rsidRPr="00E245B5" w:rsidRDefault="005B1899" w:rsidP="005B1899">
      <w:pPr>
        <w:spacing w:after="0" w:line="360" w:lineRule="auto"/>
        <w:ind w:left="-567" w:right="-3"/>
        <w:jc w:val="both"/>
        <w:rPr>
          <w:rFonts w:ascii="Palatino Linotype" w:eastAsia="Palatino Linotype" w:hAnsi="Palatino Linotype" w:cs="Palatino Linotype"/>
        </w:rPr>
      </w:pPr>
      <w:r w:rsidRPr="00E245B5">
        <w:rPr>
          <w:rFonts w:ascii="Palatino Linotype" w:eastAsia="Palatino Linotype" w:hAnsi="Palatino Linotype" w:cs="Palatino Linotype"/>
        </w:rPr>
        <w:t>En conclusión, la reserva del personal operativo procede por dos circunstancias:</w:t>
      </w:r>
    </w:p>
    <w:p w14:paraId="031DFA5F" w14:textId="77777777" w:rsidR="005B1899" w:rsidRPr="00E245B5" w:rsidRDefault="005B1899" w:rsidP="00E37875">
      <w:pPr>
        <w:spacing w:before="240" w:after="240" w:line="360" w:lineRule="auto"/>
        <w:ind w:left="-284" w:right="-3"/>
        <w:jc w:val="both"/>
        <w:rPr>
          <w:rFonts w:ascii="Palatino Linotype" w:eastAsia="Palatino Linotype" w:hAnsi="Palatino Linotype" w:cs="Palatino Linotype"/>
        </w:rPr>
      </w:pPr>
      <w:r w:rsidRPr="00E245B5">
        <w:rPr>
          <w:rFonts w:ascii="Palatino Linotype" w:eastAsia="Palatino Linotype" w:hAnsi="Palatino Linotype" w:cs="Palatino Linotype"/>
        </w:rPr>
        <w:t xml:space="preserve">1. Se identifica en términos concretos cómo es que la información requerida podría comprometer el ejercicio de sus facultades constitucionales y, con ello, la seguridad pública, en virtud de que: </w:t>
      </w:r>
    </w:p>
    <w:p w14:paraId="301ABB8C" w14:textId="77777777" w:rsidR="005B1899" w:rsidRPr="00E245B5" w:rsidRDefault="005B1899" w:rsidP="00E37875">
      <w:pPr>
        <w:spacing w:before="240" w:after="240" w:line="360" w:lineRule="auto"/>
        <w:ind w:left="-142" w:right="900"/>
        <w:jc w:val="both"/>
        <w:rPr>
          <w:rFonts w:ascii="Palatino Linotype" w:eastAsia="Palatino Linotype" w:hAnsi="Palatino Linotype" w:cs="Palatino Linotype"/>
        </w:rPr>
      </w:pPr>
      <w:r w:rsidRPr="00E245B5">
        <w:rPr>
          <w:rFonts w:ascii="Palatino Linotype" w:eastAsia="Palatino Linotype" w:hAnsi="Palatino Linotype" w:cs="Palatino Linotype"/>
        </w:rPr>
        <w:t xml:space="preserve">a) La información podría ser aprovechada por los grupos criminales para conocer la capacidad de reacción </w:t>
      </w:r>
    </w:p>
    <w:p w14:paraId="0C99A3B6" w14:textId="77777777" w:rsidR="005B1899" w:rsidRPr="00E245B5" w:rsidRDefault="005B1899" w:rsidP="00E37875">
      <w:pPr>
        <w:spacing w:before="240" w:after="240" w:line="360" w:lineRule="auto"/>
        <w:ind w:left="-142" w:right="900"/>
        <w:jc w:val="both"/>
        <w:rPr>
          <w:rFonts w:ascii="Palatino Linotype" w:eastAsia="Palatino Linotype" w:hAnsi="Palatino Linotype" w:cs="Palatino Linotype"/>
        </w:rPr>
      </w:pPr>
      <w:r w:rsidRPr="00E245B5">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funciones; y </w:t>
      </w:r>
    </w:p>
    <w:p w14:paraId="7D2A29EC" w14:textId="77777777" w:rsidR="005B1899" w:rsidRPr="00E245B5" w:rsidRDefault="005B1899" w:rsidP="00E37875">
      <w:pPr>
        <w:spacing w:before="240" w:after="240" w:line="360" w:lineRule="auto"/>
        <w:ind w:left="-284" w:right="900"/>
        <w:jc w:val="both"/>
        <w:rPr>
          <w:rFonts w:ascii="Palatino Linotype" w:eastAsia="Palatino Linotype" w:hAnsi="Palatino Linotype" w:cs="Palatino Linotype"/>
        </w:rPr>
      </w:pPr>
      <w:r w:rsidRPr="00E245B5">
        <w:rPr>
          <w:rFonts w:ascii="Palatino Linotype" w:eastAsia="Palatino Linotype" w:hAnsi="Palatino Linotype" w:cs="Palatino Linotype"/>
        </w:rPr>
        <w:t xml:space="preserve">2. Existe una relación causal general entre la entrega de la información y la afectación a la seguridad pública, pues los grupos criminales estarían en posibilidad de obstaculizar o bloquear actividades encaminadas a preservar el orden dentro de la dinámica social. </w:t>
      </w:r>
    </w:p>
    <w:p w14:paraId="55973466" w14:textId="77777777" w:rsidR="005B1899" w:rsidRPr="00E245B5" w:rsidRDefault="005B1899" w:rsidP="00E37875">
      <w:pPr>
        <w:spacing w:after="0" w:line="360" w:lineRule="auto"/>
        <w:ind w:left="-284" w:right="-3"/>
        <w:jc w:val="both"/>
        <w:rPr>
          <w:rFonts w:ascii="Palatino Linotype" w:eastAsia="Palatino Linotype" w:hAnsi="Palatino Linotype" w:cs="Palatino Linotype"/>
        </w:rPr>
      </w:pPr>
      <w:r w:rsidRPr="00E245B5">
        <w:rPr>
          <w:rFonts w:ascii="Palatino Linotype" w:eastAsia="Palatino Linotype" w:hAnsi="Palatino Linotype" w:cs="Palatino Linotype"/>
        </w:rPr>
        <w:lastRenderedPageBreak/>
        <w:t xml:space="preserve">Por lo tanto, entre mayor información se dé a conocer respecto del </w:t>
      </w:r>
      <w:r w:rsidRPr="00E245B5">
        <w:rPr>
          <w:rFonts w:ascii="Palatino Linotype" w:eastAsia="Palatino Linotype" w:hAnsi="Palatino Linotype" w:cs="Palatino Linotype"/>
          <w:b/>
          <w:i/>
        </w:rPr>
        <w:t xml:space="preserve">estado de fuerza </w:t>
      </w:r>
      <w:r w:rsidRPr="00E245B5">
        <w:rPr>
          <w:rFonts w:ascii="Palatino Linotype" w:eastAsia="Palatino Linotype" w:hAnsi="Palatino Linotype" w:cs="Palatino Linotype"/>
        </w:rPr>
        <w:t>con que cuentan el Estado y Municipios, mayor es la probabilidad de que la información pueda implementarse como medio para actualizar o potenciar una amenaza en contra de la seguridad pública de los mismos.</w:t>
      </w:r>
    </w:p>
    <w:p w14:paraId="24C21C07" w14:textId="77777777" w:rsidR="005B1899" w:rsidRPr="00E245B5" w:rsidRDefault="005B1899" w:rsidP="005B1899">
      <w:pPr>
        <w:spacing w:after="0" w:line="360" w:lineRule="auto"/>
        <w:ind w:left="-567" w:right="-3"/>
        <w:jc w:val="both"/>
        <w:rPr>
          <w:rFonts w:ascii="Palatino Linotype" w:eastAsia="Palatino Linotype" w:hAnsi="Palatino Linotype" w:cs="Palatino Linotype"/>
        </w:rPr>
      </w:pPr>
      <w:r w:rsidRPr="00E245B5">
        <w:rPr>
          <w:rFonts w:ascii="Palatino Linotype" w:eastAsia="Palatino Linotype" w:hAnsi="Palatino Linotype" w:cs="Palatino Linotype"/>
        </w:rPr>
        <w:t xml:space="preserve"> </w:t>
      </w:r>
    </w:p>
    <w:p w14:paraId="45B9EC65" w14:textId="77777777" w:rsidR="005B1899" w:rsidRPr="00E245B5" w:rsidRDefault="005B1899" w:rsidP="005B1899">
      <w:pPr>
        <w:spacing w:after="0" w:line="360" w:lineRule="auto"/>
        <w:ind w:left="-567" w:right="139"/>
        <w:jc w:val="both"/>
        <w:rPr>
          <w:rFonts w:ascii="Palatino Linotype" w:eastAsia="Palatino Linotype" w:hAnsi="Palatino Linotype" w:cs="Palatino Linotype"/>
        </w:rPr>
      </w:pPr>
      <w:r w:rsidRPr="00E245B5">
        <w:rPr>
          <w:rFonts w:ascii="Palatino Linotype" w:eastAsia="Palatino Linotype" w:hAnsi="Palatino Linotype" w:cs="Palatino Linotype"/>
        </w:rPr>
        <w:t>No pasa inadvertido para la suscrita que en los casos en los que se publiciten diversas notas o documentos en los que se dé a conocer información estadística sobre el número de elementos de policía con los que cuentan los ayuntamientos, esta información no se encuentra actualizada, aunado a que no se hace una distinción entre el número de personal operativo y administrativo.</w:t>
      </w:r>
    </w:p>
    <w:p w14:paraId="08AEACD8" w14:textId="77777777" w:rsidR="005B1899" w:rsidRPr="00E245B5" w:rsidRDefault="005B1899" w:rsidP="005B1899">
      <w:pPr>
        <w:spacing w:after="0" w:line="360" w:lineRule="auto"/>
        <w:ind w:left="-567" w:right="139"/>
        <w:jc w:val="both"/>
        <w:rPr>
          <w:rFonts w:ascii="Palatino Linotype" w:eastAsia="Palatino Linotype" w:hAnsi="Palatino Linotype" w:cs="Palatino Linotype"/>
        </w:rPr>
      </w:pPr>
    </w:p>
    <w:p w14:paraId="30299F41" w14:textId="77777777" w:rsidR="005B1899" w:rsidRPr="00E245B5" w:rsidRDefault="005B1899" w:rsidP="005B1899">
      <w:pPr>
        <w:spacing w:after="0" w:line="360" w:lineRule="auto"/>
        <w:ind w:left="-567"/>
        <w:jc w:val="both"/>
        <w:rPr>
          <w:rFonts w:ascii="Palatino Linotype" w:eastAsia="Palatino Linotype" w:hAnsi="Palatino Linotype" w:cs="Palatino Linotype"/>
        </w:rPr>
      </w:pPr>
      <w:bookmarkStart w:id="3" w:name="_heading=h.3znysh7" w:colFirst="0" w:colLast="0"/>
      <w:bookmarkEnd w:id="3"/>
      <w:r w:rsidRPr="00E245B5">
        <w:rPr>
          <w:rFonts w:ascii="Palatino Linotype" w:eastAsia="Palatino Linotype" w:hAnsi="Palatino Linotype" w:cs="Palatino Linotype"/>
        </w:rPr>
        <w:t>En consecuencia, la información de los elementos operativos adscritos a instituciones de seguridad pública,  deben recibir un tratamiento de carácter excepcional, y esto es en razón de que,  son los responsables de procurar el orden, la estabilidad y la defensa de la sociedad a la que pertenecen, por lo que, se estima que al proporcionar documentales en las que se aprecie dicha información se revela el número de servidores públicos operativos con funciones de seguridad pública activos en el Sujeto obligado; información con la que se da a conocer el estado de fuerza y la capacidad de reacción del órgano público.</w:t>
      </w:r>
    </w:p>
    <w:p w14:paraId="47CF50B6" w14:textId="77777777" w:rsidR="005B1899" w:rsidRPr="00E245B5" w:rsidRDefault="005B1899" w:rsidP="005B1899">
      <w:pPr>
        <w:spacing w:after="0" w:line="360" w:lineRule="auto"/>
        <w:ind w:left="-567"/>
        <w:jc w:val="both"/>
        <w:rPr>
          <w:rFonts w:ascii="Palatino Linotype" w:eastAsia="Palatino Linotype" w:hAnsi="Palatino Linotype" w:cs="Palatino Linotype"/>
        </w:rPr>
      </w:pPr>
    </w:p>
    <w:p w14:paraId="1997D9B3" w14:textId="6AD2B2F7" w:rsidR="004327D8" w:rsidRPr="00E245B5" w:rsidRDefault="005B1899" w:rsidP="00E871D1">
      <w:pPr>
        <w:spacing w:after="0" w:line="360" w:lineRule="auto"/>
        <w:ind w:left="-567"/>
        <w:jc w:val="both"/>
        <w:rPr>
          <w:rFonts w:ascii="Palatino Linotype" w:eastAsia="Palatino Linotype" w:hAnsi="Palatino Linotype" w:cs="Palatino Linotype"/>
        </w:rPr>
      </w:pPr>
      <w:r w:rsidRPr="00E245B5">
        <w:rPr>
          <w:rFonts w:ascii="Palatino Linotype" w:eastAsia="Palatino Linotype" w:hAnsi="Palatino Linotype" w:cs="Palatino Linotype"/>
        </w:rPr>
        <w:t xml:space="preserve">Es por todo lo anteriormente expuesto que </w:t>
      </w:r>
      <w:r w:rsidR="00E37875" w:rsidRPr="00E245B5">
        <w:rPr>
          <w:rFonts w:ascii="Palatino Linotype" w:eastAsia="Palatino Linotype" w:hAnsi="Palatino Linotype" w:cs="Palatino Linotype"/>
        </w:rPr>
        <w:t>los Sujetos Obligados que cuenten con personal operativo encargado de la seguridad o la percusión de delitos deben tener especial atención en proteger cualquier información que pudiera vulnerar la seguridad de sus elementos o el estado de fuerza de sus instituciones, esto ya sea en cumplimiento de las obligaciones de transparencia común, o bien, en atención a las solicitudes de acceso a la información pública.</w:t>
      </w:r>
    </w:p>
    <w:p w14:paraId="71876C49" w14:textId="77777777" w:rsidR="004327D8" w:rsidRPr="00E245B5" w:rsidRDefault="004327D8">
      <w:pPr>
        <w:spacing w:after="80" w:line="360" w:lineRule="auto"/>
        <w:ind w:left="-567" w:right="-93"/>
        <w:jc w:val="both"/>
        <w:rPr>
          <w:rFonts w:ascii="Palatino Linotype" w:eastAsia="Palatino Linotype" w:hAnsi="Palatino Linotype" w:cs="Palatino Linotype"/>
        </w:rPr>
      </w:pPr>
    </w:p>
    <w:p w14:paraId="73521890" w14:textId="77777777" w:rsidR="004327D8" w:rsidRPr="00E245B5" w:rsidRDefault="004327D8">
      <w:pPr>
        <w:spacing w:after="80" w:line="360" w:lineRule="auto"/>
        <w:ind w:left="-567" w:right="-93"/>
        <w:jc w:val="both"/>
        <w:rPr>
          <w:rFonts w:ascii="Palatino Linotype" w:eastAsia="Palatino Linotype" w:hAnsi="Palatino Linotype" w:cs="Palatino Linotype"/>
        </w:rPr>
      </w:pPr>
    </w:p>
    <w:p w14:paraId="2F8549D2" w14:textId="77777777" w:rsidR="004327D8" w:rsidRPr="00E245B5" w:rsidRDefault="004327D8">
      <w:pPr>
        <w:spacing w:after="80" w:line="360" w:lineRule="auto"/>
        <w:ind w:left="-567" w:right="-93"/>
        <w:jc w:val="both"/>
        <w:rPr>
          <w:rFonts w:ascii="Palatino Linotype" w:eastAsia="Palatino Linotype" w:hAnsi="Palatino Linotype" w:cs="Palatino Linotype"/>
        </w:rPr>
      </w:pPr>
    </w:p>
    <w:p w14:paraId="276DBA5C" w14:textId="77777777" w:rsidR="004327D8" w:rsidRPr="00E245B5" w:rsidRDefault="004327D8">
      <w:pPr>
        <w:spacing w:after="80" w:line="360" w:lineRule="auto"/>
        <w:ind w:left="-567" w:right="-93"/>
        <w:jc w:val="both"/>
        <w:rPr>
          <w:rFonts w:ascii="Palatino Linotype" w:eastAsia="Palatino Linotype" w:hAnsi="Palatino Linotype" w:cs="Palatino Linotype"/>
        </w:rPr>
      </w:pPr>
    </w:p>
    <w:p w14:paraId="37931052" w14:textId="77777777" w:rsidR="004327D8" w:rsidRPr="00E245B5" w:rsidRDefault="004327D8">
      <w:pPr>
        <w:spacing w:after="80" w:line="360" w:lineRule="auto"/>
        <w:ind w:left="-567" w:right="-93"/>
        <w:jc w:val="both"/>
        <w:rPr>
          <w:rFonts w:ascii="Palatino Linotype" w:eastAsia="Palatino Linotype" w:hAnsi="Palatino Linotype" w:cs="Palatino Linotype"/>
        </w:rPr>
      </w:pPr>
    </w:p>
    <w:p w14:paraId="1FE5FCC6" w14:textId="77777777" w:rsidR="004327D8" w:rsidRPr="00E245B5" w:rsidRDefault="004327D8">
      <w:pPr>
        <w:spacing w:after="80" w:line="360" w:lineRule="auto"/>
        <w:ind w:left="-567" w:right="-93"/>
        <w:jc w:val="both"/>
        <w:rPr>
          <w:rFonts w:ascii="Palatino Linotype" w:eastAsia="Palatino Linotype" w:hAnsi="Palatino Linotype" w:cs="Palatino Linotype"/>
        </w:rPr>
      </w:pPr>
    </w:p>
    <w:p w14:paraId="551EE962" w14:textId="77777777" w:rsidR="004327D8" w:rsidRPr="00E245B5" w:rsidRDefault="004327D8">
      <w:pPr>
        <w:spacing w:after="80" w:line="360" w:lineRule="auto"/>
        <w:ind w:left="-567" w:right="-93"/>
        <w:jc w:val="both"/>
        <w:rPr>
          <w:rFonts w:ascii="Palatino Linotype" w:eastAsia="Palatino Linotype" w:hAnsi="Palatino Linotype" w:cs="Palatino Linotype"/>
        </w:rPr>
      </w:pPr>
    </w:p>
    <w:p w14:paraId="1DEC29F3" w14:textId="77777777" w:rsidR="004327D8" w:rsidRPr="00E245B5" w:rsidRDefault="004327D8">
      <w:pPr>
        <w:spacing w:after="80" w:line="360" w:lineRule="auto"/>
        <w:ind w:left="-567" w:right="-93"/>
        <w:jc w:val="both"/>
        <w:rPr>
          <w:rFonts w:ascii="Palatino Linotype" w:eastAsia="Palatino Linotype" w:hAnsi="Palatino Linotype" w:cs="Palatino Linotype"/>
        </w:rPr>
      </w:pPr>
    </w:p>
    <w:p w14:paraId="0811FE7C" w14:textId="77777777" w:rsidR="004327D8" w:rsidRPr="00E245B5" w:rsidRDefault="004327D8">
      <w:pPr>
        <w:spacing w:after="80" w:line="360" w:lineRule="auto"/>
        <w:ind w:left="-567" w:right="-93"/>
        <w:jc w:val="both"/>
        <w:rPr>
          <w:rFonts w:ascii="Palatino Linotype" w:eastAsia="Palatino Linotype" w:hAnsi="Palatino Linotype" w:cs="Palatino Linotype"/>
        </w:rPr>
      </w:pPr>
    </w:p>
    <w:p w14:paraId="355C9F28" w14:textId="77777777" w:rsidR="004327D8" w:rsidRPr="00E245B5" w:rsidRDefault="004327D8">
      <w:pPr>
        <w:spacing w:after="80" w:line="360" w:lineRule="auto"/>
        <w:ind w:left="-567" w:right="-93"/>
        <w:jc w:val="both"/>
        <w:rPr>
          <w:rFonts w:ascii="Palatino Linotype" w:eastAsia="Palatino Linotype" w:hAnsi="Palatino Linotype" w:cs="Palatino Linotype"/>
        </w:rPr>
      </w:pPr>
    </w:p>
    <w:p w14:paraId="3D529FA4" w14:textId="77777777" w:rsidR="004327D8" w:rsidRPr="00E245B5" w:rsidRDefault="004327D8">
      <w:pPr>
        <w:spacing w:after="80" w:line="360" w:lineRule="auto"/>
        <w:ind w:left="-567" w:right="-93"/>
        <w:jc w:val="both"/>
        <w:rPr>
          <w:rFonts w:ascii="Palatino Linotype" w:eastAsia="Palatino Linotype" w:hAnsi="Palatino Linotype" w:cs="Palatino Linotype"/>
        </w:rPr>
      </w:pPr>
    </w:p>
    <w:p w14:paraId="25C335D0" w14:textId="77777777" w:rsidR="004327D8" w:rsidRPr="00E245B5" w:rsidRDefault="004327D8">
      <w:pPr>
        <w:spacing w:after="80" w:line="360" w:lineRule="auto"/>
        <w:ind w:left="-567" w:right="-93"/>
        <w:jc w:val="both"/>
        <w:rPr>
          <w:rFonts w:ascii="Palatino Linotype" w:eastAsia="Palatino Linotype" w:hAnsi="Palatino Linotype" w:cs="Palatino Linotype"/>
        </w:rPr>
      </w:pPr>
    </w:p>
    <w:p w14:paraId="4CF4413B" w14:textId="77777777" w:rsidR="004327D8" w:rsidRPr="00E245B5" w:rsidRDefault="004327D8">
      <w:pPr>
        <w:spacing w:after="80" w:line="360" w:lineRule="auto"/>
        <w:ind w:left="-567" w:right="-93"/>
        <w:jc w:val="both"/>
        <w:rPr>
          <w:rFonts w:ascii="Palatino Linotype" w:eastAsia="Palatino Linotype" w:hAnsi="Palatino Linotype" w:cs="Palatino Linotype"/>
        </w:rPr>
      </w:pPr>
    </w:p>
    <w:p w14:paraId="51775803" w14:textId="77777777" w:rsidR="004327D8" w:rsidRPr="00E245B5" w:rsidRDefault="004327D8">
      <w:pPr>
        <w:tabs>
          <w:tab w:val="left" w:pos="4962"/>
        </w:tabs>
        <w:spacing w:before="240" w:after="240" w:line="360" w:lineRule="auto"/>
        <w:ind w:left="-426"/>
        <w:jc w:val="both"/>
        <w:rPr>
          <w:rFonts w:ascii="Palatino Linotype" w:eastAsia="Palatino Linotype" w:hAnsi="Palatino Linotype" w:cs="Palatino Linotype"/>
        </w:rPr>
      </w:pPr>
    </w:p>
    <w:p w14:paraId="6A785449" w14:textId="77777777" w:rsidR="004327D8" w:rsidRPr="00E245B5" w:rsidRDefault="004327D8">
      <w:pPr>
        <w:tabs>
          <w:tab w:val="left" w:pos="4962"/>
        </w:tabs>
        <w:spacing w:before="240" w:after="240" w:line="360" w:lineRule="auto"/>
        <w:ind w:left="-426"/>
        <w:jc w:val="both"/>
        <w:rPr>
          <w:rFonts w:ascii="Palatino Linotype" w:eastAsia="Palatino Linotype" w:hAnsi="Palatino Linotype" w:cs="Palatino Linotype"/>
        </w:rPr>
      </w:pPr>
    </w:p>
    <w:p w14:paraId="2546759F" w14:textId="77777777" w:rsidR="004327D8" w:rsidRPr="00E245B5" w:rsidRDefault="004327D8">
      <w:pPr>
        <w:tabs>
          <w:tab w:val="left" w:pos="4962"/>
        </w:tabs>
        <w:spacing w:before="240" w:after="240" w:line="360" w:lineRule="auto"/>
        <w:ind w:left="-426"/>
        <w:jc w:val="both"/>
        <w:rPr>
          <w:rFonts w:ascii="Palatino Linotype" w:eastAsia="Palatino Linotype" w:hAnsi="Palatino Linotype" w:cs="Palatino Linotype"/>
        </w:rPr>
      </w:pPr>
    </w:p>
    <w:p w14:paraId="1B1B2D54" w14:textId="77777777" w:rsidR="004327D8" w:rsidRPr="00E245B5" w:rsidRDefault="004327D8">
      <w:pPr>
        <w:tabs>
          <w:tab w:val="left" w:pos="4962"/>
        </w:tabs>
        <w:spacing w:before="240" w:after="240" w:line="360" w:lineRule="auto"/>
        <w:ind w:left="-426"/>
        <w:jc w:val="both"/>
        <w:rPr>
          <w:rFonts w:ascii="Palatino Linotype" w:eastAsia="Palatino Linotype" w:hAnsi="Palatino Linotype" w:cs="Palatino Linotype"/>
        </w:rPr>
      </w:pPr>
    </w:p>
    <w:sectPr w:rsidR="004327D8" w:rsidRPr="00E245B5">
      <w:headerReference w:type="default" r:id="rId8"/>
      <w:footerReference w:type="default" r:id="rId9"/>
      <w:pgSz w:w="12240" w:h="15840"/>
      <w:pgMar w:top="1871" w:right="1325"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65A82" w14:textId="77777777" w:rsidR="007F10C9" w:rsidRDefault="007F10C9">
      <w:pPr>
        <w:spacing w:after="0" w:line="240" w:lineRule="auto"/>
      </w:pPr>
      <w:r>
        <w:separator/>
      </w:r>
    </w:p>
  </w:endnote>
  <w:endnote w:type="continuationSeparator" w:id="0">
    <w:p w14:paraId="4C1F8452" w14:textId="77777777" w:rsidR="007F10C9" w:rsidRDefault="007F1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571E9" w14:textId="77777777" w:rsidR="003D54A6" w:rsidRDefault="003D54A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326B9A">
      <w:rPr>
        <w:rFonts w:ascii="Arial" w:eastAsia="Arial" w:hAnsi="Arial" w:cs="Arial"/>
        <w:b/>
        <w:noProof/>
        <w:color w:val="000000"/>
        <w:sz w:val="20"/>
        <w:szCs w:val="20"/>
      </w:rPr>
      <w:t>9</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326B9A">
      <w:rPr>
        <w:rFonts w:ascii="Arial" w:eastAsia="Arial" w:hAnsi="Arial" w:cs="Arial"/>
        <w:b/>
        <w:noProof/>
        <w:color w:val="000000"/>
        <w:sz w:val="20"/>
        <w:szCs w:val="20"/>
      </w:rPr>
      <w:t>9</w:t>
    </w:r>
    <w:r>
      <w:rPr>
        <w:rFonts w:ascii="Arial" w:eastAsia="Arial" w:hAnsi="Arial" w:cs="Arial"/>
        <w:b/>
        <w:color w:val="000000"/>
        <w:sz w:val="20"/>
        <w:szCs w:val="20"/>
      </w:rPr>
      <w:fldChar w:fldCharType="end"/>
    </w:r>
  </w:p>
  <w:p w14:paraId="453FBEE7" w14:textId="77777777" w:rsidR="003D54A6" w:rsidRDefault="003D54A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D2E82" w14:textId="77777777" w:rsidR="007F10C9" w:rsidRDefault="007F10C9">
      <w:pPr>
        <w:spacing w:after="0" w:line="240" w:lineRule="auto"/>
      </w:pPr>
      <w:r>
        <w:separator/>
      </w:r>
    </w:p>
  </w:footnote>
  <w:footnote w:type="continuationSeparator" w:id="0">
    <w:p w14:paraId="6D528752" w14:textId="77777777" w:rsidR="007F10C9" w:rsidRDefault="007F10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9201D" w14:textId="77777777" w:rsidR="003D54A6" w:rsidRDefault="003D54A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14:anchorId="535B80BC" wp14:editId="7866956B">
          <wp:simplePos x="0" y="0"/>
          <wp:positionH relativeFrom="column">
            <wp:posOffset>-1171565</wp:posOffset>
          </wp:positionH>
          <wp:positionV relativeFrom="paragraph">
            <wp:posOffset>-486398</wp:posOffset>
          </wp:positionV>
          <wp:extent cx="7510628" cy="988377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61F1D30C" w14:textId="77777777" w:rsidR="003D54A6" w:rsidRDefault="003D54A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14:paraId="153A5D63" w14:textId="77777777" w:rsidR="003D54A6" w:rsidRDefault="003D54A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00899/INFOEM/IP/RR/2025</w:t>
    </w:r>
  </w:p>
  <w:p w14:paraId="7B1D5343" w14:textId="77777777" w:rsidR="003D54A6" w:rsidRDefault="003D54A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Fiscalía General de Justicia del Estado de México</w:t>
    </w:r>
  </w:p>
  <w:p w14:paraId="2F10294D" w14:textId="77777777" w:rsidR="003D54A6" w:rsidRDefault="003D54A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5ECB"/>
    <w:multiLevelType w:val="multilevel"/>
    <w:tmpl w:val="9570887A"/>
    <w:lvl w:ilvl="0">
      <w:start w:val="4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02B190D"/>
    <w:multiLevelType w:val="hybridMultilevel"/>
    <w:tmpl w:val="5C50D392"/>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7D8"/>
    <w:rsid w:val="001614DC"/>
    <w:rsid w:val="001E19F7"/>
    <w:rsid w:val="00252540"/>
    <w:rsid w:val="00326B9A"/>
    <w:rsid w:val="003419B5"/>
    <w:rsid w:val="003D54A6"/>
    <w:rsid w:val="003F7BE7"/>
    <w:rsid w:val="00431E06"/>
    <w:rsid w:val="004327D8"/>
    <w:rsid w:val="00445917"/>
    <w:rsid w:val="00502DA3"/>
    <w:rsid w:val="005153A4"/>
    <w:rsid w:val="00526134"/>
    <w:rsid w:val="00567467"/>
    <w:rsid w:val="005B07EF"/>
    <w:rsid w:val="005B1899"/>
    <w:rsid w:val="006318D2"/>
    <w:rsid w:val="006A2763"/>
    <w:rsid w:val="00775C7D"/>
    <w:rsid w:val="007F10C9"/>
    <w:rsid w:val="00817712"/>
    <w:rsid w:val="00867DB6"/>
    <w:rsid w:val="0087513E"/>
    <w:rsid w:val="008F349E"/>
    <w:rsid w:val="00972770"/>
    <w:rsid w:val="009D3158"/>
    <w:rsid w:val="00A121B7"/>
    <w:rsid w:val="00AC471C"/>
    <w:rsid w:val="00AC6D2D"/>
    <w:rsid w:val="00AE02DF"/>
    <w:rsid w:val="00BC0499"/>
    <w:rsid w:val="00C64749"/>
    <w:rsid w:val="00CB7DD8"/>
    <w:rsid w:val="00CF5C61"/>
    <w:rsid w:val="00E0609F"/>
    <w:rsid w:val="00E245B5"/>
    <w:rsid w:val="00E307FD"/>
    <w:rsid w:val="00E37875"/>
    <w:rsid w:val="00E871D1"/>
    <w:rsid w:val="00ED76F1"/>
    <w:rsid w:val="00F04C02"/>
    <w:rsid w:val="00F545E3"/>
    <w:rsid w:val="00F60407"/>
    <w:rsid w:val="00F83B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51733"/>
  <w15:docId w15:val="{44C63D8E-1314-431D-A85B-789142AE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raxl9hIWqNyv2Ayi1RfN+cxgtg==">CgMxLjAyCGguZ2pkZ3hzMgloLjFmb2I5dGU4AHIhMUJtVkEweE02aDBkY19Tc3M5U0R2aDhTNXRidjczMk14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2031</Words>
  <Characters>11171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INFOEM406</cp:lastModifiedBy>
  <cp:revision>3</cp:revision>
  <cp:lastPrinted>2025-03-18T18:47:00Z</cp:lastPrinted>
  <dcterms:created xsi:type="dcterms:W3CDTF">2025-03-18T18:45:00Z</dcterms:created>
  <dcterms:modified xsi:type="dcterms:W3CDTF">2025-03-18T18:48:00Z</dcterms:modified>
</cp:coreProperties>
</file>