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4F085" w14:textId="77777777" w:rsidR="00EB4BB6" w:rsidRDefault="00EB4BB6" w:rsidP="00F71611">
      <w:pPr>
        <w:pStyle w:val="Sinespaciado"/>
        <w:spacing w:line="360" w:lineRule="auto"/>
        <w:contextualSpacing/>
        <w:jc w:val="both"/>
        <w:rPr>
          <w:rFonts w:ascii="Palatino Linotype" w:hAnsi="Palatino Linotype"/>
          <w:b/>
          <w:bCs/>
        </w:rPr>
      </w:pPr>
      <w:bookmarkStart w:id="0" w:name="_Hlk144925237"/>
    </w:p>
    <w:p w14:paraId="1EB8425F" w14:textId="6CDBC4C1" w:rsidR="00F71611" w:rsidRPr="00C41212" w:rsidRDefault="00F71611" w:rsidP="00F71611">
      <w:pPr>
        <w:pStyle w:val="Sinespaciado"/>
        <w:spacing w:line="360" w:lineRule="auto"/>
        <w:contextualSpacing/>
        <w:jc w:val="both"/>
        <w:rPr>
          <w:rFonts w:ascii="Palatino Linotype" w:hAnsi="Palatino Linotype"/>
        </w:rPr>
      </w:pPr>
      <w:r w:rsidRPr="00C41212">
        <w:rPr>
          <w:rFonts w:ascii="Palatino Linotype" w:hAnsi="Palatino Linotype"/>
          <w:b/>
          <w:bCs/>
        </w:rPr>
        <w:t xml:space="preserve">VOTO PARTICULAR QUE FORMULA EL COMISIONADO LUIS GUSTAVO PARRA NORIEGA, A LA RESOLUCIÓN DEL RECURSO DE REVISIÓN </w:t>
      </w:r>
      <w:r w:rsidR="00705229" w:rsidRPr="00705229">
        <w:rPr>
          <w:rFonts w:ascii="Palatino Linotype" w:eastAsia="Palatino Linotype" w:hAnsi="Palatino Linotype" w:cs="Palatino Linotype"/>
          <w:b/>
          <w:bCs/>
        </w:rPr>
        <w:t>00469/INFOEM/IP/RR/2025 Y ACUMULADO</w:t>
      </w:r>
      <w:r w:rsidRPr="00C41212">
        <w:rPr>
          <w:rFonts w:ascii="Palatino Linotype" w:hAnsi="Palatino Linotype"/>
          <w:b/>
          <w:bCs/>
          <w:lang w:val="es-MX"/>
        </w:rPr>
        <w:t>,</w:t>
      </w:r>
      <w:r w:rsidRPr="00C41212">
        <w:rPr>
          <w:rFonts w:ascii="Palatino Linotype" w:hAnsi="Palatino Linotype"/>
          <w:b/>
          <w:bCs/>
        </w:rPr>
        <w:t xml:space="preserve"> PROMOVIDO EN CONTRA DE</w:t>
      </w:r>
      <w:r w:rsidR="00460A73">
        <w:rPr>
          <w:rFonts w:ascii="Palatino Linotype" w:hAnsi="Palatino Linotype"/>
          <w:b/>
          <w:bCs/>
        </w:rPr>
        <w:t>L</w:t>
      </w:r>
      <w:r w:rsidR="00070861">
        <w:rPr>
          <w:rFonts w:ascii="Palatino Linotype" w:hAnsi="Palatino Linotype"/>
          <w:b/>
          <w:bCs/>
        </w:rPr>
        <w:t xml:space="preserve"> </w:t>
      </w:r>
      <w:r w:rsidR="00705229">
        <w:rPr>
          <w:rFonts w:ascii="Palatino Linotype" w:hAnsi="Palatino Linotype"/>
          <w:b/>
          <w:bCs/>
        </w:rPr>
        <w:t>AYUNTAMIENTO DE LA PAZ</w:t>
      </w:r>
    </w:p>
    <w:p w14:paraId="1DD6FAC6" w14:textId="77777777" w:rsidR="00F71611" w:rsidRPr="00C41212" w:rsidRDefault="00F71611" w:rsidP="00F71611">
      <w:pPr>
        <w:tabs>
          <w:tab w:val="left" w:pos="1843"/>
        </w:tabs>
        <w:spacing w:after="0" w:line="360" w:lineRule="auto"/>
        <w:contextualSpacing/>
        <w:jc w:val="both"/>
        <w:rPr>
          <w:rFonts w:ascii="Palatino Linotype" w:hAnsi="Palatino Linotype" w:cs="Arial"/>
          <w:b/>
          <w:sz w:val="24"/>
          <w:szCs w:val="24"/>
        </w:rPr>
      </w:pPr>
    </w:p>
    <w:p w14:paraId="2BE47389" w14:textId="2306EA3C" w:rsidR="00070861" w:rsidRDefault="00070861" w:rsidP="00070861">
      <w:pPr>
        <w:spacing w:after="0" w:line="360" w:lineRule="auto"/>
        <w:jc w:val="both"/>
        <w:rPr>
          <w:rFonts w:ascii="Palatino Linotype" w:hAnsi="Palatino Linotype" w:cs="Tahoma"/>
        </w:rPr>
      </w:pPr>
      <w:r w:rsidRPr="0044164C">
        <w:rPr>
          <w:rFonts w:ascii="Palatino Linotype" w:hAnsi="Palatino Linotype" w:cs="Tahoma"/>
        </w:rPr>
        <w:t xml:space="preserve">En términos de lo dispuesto por el artículo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2°, fracción XX, 45, 48, fracción I, de los Lineamientos para el funcionamiento del Pleno y las Comisiones del Instituto de Transparencia, Acceso a la Información Pública y Protección de Datos Personales del Estado de México y Municipios, emito el presente Voto Particular </w:t>
      </w:r>
      <w:r w:rsidRPr="00885189">
        <w:rPr>
          <w:rFonts w:ascii="Palatino Linotype" w:hAnsi="Palatino Linotype" w:cs="Tahoma"/>
        </w:rPr>
        <w:t>por no compartir en su totalidad las consideraciones que sustentan</w:t>
      </w:r>
      <w:r>
        <w:rPr>
          <w:rFonts w:ascii="Palatino Linotype" w:hAnsi="Palatino Linotype" w:cs="Tahoma"/>
        </w:rPr>
        <w:t xml:space="preserve"> </w:t>
      </w:r>
      <w:r w:rsidRPr="0044164C">
        <w:rPr>
          <w:rFonts w:ascii="Palatino Linotype" w:hAnsi="Palatino Linotype" w:cs="Tahoma"/>
        </w:rPr>
        <w:t>la Resolución del Recurso de Revisión</w:t>
      </w:r>
      <w:r>
        <w:rPr>
          <w:rFonts w:ascii="Palatino Linotype" w:hAnsi="Palatino Linotype" w:cs="Tahoma"/>
        </w:rPr>
        <w:t xml:space="preserve"> </w:t>
      </w:r>
      <w:r w:rsidR="00705229">
        <w:rPr>
          <w:rFonts w:ascii="Palatino Linotype" w:hAnsi="Palatino Linotype" w:cs="Tahoma"/>
          <w:b/>
        </w:rPr>
        <w:t>00469/INFOEM/IP/RR/2025 y acumulado</w:t>
      </w:r>
      <w:r>
        <w:rPr>
          <w:rFonts w:ascii="Palatino Linotype" w:hAnsi="Palatino Linotype" w:cs="Tahoma"/>
          <w:b/>
        </w:rPr>
        <w:t xml:space="preserve">, </w:t>
      </w:r>
      <w:r w:rsidRPr="000C73AC">
        <w:rPr>
          <w:rFonts w:ascii="Palatino Linotype" w:hAnsi="Palatino Linotype" w:cs="Tahoma"/>
        </w:rPr>
        <w:t>conforme a lo siguiente:</w:t>
      </w:r>
    </w:p>
    <w:p w14:paraId="70B1B506" w14:textId="77777777" w:rsidR="00F71611" w:rsidRPr="00C41212" w:rsidRDefault="00F71611" w:rsidP="00F71611">
      <w:pPr>
        <w:tabs>
          <w:tab w:val="left" w:pos="1843"/>
        </w:tabs>
        <w:spacing w:after="0" w:line="360" w:lineRule="auto"/>
        <w:contextualSpacing/>
        <w:jc w:val="both"/>
        <w:rPr>
          <w:rFonts w:ascii="Palatino Linotype" w:hAnsi="Palatino Linotype" w:cs="Tahoma"/>
        </w:rPr>
      </w:pPr>
    </w:p>
    <w:p w14:paraId="6C7AA2F5" w14:textId="07393CA1" w:rsidR="00F71611" w:rsidRPr="00D80065" w:rsidRDefault="00F71611" w:rsidP="00F71611">
      <w:pPr>
        <w:spacing w:line="360" w:lineRule="auto"/>
        <w:contextualSpacing/>
        <w:jc w:val="both"/>
        <w:rPr>
          <w:rFonts w:ascii="Palatino Linotype" w:hAnsi="Palatino Linotype"/>
          <w:lang w:val="es-MX"/>
        </w:rPr>
      </w:pPr>
      <w:r w:rsidRPr="00D80065">
        <w:rPr>
          <w:rFonts w:ascii="Palatino Linotype" w:hAnsi="Palatino Linotype" w:cs="Tahoma"/>
        </w:rPr>
        <w:t xml:space="preserve">Como se desprende de la Resolución </w:t>
      </w:r>
      <w:r w:rsidR="00070861" w:rsidRPr="00070861">
        <w:rPr>
          <w:rFonts w:ascii="Palatino Linotype" w:hAnsi="Palatino Linotype" w:cs="Tahoma"/>
        </w:rPr>
        <w:t>que nos ocupa, parte de la información que daba cuenta de lo solicitado por el Particular es la relacionada con  las funciones de servidores públicos</w:t>
      </w:r>
      <w:r w:rsidR="00D15627">
        <w:rPr>
          <w:rFonts w:ascii="Palatino Linotype" w:hAnsi="Palatino Linotype" w:cs="Tahoma"/>
        </w:rPr>
        <w:t xml:space="preserve"> </w:t>
      </w:r>
      <w:r w:rsidR="00705229">
        <w:rPr>
          <w:rFonts w:ascii="Palatino Linotype" w:hAnsi="Palatino Linotype" w:cs="Tahoma"/>
        </w:rPr>
        <w:t>adscritos al área de catastro</w:t>
      </w:r>
      <w:r w:rsidR="00070861" w:rsidRPr="00070861">
        <w:rPr>
          <w:rFonts w:ascii="Palatino Linotype" w:hAnsi="Palatino Linotype" w:cs="Tahoma"/>
        </w:rPr>
        <w:t xml:space="preserve">; en este sentido, se ordenó la entrega de la información </w:t>
      </w:r>
      <w:r w:rsidR="00705229">
        <w:rPr>
          <w:rFonts w:ascii="Palatino Linotype" w:hAnsi="Palatino Linotype" w:cs="Tahoma"/>
        </w:rPr>
        <w:t xml:space="preserve">solicitada, entre la que se encuentra aquella </w:t>
      </w:r>
      <w:r w:rsidR="00070861" w:rsidRPr="00070861">
        <w:rPr>
          <w:rFonts w:ascii="Palatino Linotype" w:hAnsi="Palatino Linotype" w:cs="Tahoma"/>
        </w:rPr>
        <w:t xml:space="preserve">que diera cuenta de las funciones que desempeña cada uno de </w:t>
      </w:r>
      <w:r w:rsidR="00D15627">
        <w:rPr>
          <w:rFonts w:ascii="Palatino Linotype" w:hAnsi="Palatino Linotype" w:cs="Tahoma"/>
        </w:rPr>
        <w:t>estos</w:t>
      </w:r>
      <w:r w:rsidR="00070861" w:rsidRPr="00070861">
        <w:rPr>
          <w:rFonts w:ascii="Palatino Linotype" w:hAnsi="Palatino Linotype" w:cs="Tahoma"/>
        </w:rPr>
        <w:t xml:space="preserve"> servidores públicos.</w:t>
      </w:r>
    </w:p>
    <w:p w14:paraId="37CA93E8" w14:textId="77777777" w:rsidR="00F71611" w:rsidRPr="00C41212" w:rsidRDefault="00F71611" w:rsidP="00F71611">
      <w:pPr>
        <w:spacing w:after="0" w:line="360" w:lineRule="auto"/>
        <w:contextualSpacing/>
        <w:jc w:val="both"/>
        <w:rPr>
          <w:rFonts w:ascii="Palatino Linotype" w:hAnsi="Palatino Linotype" w:cs="Tahoma"/>
        </w:rPr>
      </w:pPr>
    </w:p>
    <w:p w14:paraId="7482F8B5" w14:textId="30E60E3A" w:rsidR="00070861" w:rsidRDefault="006166D0" w:rsidP="00070861">
      <w:pPr>
        <w:spacing w:after="0" w:line="360" w:lineRule="auto"/>
        <w:contextualSpacing/>
        <w:jc w:val="both"/>
        <w:rPr>
          <w:rFonts w:ascii="Palatino Linotype" w:eastAsia="Calibri" w:hAnsi="Palatino Linotype" w:cs="Tahoma"/>
        </w:rPr>
      </w:pPr>
      <w:r>
        <w:rPr>
          <w:rFonts w:ascii="Palatino Linotype" w:hAnsi="Palatino Linotype" w:cs="Tahoma"/>
        </w:rPr>
        <w:t>Así, d</w:t>
      </w:r>
      <w:r w:rsidR="00070861" w:rsidRPr="00C41212">
        <w:rPr>
          <w:rFonts w:ascii="Palatino Linotype" w:eastAsia="Calibri" w:hAnsi="Palatino Linotype" w:cs="Tahoma"/>
        </w:rPr>
        <w:t>esde mi perspectiva,</w:t>
      </w:r>
      <w:r w:rsidR="00070861">
        <w:rPr>
          <w:rFonts w:ascii="Palatino Linotype" w:eastAsia="Calibri" w:hAnsi="Palatino Linotype" w:cs="Tahoma"/>
        </w:rPr>
        <w:t xml:space="preserve"> se debió establecer salvedad para el caso de que el Sujeto Obligado no hubiera generado documento que diera cuenta de las funciones de los servidores públicos que no tienen un nivel de mando medio o superior, en cuyo caso, únicamente debería haber hecho del conocimiento del Particular que las funciones no se </w:t>
      </w:r>
      <w:r w:rsidR="00070861">
        <w:rPr>
          <w:rFonts w:ascii="Palatino Linotype" w:eastAsia="Calibri" w:hAnsi="Palatino Linotype" w:cs="Tahoma"/>
        </w:rPr>
        <w:lastRenderedPageBreak/>
        <w:t>generan normativamente con el grado de desagregación que se solicitaron; esto es, que no se cuenta con un documento que contenga las distintas funciones que cada uno de los servidores públicos con nivel operativo que realiza.</w:t>
      </w:r>
    </w:p>
    <w:p w14:paraId="5F8C2B4B" w14:textId="77777777" w:rsidR="00070861" w:rsidRDefault="00070861" w:rsidP="00070861">
      <w:pPr>
        <w:spacing w:after="0" w:line="360" w:lineRule="auto"/>
        <w:contextualSpacing/>
        <w:jc w:val="both"/>
        <w:rPr>
          <w:rFonts w:ascii="Palatino Linotype" w:eastAsia="Calibri" w:hAnsi="Palatino Linotype" w:cs="Tahoma"/>
        </w:rPr>
      </w:pPr>
    </w:p>
    <w:p w14:paraId="1F65B9AF" w14:textId="77777777" w:rsidR="00070861" w:rsidRPr="00C07ABB" w:rsidRDefault="00070861" w:rsidP="00070861">
      <w:pPr>
        <w:spacing w:after="0" w:line="360" w:lineRule="auto"/>
        <w:jc w:val="both"/>
        <w:rPr>
          <w:rFonts w:ascii="Palatino Linotype" w:hAnsi="Palatino Linotype"/>
        </w:rPr>
      </w:pPr>
      <w:r>
        <w:rPr>
          <w:rFonts w:ascii="Palatino Linotype" w:eastAsia="Calibri" w:hAnsi="Palatino Linotype" w:cs="Tahoma"/>
        </w:rPr>
        <w:t>Así, resulta necesario analizar el artículo 92 fracción II y III de la Ley de Transparencia, sobre las obligaciones de transparencia, establece que los sujetos obligados deberán poner a disposición del público en los respectivos medios electrónicos, su estructura orgánica que permita vincular cada parte de la estructura las atribuciones y responsabilidades, así como las facultades de cada área, sin que ello obligue que se registre hasta el nivel más bajo de la estructura orgánica, además de que las funciones se deben detallar por unidad administrativa, no necesariamente por servidor público en todos los casos, por ello dicha disposición, desde mi perspectiva no es suficiente para requerir de manera obligatoria que se cuente con la información con el grado de detalle que la requirió el Particular.</w:t>
      </w:r>
    </w:p>
    <w:p w14:paraId="1C913575" w14:textId="77777777" w:rsidR="00070861" w:rsidRDefault="00070861" w:rsidP="00070861">
      <w:pPr>
        <w:spacing w:after="0" w:line="360" w:lineRule="auto"/>
        <w:jc w:val="both"/>
        <w:rPr>
          <w:rFonts w:ascii="Palatino Linotype" w:hAnsi="Palatino Linotype" w:cs="Tahoma"/>
        </w:rPr>
      </w:pPr>
    </w:p>
    <w:p w14:paraId="7F092F4A" w14:textId="09BC9CE7" w:rsidR="00F71611" w:rsidRPr="00C41212" w:rsidRDefault="00070861" w:rsidP="00070861">
      <w:pPr>
        <w:spacing w:after="0" w:line="360" w:lineRule="auto"/>
        <w:contextualSpacing/>
        <w:jc w:val="both"/>
        <w:rPr>
          <w:rFonts w:ascii="Palatino Linotype" w:hAnsi="Palatino Linotype" w:cs="Tahoma"/>
        </w:rPr>
      </w:pPr>
      <w:r w:rsidRPr="00C07ABB">
        <w:rPr>
          <w:rFonts w:ascii="Palatino Linotype" w:hAnsi="Palatino Linotype" w:cs="Tahoma"/>
        </w:rPr>
        <w:t xml:space="preserve">Lo anterior expone razones suficientes para la emisión y presentación del presente </w:t>
      </w:r>
      <w:r w:rsidRPr="00C07ABB">
        <w:rPr>
          <w:rFonts w:ascii="Palatino Linotype" w:hAnsi="Palatino Linotype" w:cs="Tahoma"/>
          <w:b/>
        </w:rPr>
        <w:t>Voto Particular</w:t>
      </w:r>
      <w:r w:rsidRPr="00C07ABB">
        <w:rPr>
          <w:rFonts w:ascii="Palatino Linotype" w:hAnsi="Palatino Linotype" w:cs="Tahoma"/>
        </w:rPr>
        <w:t>, relacionado con la resolución del Recurso de Revisión referido.</w:t>
      </w:r>
      <w:r w:rsidRPr="00C07ABB">
        <w:rPr>
          <w:rFonts w:ascii="Palatino Linotype" w:eastAsia="Calibri" w:hAnsi="Palatino Linotype" w:cs="Times New Roman"/>
          <w:lang w:val="es-MX"/>
        </w:rPr>
        <w:t xml:space="preserve"> </w:t>
      </w:r>
      <w:r w:rsidRPr="00C07ABB">
        <w:rPr>
          <w:rFonts w:ascii="Palatino Linotype" w:hAnsi="Palatino Linotype" w:cs="Tahoma"/>
          <w:lang w:val="es-MX"/>
        </w:rPr>
        <w:t>------------------------------------------------------------------------</w:t>
      </w:r>
      <w:r>
        <w:rPr>
          <w:rFonts w:ascii="Palatino Linotype" w:hAnsi="Palatino Linotype" w:cs="Tahoma"/>
          <w:lang w:val="es-MX"/>
        </w:rPr>
        <w:t>------------------</w:t>
      </w:r>
      <w:r w:rsidRPr="00C07ABB">
        <w:rPr>
          <w:rFonts w:ascii="Palatino Linotype" w:hAnsi="Palatino Linotype" w:cs="Tahoma"/>
          <w:lang w:val="es-MX"/>
        </w:rPr>
        <w:t>---------------------------------------------------</w:t>
      </w:r>
    </w:p>
    <w:p w14:paraId="1E6831E1" w14:textId="77777777" w:rsidR="00F71611" w:rsidRPr="00C41212" w:rsidRDefault="00F71611" w:rsidP="00F71611">
      <w:pPr>
        <w:spacing w:after="0" w:line="360" w:lineRule="auto"/>
        <w:contextualSpacing/>
        <w:jc w:val="both"/>
        <w:rPr>
          <w:rFonts w:ascii="Palatino Linotype" w:hAnsi="Palatino Linotype" w:cs="Tahoma"/>
        </w:rPr>
      </w:pPr>
    </w:p>
    <w:p w14:paraId="1E4E524B" w14:textId="77777777" w:rsidR="00F71611" w:rsidRPr="00C41212" w:rsidRDefault="00F71611" w:rsidP="00F71611">
      <w:pPr>
        <w:spacing w:after="0" w:line="360" w:lineRule="auto"/>
        <w:contextualSpacing/>
        <w:jc w:val="both"/>
        <w:rPr>
          <w:rFonts w:ascii="Palatino Linotype" w:hAnsi="Palatino Linotype" w:cs="Tahoma"/>
        </w:rPr>
      </w:pPr>
    </w:p>
    <w:p w14:paraId="3DB7BAA6" w14:textId="77777777" w:rsidR="00F71611" w:rsidRPr="00C41212" w:rsidRDefault="00F71611" w:rsidP="00F71611">
      <w:pPr>
        <w:spacing w:after="0" w:line="360" w:lineRule="auto"/>
        <w:contextualSpacing/>
        <w:jc w:val="both"/>
        <w:rPr>
          <w:rFonts w:ascii="Palatino Linotype" w:hAnsi="Palatino Linotype" w:cs="Tahoma"/>
        </w:rPr>
      </w:pPr>
    </w:p>
    <w:p w14:paraId="4C803D02" w14:textId="77777777" w:rsidR="00F71611" w:rsidRPr="00C41212" w:rsidRDefault="00F71611" w:rsidP="00F71611">
      <w:pPr>
        <w:spacing w:after="0" w:line="360" w:lineRule="auto"/>
        <w:contextualSpacing/>
        <w:jc w:val="both"/>
        <w:rPr>
          <w:rFonts w:ascii="Palatino Linotype" w:hAnsi="Palatino Linotype" w:cs="Tahoma"/>
        </w:rPr>
      </w:pPr>
    </w:p>
    <w:p w14:paraId="6EB1533C" w14:textId="77777777" w:rsidR="00F71611" w:rsidRPr="00C41212" w:rsidRDefault="00F71611" w:rsidP="00F71611">
      <w:pPr>
        <w:spacing w:after="0" w:line="360" w:lineRule="auto"/>
        <w:contextualSpacing/>
        <w:jc w:val="both"/>
        <w:rPr>
          <w:rFonts w:ascii="Palatino Linotype" w:hAnsi="Palatino Linotype" w:cs="Tahoma"/>
        </w:rPr>
      </w:pPr>
    </w:p>
    <w:p w14:paraId="23D31903" w14:textId="77777777" w:rsidR="00F71611" w:rsidRPr="00C41212" w:rsidRDefault="00F71611" w:rsidP="00F71611">
      <w:pPr>
        <w:spacing w:after="0" w:line="360" w:lineRule="auto"/>
        <w:contextualSpacing/>
        <w:jc w:val="both"/>
        <w:rPr>
          <w:rFonts w:ascii="Palatino Linotype" w:hAnsi="Palatino Linotype" w:cs="Tahoma"/>
        </w:rPr>
      </w:pPr>
    </w:p>
    <w:p w14:paraId="74735770" w14:textId="77777777" w:rsidR="00F71611" w:rsidRPr="00C41212" w:rsidRDefault="00F71611" w:rsidP="00F71611">
      <w:pPr>
        <w:spacing w:after="0" w:line="360" w:lineRule="auto"/>
        <w:contextualSpacing/>
        <w:jc w:val="both"/>
        <w:rPr>
          <w:rFonts w:ascii="Palatino Linotype" w:hAnsi="Palatino Linotype" w:cs="Tahoma"/>
        </w:rPr>
      </w:pPr>
    </w:p>
    <w:p w14:paraId="07EE4B3E" w14:textId="77777777" w:rsidR="00F71611" w:rsidRPr="00C41212" w:rsidRDefault="00F71611" w:rsidP="00F71611">
      <w:pPr>
        <w:spacing w:after="0" w:line="360" w:lineRule="auto"/>
        <w:contextualSpacing/>
        <w:jc w:val="both"/>
        <w:rPr>
          <w:rFonts w:ascii="Palatino Linotype" w:hAnsi="Palatino Linotype" w:cs="Tahoma"/>
        </w:rPr>
      </w:pPr>
    </w:p>
    <w:p w14:paraId="5BC93E32" w14:textId="77777777" w:rsidR="00F71611" w:rsidRPr="00C41212" w:rsidRDefault="00F71611" w:rsidP="00F71611">
      <w:pPr>
        <w:spacing w:after="0" w:line="360" w:lineRule="auto"/>
        <w:contextualSpacing/>
        <w:jc w:val="both"/>
        <w:rPr>
          <w:rFonts w:ascii="Palatino Linotype" w:hAnsi="Palatino Linotype" w:cs="Tahoma"/>
        </w:rPr>
      </w:pPr>
    </w:p>
    <w:p w14:paraId="5263F89A" w14:textId="77777777" w:rsidR="00F71611" w:rsidRPr="00C41212" w:rsidRDefault="00F71611" w:rsidP="00F71611">
      <w:pPr>
        <w:spacing w:after="0" w:line="360" w:lineRule="auto"/>
        <w:contextualSpacing/>
        <w:jc w:val="both"/>
        <w:rPr>
          <w:rFonts w:ascii="Palatino Linotype" w:hAnsi="Palatino Linotype" w:cs="Tahoma"/>
        </w:rPr>
      </w:pPr>
    </w:p>
    <w:p w14:paraId="6045101F" w14:textId="77777777" w:rsidR="00F71611" w:rsidRPr="00C41212" w:rsidRDefault="00F71611" w:rsidP="00F71611">
      <w:pPr>
        <w:spacing w:after="0" w:line="360" w:lineRule="auto"/>
        <w:contextualSpacing/>
        <w:jc w:val="both"/>
        <w:rPr>
          <w:rFonts w:ascii="Palatino Linotype" w:hAnsi="Palatino Linotype" w:cs="Tahoma"/>
        </w:rPr>
      </w:pPr>
    </w:p>
    <w:p w14:paraId="54886FD8" w14:textId="77777777" w:rsidR="00F71611" w:rsidRPr="00C41212" w:rsidRDefault="00F71611" w:rsidP="00F71611">
      <w:pPr>
        <w:spacing w:after="0" w:line="360" w:lineRule="auto"/>
        <w:contextualSpacing/>
        <w:jc w:val="both"/>
        <w:rPr>
          <w:rFonts w:ascii="Palatino Linotype" w:hAnsi="Palatino Linotype" w:cs="Tahoma"/>
        </w:rPr>
      </w:pPr>
    </w:p>
    <w:p w14:paraId="1137919B" w14:textId="77777777" w:rsidR="00F71611" w:rsidRPr="00C41212" w:rsidRDefault="00F71611" w:rsidP="00F71611">
      <w:pPr>
        <w:spacing w:after="0" w:line="360" w:lineRule="auto"/>
        <w:contextualSpacing/>
        <w:jc w:val="both"/>
        <w:rPr>
          <w:rFonts w:ascii="Palatino Linotype" w:hAnsi="Palatino Linotype" w:cs="Tahoma"/>
        </w:rPr>
      </w:pPr>
    </w:p>
    <w:p w14:paraId="1BD99C83" w14:textId="77777777" w:rsidR="00F71611" w:rsidRPr="00C41212" w:rsidRDefault="00F71611" w:rsidP="00F71611">
      <w:pPr>
        <w:spacing w:after="0" w:line="360" w:lineRule="auto"/>
        <w:contextualSpacing/>
        <w:jc w:val="both"/>
        <w:rPr>
          <w:rFonts w:ascii="Palatino Linotype" w:hAnsi="Palatino Linotype" w:cs="Tahoma"/>
        </w:rPr>
      </w:pPr>
    </w:p>
    <w:p w14:paraId="0655FFB9" w14:textId="77777777" w:rsidR="00F71611" w:rsidRPr="00C41212" w:rsidRDefault="00F71611" w:rsidP="00F71611">
      <w:pPr>
        <w:spacing w:after="0" w:line="360" w:lineRule="auto"/>
        <w:contextualSpacing/>
        <w:jc w:val="both"/>
        <w:rPr>
          <w:rFonts w:ascii="Palatino Linotype" w:hAnsi="Palatino Linotype" w:cs="Tahoma"/>
        </w:rPr>
      </w:pPr>
    </w:p>
    <w:p w14:paraId="2C3FFD2D" w14:textId="77777777" w:rsidR="00F71611" w:rsidRPr="00C41212" w:rsidRDefault="00F71611" w:rsidP="00F71611">
      <w:pPr>
        <w:spacing w:after="0" w:line="360" w:lineRule="auto"/>
        <w:contextualSpacing/>
        <w:jc w:val="both"/>
        <w:rPr>
          <w:rFonts w:ascii="Palatino Linotype" w:hAnsi="Palatino Linotype" w:cs="Tahoma"/>
        </w:rPr>
      </w:pPr>
    </w:p>
    <w:p w14:paraId="2DE07E31" w14:textId="77777777" w:rsidR="00F71611" w:rsidRPr="00C41212" w:rsidRDefault="00F71611" w:rsidP="00F71611">
      <w:pPr>
        <w:spacing w:after="0" w:line="360" w:lineRule="auto"/>
        <w:contextualSpacing/>
        <w:jc w:val="both"/>
        <w:rPr>
          <w:rFonts w:ascii="Palatino Linotype" w:hAnsi="Palatino Linotype" w:cs="Tahoma"/>
        </w:rPr>
      </w:pPr>
    </w:p>
    <w:p w14:paraId="1855E549" w14:textId="77777777" w:rsidR="00F71611" w:rsidRPr="00C41212" w:rsidRDefault="00F71611" w:rsidP="00F71611">
      <w:pPr>
        <w:spacing w:after="0" w:line="360" w:lineRule="auto"/>
        <w:contextualSpacing/>
        <w:jc w:val="both"/>
        <w:rPr>
          <w:rFonts w:ascii="Palatino Linotype" w:hAnsi="Palatino Linotype" w:cs="Tahoma"/>
        </w:rPr>
      </w:pPr>
    </w:p>
    <w:p w14:paraId="3249DFF0" w14:textId="77777777" w:rsidR="00F71611" w:rsidRPr="00C41212" w:rsidRDefault="00F71611" w:rsidP="00F71611">
      <w:pPr>
        <w:spacing w:after="0" w:line="360" w:lineRule="auto"/>
        <w:contextualSpacing/>
        <w:jc w:val="both"/>
        <w:rPr>
          <w:rFonts w:ascii="Palatino Linotype" w:hAnsi="Palatino Linotype" w:cs="Tahoma"/>
        </w:rPr>
      </w:pPr>
    </w:p>
    <w:p w14:paraId="5720B96D" w14:textId="77777777" w:rsidR="00F71611" w:rsidRPr="00C41212" w:rsidRDefault="00F71611" w:rsidP="00F71611">
      <w:pPr>
        <w:spacing w:after="0" w:line="360" w:lineRule="auto"/>
        <w:contextualSpacing/>
        <w:jc w:val="both"/>
        <w:rPr>
          <w:rFonts w:ascii="Palatino Linotype" w:hAnsi="Palatino Linotype" w:cs="Tahoma"/>
        </w:rPr>
      </w:pPr>
    </w:p>
    <w:p w14:paraId="1D767021" w14:textId="77777777" w:rsidR="00F71611" w:rsidRPr="00C41212" w:rsidRDefault="00F71611" w:rsidP="00F71611">
      <w:pPr>
        <w:spacing w:after="0" w:line="360" w:lineRule="auto"/>
        <w:contextualSpacing/>
        <w:jc w:val="both"/>
        <w:rPr>
          <w:rFonts w:ascii="Palatino Linotype" w:hAnsi="Palatino Linotype" w:cs="Tahoma"/>
        </w:rPr>
      </w:pPr>
    </w:p>
    <w:p w14:paraId="63B85A2F" w14:textId="77777777" w:rsidR="00F71611" w:rsidRPr="00C41212" w:rsidRDefault="00F71611" w:rsidP="00F71611">
      <w:pPr>
        <w:spacing w:after="0" w:line="360" w:lineRule="auto"/>
        <w:contextualSpacing/>
        <w:jc w:val="both"/>
        <w:rPr>
          <w:rFonts w:ascii="Palatino Linotype" w:hAnsi="Palatino Linotype" w:cs="Tahoma"/>
        </w:rPr>
      </w:pPr>
    </w:p>
    <w:p w14:paraId="32689FC2" w14:textId="77777777" w:rsidR="00F71611" w:rsidRPr="00C41212" w:rsidRDefault="00F71611" w:rsidP="00F71611">
      <w:pPr>
        <w:spacing w:after="0" w:line="360" w:lineRule="auto"/>
        <w:contextualSpacing/>
        <w:jc w:val="both"/>
        <w:rPr>
          <w:rFonts w:ascii="Palatino Linotype" w:hAnsi="Palatino Linotype" w:cs="Tahoma"/>
        </w:rPr>
      </w:pPr>
    </w:p>
    <w:p w14:paraId="72C5916B" w14:textId="77777777" w:rsidR="00F71611" w:rsidRPr="00C41212" w:rsidRDefault="00F71611" w:rsidP="00F71611">
      <w:pPr>
        <w:spacing w:after="0" w:line="360" w:lineRule="auto"/>
        <w:contextualSpacing/>
        <w:jc w:val="both"/>
        <w:rPr>
          <w:rFonts w:ascii="Palatino Linotype" w:hAnsi="Palatino Linotype" w:cs="Tahoma"/>
        </w:rPr>
      </w:pPr>
    </w:p>
    <w:p w14:paraId="20689BB3" w14:textId="77777777" w:rsidR="00F71611" w:rsidRPr="00C41212" w:rsidRDefault="00F71611" w:rsidP="00F71611">
      <w:pPr>
        <w:spacing w:after="0" w:line="360" w:lineRule="auto"/>
        <w:contextualSpacing/>
        <w:jc w:val="both"/>
        <w:rPr>
          <w:rFonts w:ascii="Palatino Linotype" w:hAnsi="Palatino Linotype" w:cs="Tahoma"/>
        </w:rPr>
      </w:pPr>
    </w:p>
    <w:p w14:paraId="6829F62B" w14:textId="77777777" w:rsidR="00F71611" w:rsidRPr="00C41212" w:rsidRDefault="00F71611" w:rsidP="00F71611">
      <w:pPr>
        <w:spacing w:line="360" w:lineRule="auto"/>
        <w:contextualSpacing/>
        <w:jc w:val="both"/>
        <w:rPr>
          <w:rFonts w:ascii="Palatino Linotype" w:hAnsi="Palatino Linotype"/>
        </w:rPr>
      </w:pPr>
    </w:p>
    <w:bookmarkEnd w:id="0"/>
    <w:p w14:paraId="2CD5CF27" w14:textId="77777777" w:rsidR="00F71611" w:rsidRPr="00C41212" w:rsidRDefault="00F71611" w:rsidP="00F71611">
      <w:pPr>
        <w:spacing w:line="360" w:lineRule="auto"/>
        <w:contextualSpacing/>
        <w:jc w:val="both"/>
        <w:rPr>
          <w:rFonts w:ascii="Palatino Linotype" w:hAnsi="Palatino Linotype"/>
        </w:rPr>
      </w:pPr>
    </w:p>
    <w:p w14:paraId="2178C47E" w14:textId="77777777" w:rsidR="00F71611" w:rsidRDefault="00F71611" w:rsidP="00F71611">
      <w:pPr>
        <w:spacing w:line="360" w:lineRule="auto"/>
        <w:contextualSpacing/>
      </w:pPr>
    </w:p>
    <w:p w14:paraId="3116C787" w14:textId="77777777" w:rsidR="00F71611" w:rsidRDefault="00F71611" w:rsidP="00F71611">
      <w:pPr>
        <w:spacing w:line="360" w:lineRule="auto"/>
        <w:contextualSpacing/>
      </w:pPr>
    </w:p>
    <w:p w14:paraId="57F6AE01" w14:textId="77777777" w:rsidR="00C33A0E" w:rsidRDefault="00C33A0E"/>
    <w:sectPr w:rsidR="00C33A0E" w:rsidSect="00F71611">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8F77A" w14:textId="77777777" w:rsidR="00350319" w:rsidRDefault="00350319" w:rsidP="00F71611">
      <w:pPr>
        <w:spacing w:after="0" w:line="240" w:lineRule="auto"/>
      </w:pPr>
      <w:r>
        <w:separator/>
      </w:r>
    </w:p>
  </w:endnote>
  <w:endnote w:type="continuationSeparator" w:id="0">
    <w:p w14:paraId="20DA9BB5" w14:textId="77777777" w:rsidR="00350319" w:rsidRDefault="00350319" w:rsidP="00F71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2940312"/>
      <w:docPartObj>
        <w:docPartGallery w:val="Page Numbers (Bottom of Page)"/>
        <w:docPartUnique/>
      </w:docPartObj>
    </w:sdtPr>
    <w:sdtContent>
      <w:sdt>
        <w:sdtPr>
          <w:id w:val="-1769616900"/>
          <w:docPartObj>
            <w:docPartGallery w:val="Page Numbers (Top of Page)"/>
            <w:docPartUnique/>
          </w:docPartObj>
        </w:sdtPr>
        <w:sdtContent>
          <w:p w14:paraId="7605EB81" w14:textId="77777777" w:rsidR="00295CE9" w:rsidRDefault="00AB198B">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705229">
              <w:rPr>
                <w:b/>
                <w:bCs/>
                <w:noProof/>
              </w:rPr>
              <w:t>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05229">
              <w:rPr>
                <w:b/>
                <w:bCs/>
                <w:noProof/>
              </w:rPr>
              <w:t>3</w:t>
            </w:r>
            <w:r>
              <w:rPr>
                <w:b/>
                <w:bCs/>
                <w:sz w:val="24"/>
                <w:szCs w:val="24"/>
              </w:rPr>
              <w:fldChar w:fldCharType="end"/>
            </w:r>
          </w:p>
        </w:sdtContent>
      </w:sdt>
    </w:sdtContent>
  </w:sdt>
  <w:p w14:paraId="5C28A4EE" w14:textId="77777777" w:rsidR="00295CE9" w:rsidRDefault="00295C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A4456" w14:textId="77777777" w:rsidR="00350319" w:rsidRDefault="00350319" w:rsidP="00F71611">
      <w:pPr>
        <w:spacing w:after="0" w:line="240" w:lineRule="auto"/>
      </w:pPr>
      <w:r>
        <w:separator/>
      </w:r>
    </w:p>
  </w:footnote>
  <w:footnote w:type="continuationSeparator" w:id="0">
    <w:p w14:paraId="7F0F2BBE" w14:textId="77777777" w:rsidR="00350319" w:rsidRDefault="00350319" w:rsidP="00F71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6096"/>
    </w:tblGrid>
    <w:tr w:rsidR="00363357" w:rsidRPr="001106EA" w14:paraId="0E14B067" w14:textId="77777777" w:rsidTr="001233CA">
      <w:trPr>
        <w:trHeight w:val="2127"/>
      </w:trPr>
      <w:tc>
        <w:tcPr>
          <w:tcW w:w="2835" w:type="dxa"/>
          <w:vAlign w:val="bottom"/>
        </w:tcPr>
        <w:p w14:paraId="51F150E5" w14:textId="77777777" w:rsidR="00295CE9" w:rsidRDefault="00AB198B" w:rsidP="0077694E">
          <w:pPr>
            <w:pStyle w:val="Encabezado"/>
            <w:tabs>
              <w:tab w:val="clear" w:pos="4252"/>
              <w:tab w:val="center" w:pos="2614"/>
            </w:tabs>
            <w:ind w:left="-255"/>
          </w:pPr>
          <w:r>
            <w:rPr>
              <w:noProof/>
              <w:sz w:val="10"/>
              <w:szCs w:val="10"/>
              <w:lang w:val="es-MX" w:eastAsia="es-MX"/>
            </w:rPr>
            <w:drawing>
              <wp:anchor distT="0" distB="0" distL="114300" distR="114300" simplePos="0" relativeHeight="251659264" behindDoc="0" locked="0" layoutInCell="1" allowOverlap="1" wp14:anchorId="68DCCD2D" wp14:editId="1D20FC8D">
                <wp:simplePos x="0" y="0"/>
                <wp:positionH relativeFrom="column">
                  <wp:posOffset>-262890</wp:posOffset>
                </wp:positionH>
                <wp:positionV relativeFrom="paragraph">
                  <wp:posOffset>-1058545</wp:posOffset>
                </wp:positionV>
                <wp:extent cx="1873250" cy="11144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14425"/>
                        </a:xfrm>
                        <a:prstGeom prst="rect">
                          <a:avLst/>
                        </a:prstGeom>
                      </pic:spPr>
                    </pic:pic>
                  </a:graphicData>
                </a:graphic>
                <wp14:sizeRelH relativeFrom="margin">
                  <wp14:pctWidth>0</wp14:pctWidth>
                </wp14:sizeRelH>
                <wp14:sizeRelV relativeFrom="margin">
                  <wp14:pctHeight>0</wp14:pctHeight>
                </wp14:sizeRelV>
              </wp:anchor>
            </w:drawing>
          </w:r>
        </w:p>
        <w:p w14:paraId="31B94CA4" w14:textId="77777777" w:rsidR="00295CE9" w:rsidRDefault="00295CE9" w:rsidP="0077694E">
          <w:pPr>
            <w:pStyle w:val="Encabezado"/>
            <w:tabs>
              <w:tab w:val="clear" w:pos="4252"/>
              <w:tab w:val="center" w:pos="2614"/>
            </w:tabs>
          </w:pPr>
        </w:p>
      </w:tc>
      <w:tc>
        <w:tcPr>
          <w:tcW w:w="6096" w:type="dxa"/>
          <w:vAlign w:val="center"/>
        </w:tcPr>
        <w:p w14:paraId="2CBDF530" w14:textId="7280E073" w:rsidR="00295CE9" w:rsidRPr="00687F82" w:rsidRDefault="00AB198B" w:rsidP="00705229">
          <w:pPr>
            <w:pStyle w:val="Encabezado"/>
            <w:ind w:left="34"/>
            <w:jc w:val="both"/>
            <w:rPr>
              <w:rFonts w:ascii="Palatino Linotype" w:hAnsi="Palatino Linotype" w:cs="Tahoma"/>
              <w:b/>
            </w:rPr>
          </w:pPr>
          <w:r w:rsidRPr="00687F82">
            <w:rPr>
              <w:rFonts w:ascii="Palatino Linotype" w:hAnsi="Palatino Linotype" w:cs="Tahoma"/>
              <w:b/>
            </w:rPr>
            <w:t>Voto Particular</w:t>
          </w:r>
        </w:p>
        <w:p w14:paraId="0E740277" w14:textId="41BCA872" w:rsidR="00295CE9" w:rsidRPr="00705229" w:rsidRDefault="00AB198B" w:rsidP="00705229">
          <w:pPr>
            <w:pStyle w:val="Encabezado"/>
            <w:ind w:left="34"/>
            <w:jc w:val="both"/>
            <w:rPr>
              <w:rFonts w:ascii="Palatino Linotype" w:hAnsi="Palatino Linotype" w:cs="Tahoma"/>
              <w:b/>
            </w:rPr>
          </w:pPr>
          <w:r w:rsidRPr="00687F82">
            <w:rPr>
              <w:rFonts w:ascii="Palatino Linotype" w:hAnsi="Palatino Linotype" w:cs="Tahoma"/>
              <w:b/>
            </w:rPr>
            <w:t>Recurso de Revisión:</w:t>
          </w:r>
          <w:r w:rsidR="00705229">
            <w:rPr>
              <w:rFonts w:ascii="Palatino Linotype" w:hAnsi="Palatino Linotype" w:cs="Tahoma"/>
              <w:b/>
            </w:rPr>
            <w:t xml:space="preserve"> </w:t>
          </w:r>
          <w:r w:rsidR="00705229" w:rsidRPr="00705229">
            <w:rPr>
              <w:rFonts w:ascii="Palatino Linotype" w:eastAsia="Palatino Linotype" w:hAnsi="Palatino Linotype" w:cs="Palatino Linotype"/>
              <w:b/>
            </w:rPr>
            <w:t>00469/INFOEM/IP/RR/2025 y acumulado</w:t>
          </w:r>
        </w:p>
        <w:p w14:paraId="138F4269" w14:textId="1ADB7453" w:rsidR="00295CE9" w:rsidRPr="001233CA" w:rsidRDefault="00AB198B" w:rsidP="00705229">
          <w:pPr>
            <w:pStyle w:val="Encabezado"/>
            <w:ind w:left="34"/>
            <w:jc w:val="both"/>
            <w:rPr>
              <w:rFonts w:ascii="Palatino Linotype" w:eastAsia="Palatino Linotype" w:hAnsi="Palatino Linotype" w:cs="Palatino Linotype"/>
            </w:rPr>
          </w:pPr>
          <w:r w:rsidRPr="00687F82">
            <w:rPr>
              <w:rFonts w:ascii="Palatino Linotype" w:hAnsi="Palatino Linotype" w:cs="Tahoma"/>
              <w:b/>
            </w:rPr>
            <w:t>Sujeto Obligado:</w:t>
          </w:r>
          <w:r w:rsidRPr="00687F82">
            <w:rPr>
              <w:rFonts w:ascii="Palatino Linotype" w:hAnsi="Palatino Linotype" w:cs="Tahoma"/>
              <w:bCs/>
            </w:rPr>
            <w:t xml:space="preserve"> </w:t>
          </w:r>
          <w:r w:rsidR="00705229">
            <w:rPr>
              <w:rFonts w:ascii="Palatino Linotype" w:eastAsia="Palatino Linotype" w:hAnsi="Palatino Linotype" w:cs="Palatino Linotype"/>
              <w:b/>
              <w:color w:val="000000"/>
            </w:rPr>
            <w:t>Ayuntamiento de La Paz</w:t>
          </w:r>
        </w:p>
        <w:p w14:paraId="79F36BF1" w14:textId="03289119" w:rsidR="00295CE9" w:rsidRPr="00687F82" w:rsidRDefault="00AB198B" w:rsidP="00705229">
          <w:pPr>
            <w:pStyle w:val="Encabezado"/>
            <w:ind w:left="34"/>
            <w:jc w:val="both"/>
            <w:rPr>
              <w:rFonts w:ascii="Palatino Linotype" w:hAnsi="Palatino Linotype" w:cs="Tahoma"/>
              <w:bCs/>
            </w:rPr>
          </w:pPr>
          <w:r w:rsidRPr="00687F82">
            <w:rPr>
              <w:rFonts w:ascii="Palatino Linotype" w:hAnsi="Palatino Linotype" w:cs="Tahoma"/>
              <w:b/>
            </w:rPr>
            <w:t xml:space="preserve">Comisionada Ponente: </w:t>
          </w:r>
          <w:r w:rsidR="00705229">
            <w:rPr>
              <w:rFonts w:ascii="Palatino Linotype" w:eastAsia="Palatino Linotype" w:hAnsi="Palatino Linotype" w:cs="Palatino Linotype"/>
              <w:b/>
              <w:color w:val="000000"/>
            </w:rPr>
            <w:t>Guadalupe Ramírez Peña</w:t>
          </w:r>
        </w:p>
        <w:p w14:paraId="0A80E66E" w14:textId="77777777" w:rsidR="00295CE9" w:rsidRPr="001106EA" w:rsidRDefault="00295CE9" w:rsidP="00705229">
          <w:pPr>
            <w:pStyle w:val="Encabezado"/>
            <w:ind w:left="1168"/>
            <w:jc w:val="both"/>
            <w:rPr>
              <w:rFonts w:ascii="Tahoma" w:hAnsi="Tahoma" w:cs="Tahoma"/>
            </w:rPr>
          </w:pPr>
        </w:p>
      </w:tc>
    </w:tr>
  </w:tbl>
  <w:p w14:paraId="4AC019DD" w14:textId="77777777" w:rsidR="00295CE9" w:rsidRPr="001106EA" w:rsidRDefault="00295CE9">
    <w:pPr>
      <w:pStyle w:val="Encabezad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3F946058"/>
    <w:multiLevelType w:val="hybridMultilevel"/>
    <w:tmpl w:val="590212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9651B16"/>
    <w:multiLevelType w:val="hybridMultilevel"/>
    <w:tmpl w:val="E70442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23489111">
    <w:abstractNumId w:val="1"/>
  </w:num>
  <w:num w:numId="2" w16cid:durableId="862134775">
    <w:abstractNumId w:val="0"/>
  </w:num>
  <w:num w:numId="3" w16cid:durableId="575550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611"/>
    <w:rsid w:val="00070861"/>
    <w:rsid w:val="00095785"/>
    <w:rsid w:val="001233CA"/>
    <w:rsid w:val="0018358E"/>
    <w:rsid w:val="001B2C1D"/>
    <w:rsid w:val="00295CE9"/>
    <w:rsid w:val="002F284B"/>
    <w:rsid w:val="00350319"/>
    <w:rsid w:val="00460A73"/>
    <w:rsid w:val="0048492E"/>
    <w:rsid w:val="005F7525"/>
    <w:rsid w:val="006166D0"/>
    <w:rsid w:val="00705229"/>
    <w:rsid w:val="008454C8"/>
    <w:rsid w:val="00A3684F"/>
    <w:rsid w:val="00AB198B"/>
    <w:rsid w:val="00AC2693"/>
    <w:rsid w:val="00C33A0E"/>
    <w:rsid w:val="00D15627"/>
    <w:rsid w:val="00D9211B"/>
    <w:rsid w:val="00DD4243"/>
    <w:rsid w:val="00E06552"/>
    <w:rsid w:val="00EB4BB6"/>
    <w:rsid w:val="00F71611"/>
    <w:rsid w:val="00FB79AE"/>
    <w:rsid w:val="00FD33A3"/>
    <w:rsid w:val="00FD7F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1B1B9"/>
  <w15:chartTrackingRefBased/>
  <w15:docId w15:val="{D48671BF-06E4-4536-8DB5-75147952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611"/>
    <w:rPr>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16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71611"/>
    <w:rPr>
      <w:kern w:val="0"/>
      <w:lang w:val="es-ES"/>
      <w14:ligatures w14:val="none"/>
    </w:rPr>
  </w:style>
  <w:style w:type="paragraph" w:styleId="Piedepgina">
    <w:name w:val="footer"/>
    <w:basedOn w:val="Normal"/>
    <w:link w:val="PiedepginaCar"/>
    <w:uiPriority w:val="99"/>
    <w:unhideWhenUsed/>
    <w:rsid w:val="00F716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71611"/>
    <w:rPr>
      <w:kern w:val="0"/>
      <w:lang w:val="es-ES"/>
      <w14:ligatures w14:val="none"/>
    </w:rPr>
  </w:style>
  <w:style w:type="table" w:styleId="Tablaconcuadrcula">
    <w:name w:val="Table Grid"/>
    <w:basedOn w:val="Tablanormal"/>
    <w:uiPriority w:val="39"/>
    <w:rsid w:val="00F71611"/>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71611"/>
    <w:pPr>
      <w:spacing w:after="0" w:line="240" w:lineRule="auto"/>
    </w:pPr>
    <w:rPr>
      <w:kern w:val="0"/>
      <w:lang w:val="es-ES"/>
      <w14:ligatures w14:val="none"/>
    </w:rPr>
  </w:style>
  <w:style w:type="character" w:customStyle="1" w:styleId="15">
    <w:name w:val="15"/>
    <w:basedOn w:val="Fuentedeprrafopredeter"/>
    <w:rsid w:val="00F71611"/>
    <w:rPr>
      <w:rFonts w:ascii="Calibri" w:hAnsi="Calibri" w:cs="Calibri" w:hint="default"/>
      <w:color w:val="0563C1"/>
      <w:u w:val="singl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70861"/>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70861"/>
    <w:rPr>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2613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inf03m_31@outlook.com</cp:lastModifiedBy>
  <cp:revision>3</cp:revision>
  <cp:lastPrinted>2024-11-29T00:50:00Z</cp:lastPrinted>
  <dcterms:created xsi:type="dcterms:W3CDTF">2025-03-03T17:51:00Z</dcterms:created>
  <dcterms:modified xsi:type="dcterms:W3CDTF">2025-03-03T19:18:00Z</dcterms:modified>
</cp:coreProperties>
</file>