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77" w:rsidRDefault="00FB612B">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EA3F65">
        <w:rPr>
          <w:rFonts w:ascii="Palatino Linotype" w:eastAsia="Palatino Linotype" w:hAnsi="Palatino Linotype" w:cs="Palatino Linotype"/>
          <w:b/>
        </w:rPr>
        <w:t>NOVENA</w:t>
      </w:r>
      <w:r>
        <w:rPr>
          <w:rFonts w:ascii="Palatino Linotype" w:eastAsia="Palatino Linotype" w:hAnsi="Palatino Linotype" w:cs="Palatino Linotype"/>
          <w:b/>
        </w:rPr>
        <w:t xml:space="preserve"> ORDINARIA DEL </w:t>
      </w:r>
      <w:r w:rsidR="00EA3F65">
        <w:rPr>
          <w:rFonts w:ascii="Palatino Linotype" w:eastAsia="Palatino Linotype" w:hAnsi="Palatino Linotype" w:cs="Palatino Linotype"/>
          <w:b/>
        </w:rPr>
        <w:t>DOCE DE MARZO DE DO</w:t>
      </w:r>
      <w:r>
        <w:rPr>
          <w:rFonts w:ascii="Palatino Linotype" w:eastAsia="Palatino Linotype" w:hAnsi="Palatino Linotype" w:cs="Palatino Linotype"/>
          <w:b/>
        </w:rPr>
        <w:t>S MIL VEINTICINCO EN EL RECURSO DE REVISIÓN 0</w:t>
      </w:r>
      <w:r w:rsidR="00EA3F65">
        <w:rPr>
          <w:rFonts w:ascii="Palatino Linotype" w:eastAsia="Palatino Linotype" w:hAnsi="Palatino Linotype" w:cs="Palatino Linotype"/>
          <w:b/>
        </w:rPr>
        <w:t>1065</w:t>
      </w:r>
      <w:r>
        <w:rPr>
          <w:rFonts w:ascii="Palatino Linotype" w:eastAsia="Palatino Linotype" w:hAnsi="Palatino Linotype" w:cs="Palatino Linotype"/>
          <w:b/>
          <w:color w:val="000000"/>
        </w:rPr>
        <w:t>/INFOEM/IP/RR/2025.</w:t>
      </w:r>
    </w:p>
    <w:p w:rsidR="00486777" w:rsidRDefault="00FB612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EA3F65">
        <w:rPr>
          <w:rFonts w:ascii="Palatino Linotype" w:eastAsia="Palatino Linotype" w:hAnsi="Palatino Linotype" w:cs="Palatino Linotype"/>
          <w:b/>
          <w:color w:val="000000"/>
        </w:rPr>
        <w:t>1065</w:t>
      </w:r>
      <w:r>
        <w:rPr>
          <w:rFonts w:ascii="Palatino Linotype" w:eastAsia="Palatino Linotype" w:hAnsi="Palatino Linotype" w:cs="Palatino Linotype"/>
          <w:b/>
          <w:color w:val="000000"/>
        </w:rPr>
        <w:t>/INFOEM/IP/RR/2025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486777" w:rsidRDefault="00FB612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sin embargo, es preciso mencionar que, el presente voto se formula en relación con los argumentos señalados en la misma, particularmente por considerar que la fotografía de los servidores públicos sin importar el nivel o cargo y en cualquier documento que se encuentre vinculado con el cumplimiento de disposiciones legales debe ser pública. </w:t>
      </w:r>
    </w:p>
    <w:p w:rsidR="00486777" w:rsidRDefault="00FB612B">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FB612B" w:rsidRPr="00FB612B" w:rsidRDefault="00FB612B" w:rsidP="00EA3F65">
      <w:pPr>
        <w:spacing w:line="240" w:lineRule="auto"/>
        <w:ind w:left="567" w:right="616"/>
        <w:jc w:val="both"/>
        <w:rPr>
          <w:rFonts w:ascii="Palatino Linotype" w:hAnsi="Palatino Linotype" w:cs="Tahoma"/>
          <w:b/>
          <w:bCs/>
          <w:i/>
          <w:iCs/>
          <w:color w:val="000000"/>
          <w:lang w:eastAsia="en-US"/>
        </w:rPr>
      </w:pPr>
      <w:r w:rsidRPr="00FB612B">
        <w:rPr>
          <w:rFonts w:ascii="Palatino Linotype" w:eastAsia="Palatino Linotype" w:hAnsi="Palatino Linotype" w:cs="Palatino Linotype"/>
          <w:i/>
          <w:sz w:val="20"/>
          <w:szCs w:val="20"/>
        </w:rPr>
        <w:lastRenderedPageBreak/>
        <w:t>“</w:t>
      </w:r>
      <w:r>
        <w:rPr>
          <w:rFonts w:ascii="Palatino Linotype" w:eastAsia="Palatino Linotype" w:hAnsi="Palatino Linotype" w:cs="Palatino Linotype"/>
          <w:i/>
          <w:sz w:val="20"/>
          <w:szCs w:val="20"/>
        </w:rPr>
        <w:t>...</w:t>
      </w:r>
    </w:p>
    <w:p w:rsidR="00EA3F65" w:rsidRPr="00EA3F65" w:rsidRDefault="00EA3F65" w:rsidP="00EA3F65">
      <w:pPr>
        <w:pStyle w:val="Prrafodelista"/>
        <w:spacing w:before="120" w:after="120"/>
        <w:ind w:left="567" w:right="616"/>
        <w:contextualSpacing w:val="0"/>
        <w:jc w:val="both"/>
        <w:rPr>
          <w:rFonts w:ascii="Palatino Linotype" w:hAnsi="Palatino Linotype"/>
          <w:i/>
          <w:sz w:val="22"/>
        </w:rPr>
      </w:pPr>
      <w:r w:rsidRPr="00EA3F65">
        <w:rPr>
          <w:rFonts w:ascii="Palatino Linotype" w:hAnsi="Palatino Linotype"/>
          <w:b/>
          <w:bCs/>
          <w:i/>
          <w:sz w:val="22"/>
        </w:rPr>
        <w:t>Fotografía:</w:t>
      </w:r>
      <w:r w:rsidRPr="00EA3F65">
        <w:rPr>
          <w:rFonts w:ascii="Palatino Linotype" w:hAnsi="Palatino Linotype"/>
          <w:i/>
          <w:sz w:val="22"/>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r w:rsidRPr="00EA3F65">
        <w:rPr>
          <w:rFonts w:ascii="Palatino Linotype" w:hAnsi="Palatino Linotype"/>
          <w:i/>
          <w:sz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EA3F65" w:rsidRPr="00EA3F65" w:rsidRDefault="00EA3F65" w:rsidP="00EA3F65">
      <w:pPr>
        <w:pStyle w:val="Prrafodelista"/>
        <w:spacing w:before="120" w:after="120"/>
        <w:ind w:left="567" w:right="616" w:hanging="11"/>
        <w:contextualSpacing w:val="0"/>
        <w:jc w:val="both"/>
        <w:rPr>
          <w:rFonts w:ascii="Palatino Linotype" w:hAnsi="Palatino Linotype"/>
          <w:i/>
          <w:sz w:val="22"/>
        </w:rPr>
      </w:pPr>
      <w:bookmarkStart w:id="1" w:name="_GoBack"/>
      <w:bookmarkEnd w:id="1"/>
      <w:r w:rsidRPr="00EA3F65">
        <w:rPr>
          <w:rFonts w:ascii="Palatino Linotype" w:hAnsi="Palatino Linotype"/>
          <w:i/>
          <w:sz w:val="22"/>
        </w:rPr>
        <w:t xml:space="preserve">Cabe hacer la aclaración que aquellos documentos que sean clasificados en su totalidad por no revestir de interés público, como lo es la credencial de elector, la fotografía correrá </w:t>
      </w:r>
      <w:r w:rsidRPr="00EA3F65">
        <w:rPr>
          <w:rFonts w:ascii="Palatino Linotype" w:hAnsi="Palatino Linotype"/>
          <w:i/>
          <w:sz w:val="22"/>
        </w:rPr>
        <w:lastRenderedPageBreak/>
        <w:t>la misma suerte que el documento en cuestión, únicamente para dicha expresión documental.</w:t>
      </w:r>
    </w:p>
    <w:p w:rsidR="00486777" w:rsidRPr="00FB612B" w:rsidRDefault="00EA3F65" w:rsidP="00EA3F65">
      <w:pPr>
        <w:tabs>
          <w:tab w:val="left" w:pos="4962"/>
        </w:tabs>
        <w:spacing w:before="120" w:after="120" w:line="240" w:lineRule="auto"/>
        <w:ind w:left="567" w:right="616"/>
        <w:jc w:val="both"/>
        <w:rPr>
          <w:rFonts w:ascii="Palatino Linotype" w:eastAsia="Palatino Linotype" w:hAnsi="Palatino Linotype" w:cs="Palatino Linotype"/>
          <w:i/>
          <w:sz w:val="20"/>
          <w:szCs w:val="20"/>
        </w:rPr>
      </w:pPr>
      <w:r w:rsidRPr="00FB612B">
        <w:rPr>
          <w:rFonts w:ascii="Palatino Linotype" w:eastAsia="Palatino Linotype" w:hAnsi="Palatino Linotype" w:cs="Palatino Linotype"/>
          <w:i/>
          <w:sz w:val="20"/>
          <w:szCs w:val="20"/>
        </w:rPr>
        <w:t xml:space="preserve"> </w:t>
      </w:r>
      <w:r w:rsidR="00FB612B" w:rsidRPr="00FB612B">
        <w:rPr>
          <w:rFonts w:ascii="Palatino Linotype" w:eastAsia="Palatino Linotype" w:hAnsi="Palatino Linotype" w:cs="Palatino Linotype"/>
          <w:i/>
          <w:sz w:val="20"/>
          <w:szCs w:val="20"/>
        </w:rPr>
        <w:t>[…]</w:t>
      </w:r>
      <w:r w:rsidR="00FB612B" w:rsidRPr="00FB612B">
        <w:rPr>
          <w:rFonts w:ascii="Palatino Linotype" w:eastAsia="Palatino Linotype" w:hAnsi="Palatino Linotype" w:cs="Palatino Linotype"/>
          <w:i/>
          <w:color w:val="000000"/>
          <w:sz w:val="20"/>
          <w:szCs w:val="20"/>
        </w:rPr>
        <w:t>”</w:t>
      </w:r>
    </w:p>
    <w:p w:rsidR="00486777" w:rsidRDefault="00FB612B">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486777" w:rsidRDefault="00FB612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486777" w:rsidRDefault="00FB612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w:t>
      </w:r>
      <w:r>
        <w:rPr>
          <w:rFonts w:ascii="Palatino Linotype" w:eastAsia="Palatino Linotype" w:hAnsi="Palatino Linotype" w:cs="Palatino Linotype"/>
        </w:rPr>
        <w:lastRenderedPageBreak/>
        <w:t>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486777" w:rsidRDefault="00FB612B">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486777" w:rsidRDefault="00FB612B">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486777" w:rsidRDefault="00FB612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486777" w:rsidRDefault="00FB612B">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spacing w:after="0" w:line="360" w:lineRule="auto"/>
        <w:ind w:right="423"/>
        <w:jc w:val="both"/>
        <w:rPr>
          <w:rFonts w:ascii="Palatino Linotype" w:eastAsia="Palatino Linotype" w:hAnsi="Palatino Linotype" w:cs="Palatino Linotype"/>
        </w:rPr>
      </w:pPr>
    </w:p>
    <w:p w:rsidR="00486777" w:rsidRDefault="00486777">
      <w:pPr>
        <w:tabs>
          <w:tab w:val="left" w:pos="709"/>
        </w:tabs>
        <w:spacing w:after="0" w:line="360" w:lineRule="auto"/>
        <w:jc w:val="both"/>
        <w:rPr>
          <w:rFonts w:ascii="Palatino Linotype" w:eastAsia="Palatino Linotype" w:hAnsi="Palatino Linotype" w:cs="Palatino Linotype"/>
          <w:b/>
        </w:rPr>
      </w:pPr>
    </w:p>
    <w:sectPr w:rsidR="00486777">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77" w:rsidRDefault="00FB612B">
      <w:pPr>
        <w:spacing w:after="0" w:line="240" w:lineRule="auto"/>
      </w:pPr>
      <w:r>
        <w:separator/>
      </w:r>
    </w:p>
  </w:endnote>
  <w:endnote w:type="continuationSeparator" w:id="0">
    <w:p w:rsidR="00CE7977" w:rsidRDefault="00FB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77" w:rsidRDefault="00FB612B">
      <w:pPr>
        <w:spacing w:after="0" w:line="240" w:lineRule="auto"/>
      </w:pPr>
      <w:r>
        <w:separator/>
      </w:r>
    </w:p>
  </w:footnote>
  <w:footnote w:type="continuationSeparator" w:id="0">
    <w:p w:rsidR="00CE7977" w:rsidRDefault="00FB6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77" w:rsidRDefault="00486777">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486777" w:rsidTr="003E29D0">
      <w:tc>
        <w:tcPr>
          <w:tcW w:w="2410" w:type="dxa"/>
          <w:vAlign w:val="center"/>
        </w:tcPr>
        <w:p w:rsidR="00486777" w:rsidRDefault="004867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486777" w:rsidRDefault="00FB61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86777" w:rsidTr="003E29D0">
      <w:tc>
        <w:tcPr>
          <w:tcW w:w="2410" w:type="dxa"/>
          <w:vAlign w:val="center"/>
        </w:tcPr>
        <w:p w:rsidR="00486777" w:rsidRDefault="00FB612B" w:rsidP="00FB612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486777" w:rsidRDefault="00B750D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01065</w:t>
          </w:r>
          <w:r w:rsidR="00FB612B">
            <w:rPr>
              <w:rFonts w:ascii="Palatino Linotype" w:eastAsia="Palatino Linotype" w:hAnsi="Palatino Linotype" w:cs="Palatino Linotype"/>
              <w:b/>
              <w:color w:val="000000"/>
              <w:sz w:val="20"/>
              <w:szCs w:val="20"/>
            </w:rPr>
            <w:t>/INFOEM/IP/RR/2025</w:t>
          </w:r>
        </w:p>
      </w:tc>
    </w:tr>
    <w:tr w:rsidR="00486777" w:rsidTr="003E29D0">
      <w:tc>
        <w:tcPr>
          <w:tcW w:w="2410" w:type="dxa"/>
        </w:tcPr>
        <w:p w:rsidR="00486777" w:rsidRDefault="00FB612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486777" w:rsidRDefault="00EA3F65">
          <w:pPr>
            <w:tabs>
              <w:tab w:val="center" w:pos="4419"/>
              <w:tab w:val="right" w:pos="8838"/>
            </w:tabs>
            <w:jc w:val="both"/>
            <w:rPr>
              <w:rFonts w:ascii="Palatino Linotype" w:eastAsia="Palatino Linotype" w:hAnsi="Palatino Linotype" w:cs="Palatino Linotype"/>
              <w:b/>
              <w:color w:val="000000"/>
              <w:sz w:val="20"/>
              <w:szCs w:val="20"/>
            </w:rPr>
          </w:pPr>
          <w:r w:rsidRPr="00EA3F65">
            <w:rPr>
              <w:rFonts w:ascii="Palatino Linotype" w:eastAsia="Palatino Linotype" w:hAnsi="Palatino Linotype" w:cs="Palatino Linotype"/>
              <w:b/>
              <w:color w:val="000000"/>
              <w:sz w:val="20"/>
              <w:szCs w:val="20"/>
            </w:rPr>
            <w:t>Sistema Municipal Para el Desarrollo Integral de la Familia de Chimalhuacán</w:t>
          </w:r>
        </w:p>
      </w:tc>
    </w:tr>
    <w:tr w:rsidR="00486777" w:rsidTr="003E29D0">
      <w:tc>
        <w:tcPr>
          <w:tcW w:w="2410" w:type="dxa"/>
        </w:tcPr>
        <w:p w:rsidR="00486777" w:rsidRDefault="003E29D0" w:rsidP="003E29D0">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w:t>
          </w:r>
          <w:r w:rsidR="00FB612B">
            <w:rPr>
              <w:rFonts w:ascii="Palatino Linotype" w:eastAsia="Palatino Linotype" w:hAnsi="Palatino Linotype" w:cs="Palatino Linotype"/>
              <w:b/>
              <w:color w:val="000000"/>
              <w:sz w:val="20"/>
              <w:szCs w:val="20"/>
            </w:rPr>
            <w:t>Ponente:</w:t>
          </w:r>
        </w:p>
      </w:tc>
      <w:tc>
        <w:tcPr>
          <w:tcW w:w="3397" w:type="dxa"/>
        </w:tcPr>
        <w:p w:rsidR="00486777" w:rsidRDefault="00EA3F6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EA3F65">
            <w:rPr>
              <w:rFonts w:ascii="Palatino Linotype" w:eastAsia="Palatino Linotype" w:hAnsi="Palatino Linotype" w:cs="Palatino Linotype"/>
              <w:b/>
              <w:color w:val="000000"/>
              <w:sz w:val="20"/>
              <w:szCs w:val="20"/>
            </w:rPr>
            <w:t>José Martínez Vilchis</w:t>
          </w:r>
        </w:p>
      </w:tc>
    </w:tr>
  </w:tbl>
  <w:p w:rsidR="00486777" w:rsidRDefault="00FB612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77"/>
    <w:rsid w:val="003E29D0"/>
    <w:rsid w:val="00486777"/>
    <w:rsid w:val="006A6131"/>
    <w:rsid w:val="00B00DE0"/>
    <w:rsid w:val="00B750D9"/>
    <w:rsid w:val="00CE7977"/>
    <w:rsid w:val="00EA3F65"/>
    <w:rsid w:val="00FB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719FD-8F7C-4BF1-9BE5-85B798D0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SnzxvdSqLWcHVm3Ua7UDrRtsQ==">CgMxLjAyCGguZ2pkZ3hzMg5oLnNlem5rMHYza3dkcDIOaC54ZXpyMG9rZDU3dG4yCWguMmV0OTJwMDIJaC4zMGowemxsMgloLjFmb2I5dGU4AHIhMVcxOF9oZzdERmlmQ2hNYnc4bTZyWDg5VGM4OEsycWlk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5</cp:revision>
  <dcterms:created xsi:type="dcterms:W3CDTF">2025-03-14T20:41:00Z</dcterms:created>
  <dcterms:modified xsi:type="dcterms:W3CDTF">2025-03-14T20:46:00Z</dcterms:modified>
</cp:coreProperties>
</file>