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3F" w:rsidRPr="009D1950" w:rsidRDefault="00D81A9F">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9D1950">
        <w:rPr>
          <w:rFonts w:ascii="Palatino Linotype" w:eastAsia="Palatino Linotype" w:hAnsi="Palatino Linotype" w:cs="Palatino Linotype"/>
          <w:b/>
        </w:rPr>
        <w:t>QUINTA</w:t>
      </w:r>
      <w:r>
        <w:rPr>
          <w:rFonts w:ascii="Palatino Linotype" w:eastAsia="Palatino Linotype" w:hAnsi="Palatino Linotype" w:cs="Palatino Linotype"/>
          <w:b/>
        </w:rPr>
        <w:t xml:space="preserve"> SESIÓN ORDINARIA DEL </w:t>
      </w:r>
      <w:r w:rsidR="009D1950">
        <w:rPr>
          <w:rFonts w:ascii="Palatino Linotype" w:eastAsia="Palatino Linotype" w:hAnsi="Palatino Linotype" w:cs="Palatino Linotype"/>
          <w:b/>
        </w:rPr>
        <w:t>TREINTA</w:t>
      </w:r>
      <w:r>
        <w:rPr>
          <w:rFonts w:ascii="Palatino Linotype" w:eastAsia="Palatino Linotype" w:hAnsi="Palatino Linotype" w:cs="Palatino Linotype"/>
          <w:b/>
        </w:rPr>
        <w:t xml:space="preserve"> DE </w:t>
      </w:r>
      <w:r w:rsidR="009332C0">
        <w:rPr>
          <w:rFonts w:ascii="Palatino Linotype" w:eastAsia="Palatino Linotype" w:hAnsi="Palatino Linotype" w:cs="Palatino Linotype"/>
          <w:b/>
        </w:rPr>
        <w:t>ABRIL</w:t>
      </w:r>
      <w:r>
        <w:rPr>
          <w:rFonts w:ascii="Palatino Linotype" w:eastAsia="Palatino Linotype" w:hAnsi="Palatino Linotype" w:cs="Palatino Linotype"/>
          <w:b/>
        </w:rPr>
        <w:t xml:space="preserve"> DE DOS MIL VEINTICINCO EN EL RECURSO DE REVISIÓN </w:t>
      </w:r>
      <w:r w:rsidR="009D1950" w:rsidRPr="009D1950">
        <w:rPr>
          <w:rFonts w:ascii="Palatino Linotype" w:eastAsia="Palatino Linotype" w:hAnsi="Palatino Linotype" w:cs="Palatino Linotype"/>
          <w:b/>
          <w:color w:val="000000"/>
        </w:rPr>
        <w:t>02630/INFOEM/IP/RR/2025</w:t>
      </w:r>
      <w:r w:rsidRPr="009D1950">
        <w:rPr>
          <w:rFonts w:ascii="Palatino Linotype" w:eastAsia="Palatino Linotype" w:hAnsi="Palatino Linotype" w:cs="Palatino Linotype"/>
          <w:b/>
          <w:color w:val="000000"/>
        </w:rPr>
        <w:t>.</w:t>
      </w:r>
      <w:bookmarkStart w:id="1" w:name="_GoBack"/>
      <w:bookmarkEnd w:id="1"/>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9D1950" w:rsidRPr="009D1950">
        <w:rPr>
          <w:rFonts w:ascii="Palatino Linotype" w:eastAsia="Palatino Linotype" w:hAnsi="Palatino Linotype" w:cs="Palatino Linotype"/>
          <w:b/>
          <w:color w:val="000000"/>
          <w:szCs w:val="20"/>
        </w:rPr>
        <w:t>02630/INFOEM/IP/RR/2025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2D213F" w:rsidRPr="004D10AB" w:rsidRDefault="00D81A9F">
      <w:pPr>
        <w:spacing w:after="0" w:line="360" w:lineRule="auto"/>
        <w:ind w:right="-93"/>
        <w:jc w:val="both"/>
        <w:rPr>
          <w:rFonts w:ascii="Palatino Linotype" w:eastAsia="Palatino Linotype" w:hAnsi="Palatino Linotype" w:cs="Palatino Linotype"/>
        </w:rPr>
      </w:pPr>
      <w:r w:rsidRPr="004D10AB">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2D213F" w:rsidRPr="004D10AB" w:rsidRDefault="002D213F">
      <w:pPr>
        <w:spacing w:after="0" w:line="360" w:lineRule="auto"/>
        <w:jc w:val="both"/>
        <w:rPr>
          <w:rFonts w:ascii="Palatino Linotype" w:eastAsia="Palatino Linotype" w:hAnsi="Palatino Linotype" w:cs="Palatino Linotype"/>
        </w:rPr>
      </w:pPr>
    </w:p>
    <w:p w:rsidR="002D213F" w:rsidRPr="004D10AB" w:rsidRDefault="00D81A9F">
      <w:pPr>
        <w:spacing w:after="0" w:line="360" w:lineRule="auto"/>
        <w:jc w:val="both"/>
        <w:rPr>
          <w:rFonts w:ascii="Palatino Linotype" w:eastAsia="Palatino Linotype" w:hAnsi="Palatino Linotype" w:cs="Palatino Linotype"/>
        </w:rPr>
      </w:pPr>
      <w:r w:rsidRPr="004D10AB">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sidRPr="004D10AB">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rsidR="002D213F" w:rsidRDefault="00D81A9F">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9D1950" w:rsidRPr="009D1950" w:rsidRDefault="00D81A9F" w:rsidP="009D1950">
      <w:pPr>
        <w:spacing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w:t>
      </w:r>
      <w:r w:rsidR="009D1950" w:rsidRPr="009D1950">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9D1950" w:rsidRPr="009D1950"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9D1950" w:rsidRPr="009D1950"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w:t>
      </w:r>
      <w:r w:rsidRPr="009D1950">
        <w:rPr>
          <w:rFonts w:ascii="Palatino Linotype" w:eastAsia="Palatino Linotype" w:hAnsi="Palatino Linotype" w:cs="Palatino Linotype"/>
          <w:i/>
        </w:rPr>
        <w:lastRenderedPageBreak/>
        <w:t>Pleno de este Instituto ya se ha pronunciado en el sentido de que la información que los haga identificados o identificables debe clasificarse como reservada).</w:t>
      </w:r>
    </w:p>
    <w:p w:rsidR="009D1950" w:rsidRPr="009D1950"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9D1950" w:rsidRPr="009D1950"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9D1950" w:rsidRPr="009D1950"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w:t>
      </w:r>
      <w:r w:rsidRPr="009D1950">
        <w:rPr>
          <w:rFonts w:ascii="Palatino Linotype" w:eastAsia="Palatino Linotype" w:hAnsi="Palatino Linotype" w:cs="Palatino Linotype"/>
          <w:i/>
        </w:rPr>
        <w:lastRenderedPageBreak/>
        <w:t>diferenciador para determinar la publicidad o clasificación el cargo o nivel jerárquico en el que se desempeñe el servidor público.</w:t>
      </w:r>
    </w:p>
    <w:p w:rsidR="009D1950" w:rsidRPr="009D1950"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2D213F" w:rsidRPr="004D10AB" w:rsidRDefault="009D1950" w:rsidP="009D1950">
      <w:pPr>
        <w:spacing w:line="360" w:lineRule="auto"/>
        <w:ind w:left="426" w:right="333"/>
        <w:jc w:val="both"/>
        <w:rPr>
          <w:rFonts w:ascii="Palatino Linotype" w:eastAsia="Palatino Linotype" w:hAnsi="Palatino Linotype" w:cs="Palatino Linotype"/>
          <w:i/>
        </w:rPr>
      </w:pPr>
      <w:r w:rsidRPr="009D1950">
        <w:rPr>
          <w:rFonts w:ascii="Palatino Linotype" w:eastAsia="Palatino Linotype" w:hAnsi="Palatino Linotype" w:cs="Palatino Linotype"/>
          <w:i/>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roofErr w:type="gramStart"/>
      <w:r w:rsidRPr="009D1950">
        <w:rPr>
          <w:rFonts w:ascii="Palatino Linotype" w:eastAsia="Palatino Linotype" w:hAnsi="Palatino Linotype" w:cs="Palatino Linotype"/>
          <w:i/>
        </w:rPr>
        <w:t>.</w:t>
      </w:r>
      <w:r w:rsidR="009332C0" w:rsidRPr="009332C0">
        <w:rPr>
          <w:rFonts w:ascii="Palatino Linotype" w:eastAsia="Palatino Linotype" w:hAnsi="Palatino Linotype" w:cs="Palatino Linotype"/>
          <w:i/>
        </w:rPr>
        <w:t>.</w:t>
      </w:r>
      <w:proofErr w:type="gramEnd"/>
      <w:r w:rsidR="00D81A9F" w:rsidRPr="004D10AB">
        <w:rPr>
          <w:rFonts w:ascii="Palatino Linotype" w:eastAsia="Palatino Linotype" w:hAnsi="Palatino Linotype" w:cs="Palatino Linotype"/>
          <w:i/>
        </w:rPr>
        <w:t xml:space="preserve"> […]</w:t>
      </w:r>
      <w:r w:rsidR="00D81A9F" w:rsidRPr="004D10AB">
        <w:rPr>
          <w:rFonts w:ascii="Palatino Linotype" w:eastAsia="Palatino Linotype" w:hAnsi="Palatino Linotype" w:cs="Palatino Linotype"/>
          <w:i/>
          <w:color w:val="000000"/>
        </w:rPr>
        <w:t>”</w:t>
      </w:r>
    </w:p>
    <w:p w:rsidR="002D213F" w:rsidRDefault="00D81A9F">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2D213F" w:rsidRDefault="00D81A9F">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2D213F" w:rsidRDefault="00D81A9F">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lastRenderedPageBreak/>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2D213F" w:rsidRDefault="00D81A9F">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spacing w:after="0" w:line="360" w:lineRule="auto"/>
        <w:ind w:right="423"/>
        <w:jc w:val="both"/>
        <w:rPr>
          <w:rFonts w:ascii="Palatino Linotype" w:eastAsia="Palatino Linotype" w:hAnsi="Palatino Linotype" w:cs="Palatino Linotype"/>
        </w:rPr>
      </w:pPr>
    </w:p>
    <w:p w:rsidR="002D213F" w:rsidRDefault="002D213F">
      <w:pPr>
        <w:tabs>
          <w:tab w:val="left" w:pos="709"/>
        </w:tabs>
        <w:spacing w:after="0" w:line="360" w:lineRule="auto"/>
        <w:jc w:val="both"/>
        <w:rPr>
          <w:rFonts w:ascii="Palatino Linotype" w:eastAsia="Palatino Linotype" w:hAnsi="Palatino Linotype" w:cs="Palatino Linotype"/>
          <w:b/>
        </w:rPr>
      </w:pPr>
    </w:p>
    <w:sectPr w:rsidR="002D213F">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687" w:rsidRDefault="00F76687">
      <w:pPr>
        <w:spacing w:after="0" w:line="240" w:lineRule="auto"/>
      </w:pPr>
      <w:r>
        <w:separator/>
      </w:r>
    </w:p>
  </w:endnote>
  <w:endnote w:type="continuationSeparator" w:id="0">
    <w:p w:rsidR="00F76687" w:rsidRDefault="00F7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687" w:rsidRDefault="00F76687">
      <w:pPr>
        <w:spacing w:after="0" w:line="240" w:lineRule="auto"/>
      </w:pPr>
      <w:r>
        <w:separator/>
      </w:r>
    </w:p>
  </w:footnote>
  <w:footnote w:type="continuationSeparator" w:id="0">
    <w:p w:rsidR="00F76687" w:rsidRDefault="00F76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3F" w:rsidRDefault="002D213F">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2D213F">
      <w:tc>
        <w:tcPr>
          <w:tcW w:w="2410" w:type="dxa"/>
          <w:vAlign w:val="center"/>
        </w:tcPr>
        <w:p w:rsidR="002D213F" w:rsidRDefault="002D213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2D213F" w:rsidRDefault="00D81A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2D213F">
      <w:tc>
        <w:tcPr>
          <w:tcW w:w="2410" w:type="dxa"/>
          <w:vAlign w:val="center"/>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2D213F" w:rsidRDefault="009D1950" w:rsidP="009D195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02630</w:t>
          </w:r>
          <w:r w:rsidR="009332C0">
            <w:rPr>
              <w:rFonts w:ascii="Palatino Linotype" w:eastAsia="Palatino Linotype" w:hAnsi="Palatino Linotype" w:cs="Palatino Linotype"/>
              <w:b/>
              <w:color w:val="000000"/>
              <w:sz w:val="20"/>
              <w:szCs w:val="20"/>
            </w:rPr>
            <w:t>/</w:t>
          </w:r>
          <w:r w:rsidR="00D81A9F">
            <w:rPr>
              <w:rFonts w:ascii="Palatino Linotype" w:eastAsia="Palatino Linotype" w:hAnsi="Palatino Linotype" w:cs="Palatino Linotype"/>
              <w:b/>
              <w:color w:val="000000"/>
              <w:sz w:val="20"/>
              <w:szCs w:val="20"/>
            </w:rPr>
            <w:t>INFOEM/IP/RR/2025</w:t>
          </w:r>
        </w:p>
      </w:tc>
    </w:tr>
    <w:tr w:rsidR="002D213F">
      <w:tc>
        <w:tcPr>
          <w:tcW w:w="2410" w:type="dxa"/>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2D213F" w:rsidRDefault="00D81A9F" w:rsidP="009D1950">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r w:rsidR="009D1950">
            <w:rPr>
              <w:rFonts w:ascii="Palatino Linotype" w:eastAsia="Palatino Linotype" w:hAnsi="Palatino Linotype" w:cs="Palatino Linotype"/>
              <w:b/>
              <w:color w:val="000000"/>
              <w:sz w:val="20"/>
              <w:szCs w:val="20"/>
            </w:rPr>
            <w:t>Toluca</w:t>
          </w:r>
        </w:p>
      </w:tc>
    </w:tr>
    <w:tr w:rsidR="002D213F">
      <w:tc>
        <w:tcPr>
          <w:tcW w:w="2410" w:type="dxa"/>
        </w:tcPr>
        <w:p w:rsidR="002D213F" w:rsidRDefault="009D1950">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00D81A9F">
            <w:rPr>
              <w:rFonts w:ascii="Palatino Linotype" w:eastAsia="Palatino Linotype" w:hAnsi="Palatino Linotype" w:cs="Palatino Linotype"/>
              <w:b/>
              <w:color w:val="000000"/>
              <w:sz w:val="20"/>
              <w:szCs w:val="20"/>
            </w:rPr>
            <w:t xml:space="preserve"> Ponente:</w:t>
          </w:r>
        </w:p>
      </w:tc>
      <w:tc>
        <w:tcPr>
          <w:tcW w:w="3397" w:type="dxa"/>
        </w:tcPr>
        <w:p w:rsidR="002D213F" w:rsidRDefault="009D195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2D213F" w:rsidRDefault="00D81A9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-707524</wp:posOffset>
          </wp:positionH>
          <wp:positionV relativeFrom="paragraph">
            <wp:posOffset>-1205670</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3F"/>
    <w:rsid w:val="002D213F"/>
    <w:rsid w:val="003B01BB"/>
    <w:rsid w:val="00494F9A"/>
    <w:rsid w:val="004D10AB"/>
    <w:rsid w:val="00580F14"/>
    <w:rsid w:val="009332C0"/>
    <w:rsid w:val="009D1950"/>
    <w:rsid w:val="00D81A9F"/>
    <w:rsid w:val="00F76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0C82D-67E2-4D38-BD34-3B47E969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Pqvu77t5LPp3thmCPGluuCKPg==">CgMxLjAyCGguZ2pkZ3hzMg5oLnNlem5rMHYza3dkcDIOaC54ZXpyMG9rZDU3dG4yCWguMmV0OTJwMDIJaC4zMGowemxsMgloLjFmb2I5dGU4AHIhMTZKWWVjYTY1dTJGZlpXdUZCTHZhVW94RDJINDJ0bTcz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dcterms:created xsi:type="dcterms:W3CDTF">2025-04-30T19:49:00Z</dcterms:created>
  <dcterms:modified xsi:type="dcterms:W3CDTF">2025-04-30T19:52:00Z</dcterms:modified>
</cp:coreProperties>
</file>