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995" w:rsidRDefault="00A348EA">
      <w:pPr>
        <w:widowControl w:val="0"/>
        <w:pBdr>
          <w:top w:val="nil"/>
          <w:left w:val="nil"/>
          <w:bottom w:val="nil"/>
          <w:right w:val="nil"/>
          <w:between w:val="nil"/>
        </w:pBdr>
        <w:spacing w:after="0" w:line="276" w:lineRule="auto"/>
      </w:pPr>
      <w:bookmarkStart w:id="0" w:name="_GoBack"/>
      <w:bookmarkEnd w:id="0"/>
      <w:r>
        <w:pict w14:anchorId="42C5E8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rsidR="006F6995" w:rsidRDefault="00A348EA">
      <w:pPr>
        <w:widowControl w:val="0"/>
        <w:pBdr>
          <w:top w:val="nil"/>
          <w:left w:val="nil"/>
          <w:bottom w:val="nil"/>
          <w:right w:val="nil"/>
          <w:between w:val="nil"/>
        </w:pBdr>
        <w:spacing w:after="0" w:line="360" w:lineRule="auto"/>
        <w:jc w:val="both"/>
      </w:pPr>
      <w:r>
        <w:rPr>
          <w:rFonts w:ascii="Palatino Linotype" w:eastAsia="Palatino Linotype" w:hAnsi="Palatino Linotype" w:cs="Palatino Linotype"/>
          <w:b/>
        </w:rPr>
        <w:t>VOTO PARTICULAR QUE FORMULA LA COMISIONADA GUADALUPE RAMÍREZ PEÑA EN RELACIÓN CON LA RESOLUCIÓN DICTADA POR EL PLENO DEL INSTITUTO DE TRANSPARENCIA, ACCESO A LA INFORMACIÓN PÚBLICA Y PROTECCIÓN DE DATOS PERSONALES DEL ESTADO DE MÉXICO Y MUNICIPIOS, EN LA C</w:t>
      </w:r>
      <w:r>
        <w:rPr>
          <w:rFonts w:ascii="Palatino Linotype" w:eastAsia="Palatino Linotype" w:hAnsi="Palatino Linotype" w:cs="Palatino Linotype"/>
          <w:b/>
        </w:rPr>
        <w:t>UARTA SESIÓN ORDINARIA DEL SEIS DE FEBRERO DE DOS MIL VEINTICINCO, EN LO RELATIVO AL RECURSO DE REVISIÓN 00095/INFOEM/IP/RR/2025.</w:t>
      </w:r>
    </w:p>
    <w:p w:rsidR="006F6995" w:rsidRDefault="00A348EA">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El Pleno del Instituto de Transparencia, Acceso a la Información Pública y Protección de Datos Personales del Estado de México</w:t>
      </w:r>
      <w:r>
        <w:rPr>
          <w:rFonts w:ascii="Palatino Linotype" w:eastAsia="Palatino Linotype" w:hAnsi="Palatino Linotype" w:cs="Palatino Linotype"/>
        </w:rPr>
        <w:t xml:space="preserve"> y Municipios, aprobó por unanimidad de votos, la resolución relativa </w:t>
      </w:r>
      <w:r>
        <w:rPr>
          <w:rFonts w:ascii="Palatino Linotype" w:eastAsia="Palatino Linotype" w:hAnsi="Palatino Linotype" w:cs="Palatino Linotype"/>
          <w:color w:val="000000"/>
        </w:rPr>
        <w:t xml:space="preserve">al recurso </w:t>
      </w:r>
      <w:r>
        <w:rPr>
          <w:rFonts w:ascii="Palatino Linotype" w:eastAsia="Palatino Linotype" w:hAnsi="Palatino Linotype" w:cs="Palatino Linotype"/>
        </w:rPr>
        <w:t xml:space="preserve">de revisión </w:t>
      </w:r>
      <w:r>
        <w:rPr>
          <w:rFonts w:ascii="Palatino Linotype" w:eastAsia="Palatino Linotype" w:hAnsi="Palatino Linotype" w:cs="Palatino Linotype"/>
          <w:b/>
        </w:rPr>
        <w:t>00095/INFOEM/IP/RR/2025</w:t>
      </w:r>
      <w:r>
        <w:rPr>
          <w:rFonts w:ascii="Palatino Linotype" w:eastAsia="Palatino Linotype" w:hAnsi="Palatino Linotype" w:cs="Palatino Linotype"/>
        </w:rPr>
        <w:t xml:space="preserve">, presentada por el </w:t>
      </w:r>
      <w:r>
        <w:rPr>
          <w:rFonts w:ascii="Palatino Linotype" w:eastAsia="Palatino Linotype" w:hAnsi="Palatino Linotype" w:cs="Palatino Linotype"/>
          <w:b/>
        </w:rPr>
        <w:t>Comisionado Presidente José Martínez Vilchis</w:t>
      </w:r>
      <w:r>
        <w:rPr>
          <w:rFonts w:ascii="Palatino Linotype" w:eastAsia="Palatino Linotype" w:hAnsi="Palatino Linotype" w:cs="Palatino Linotype"/>
        </w:rPr>
        <w:t xml:space="preserve">, respecto de la cual, la suscrita formula </w:t>
      </w:r>
      <w:r>
        <w:rPr>
          <w:rFonts w:ascii="Palatino Linotype" w:eastAsia="Palatino Linotype" w:hAnsi="Palatino Linotype" w:cs="Palatino Linotype"/>
          <w:b/>
        </w:rPr>
        <w:t xml:space="preserve">VOTO PARTICULAR, </w:t>
      </w:r>
      <w:r>
        <w:rPr>
          <w:rFonts w:ascii="Palatino Linotype" w:eastAsia="Palatino Linotype" w:hAnsi="Palatino Linotype" w:cs="Palatino Linotype"/>
        </w:rPr>
        <w:t xml:space="preserve"> con fundamento </w:t>
      </w:r>
      <w:r>
        <w:rPr>
          <w:rFonts w:ascii="Palatino Linotype" w:eastAsia="Palatino Linotype" w:hAnsi="Palatino Linotype" w:cs="Palatino Linotype"/>
        </w:rPr>
        <w:t>en el artículo 14 fracción XI del Reglamento Interior del Instituto de Transparencia, Acceso a la Información Pública y Protección de Datos Personales del Estado de México y Municipios.</w:t>
      </w:r>
    </w:p>
    <w:p w:rsidR="006F6995" w:rsidRDefault="00A348EA">
      <w:pPr>
        <w:spacing w:before="240" w:after="240"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rPr>
        <w:t xml:space="preserve">Es preciso señalar que respecto al estudio realizado en la resolución </w:t>
      </w:r>
      <w:r>
        <w:rPr>
          <w:rFonts w:ascii="Palatino Linotype" w:eastAsia="Palatino Linotype" w:hAnsi="Palatino Linotype" w:cs="Palatino Linotype"/>
        </w:rPr>
        <w:t xml:space="preserve">emitida resulta necesario destacar ciertas consideraciones de hecho y derecho que debieron ser valoradas. </w:t>
      </w:r>
      <w:r>
        <w:rPr>
          <w:rFonts w:ascii="Palatino Linotype" w:eastAsia="Palatino Linotype" w:hAnsi="Palatino Linotype" w:cs="Palatino Linotype"/>
          <w:b/>
          <w:color w:val="000000"/>
        </w:rPr>
        <w:t xml:space="preserve"> </w:t>
      </w:r>
    </w:p>
    <w:p w:rsidR="006F6995" w:rsidRDefault="00A348EA">
      <w:pPr>
        <w:spacing w:before="240" w:after="24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Antecedentes</w:t>
      </w:r>
    </w:p>
    <w:p w:rsidR="006F6995" w:rsidRDefault="00A348EA">
      <w:pPr>
        <w:pBdr>
          <w:top w:val="nil"/>
          <w:left w:val="nil"/>
          <w:bottom w:val="nil"/>
          <w:right w:val="nil"/>
          <w:between w:val="nil"/>
        </w:pBdr>
        <w:spacing w:after="24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primera instancia, debe precisarse que </w:t>
      </w:r>
      <w:r>
        <w:rPr>
          <w:rFonts w:ascii="Palatino Linotype" w:eastAsia="Palatino Linotype" w:hAnsi="Palatino Linotype" w:cs="Palatino Linotype"/>
          <w:b/>
          <w:color w:val="000000"/>
        </w:rPr>
        <w:t>la parte Recurrente</w:t>
      </w:r>
      <w:r>
        <w:rPr>
          <w:rFonts w:ascii="Palatino Linotype" w:eastAsia="Palatino Linotype" w:hAnsi="Palatino Linotype" w:cs="Palatino Linotype"/>
          <w:color w:val="000000"/>
        </w:rPr>
        <w:t xml:space="preserve"> requirió al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le proporcionara la siguiente información de</w:t>
      </w:r>
      <w:r>
        <w:rPr>
          <w:rFonts w:ascii="Palatino Linotype" w:eastAsia="Palatino Linotype" w:hAnsi="Palatino Linotype" w:cs="Palatino Linotype"/>
          <w:color w:val="000000"/>
        </w:rPr>
        <w:t xml:space="preserve"> una servidora pública en específico:</w:t>
      </w:r>
    </w:p>
    <w:p w:rsidR="006F6995" w:rsidRDefault="00A348EA">
      <w:pPr>
        <w:numPr>
          <w:ilvl w:val="0"/>
          <w:numId w:val="2"/>
        </w:numPr>
        <w:pBdr>
          <w:top w:val="nil"/>
          <w:left w:val="nil"/>
          <w:bottom w:val="nil"/>
          <w:right w:val="nil"/>
          <w:between w:val="nil"/>
        </w:pBdr>
        <w:spacing w:after="0" w:line="360" w:lineRule="auto"/>
        <w:ind w:left="567" w:right="990" w:hanging="283"/>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Cuál es su puesto nominal y desde que fecha asumió el cargo en el Organismo de Agua de Toluca.</w:t>
      </w:r>
    </w:p>
    <w:p w:rsidR="006F6995" w:rsidRDefault="00A348EA">
      <w:pPr>
        <w:numPr>
          <w:ilvl w:val="0"/>
          <w:numId w:val="2"/>
        </w:numPr>
        <w:pBdr>
          <w:top w:val="nil"/>
          <w:left w:val="nil"/>
          <w:bottom w:val="nil"/>
          <w:right w:val="nil"/>
          <w:between w:val="nil"/>
        </w:pBdr>
        <w:spacing w:after="0" w:line="360" w:lineRule="auto"/>
        <w:ind w:left="567" w:right="990" w:hanging="283"/>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Cuál es su nivel, rango, funciones y atribuciones</w:t>
      </w:r>
    </w:p>
    <w:p w:rsidR="006F6995" w:rsidRDefault="00A348EA">
      <w:pPr>
        <w:numPr>
          <w:ilvl w:val="0"/>
          <w:numId w:val="2"/>
        </w:numPr>
        <w:pBdr>
          <w:top w:val="nil"/>
          <w:left w:val="nil"/>
          <w:bottom w:val="nil"/>
          <w:right w:val="nil"/>
          <w:between w:val="nil"/>
        </w:pBdr>
        <w:spacing w:after="0" w:line="360" w:lineRule="auto"/>
        <w:ind w:left="567" w:right="990" w:hanging="283"/>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Horario y días de servicio</w:t>
      </w:r>
    </w:p>
    <w:p w:rsidR="006F6995" w:rsidRDefault="00A348EA">
      <w:pPr>
        <w:numPr>
          <w:ilvl w:val="0"/>
          <w:numId w:val="2"/>
        </w:numPr>
        <w:pBdr>
          <w:top w:val="nil"/>
          <w:left w:val="nil"/>
          <w:bottom w:val="nil"/>
          <w:right w:val="nil"/>
          <w:between w:val="nil"/>
        </w:pBdr>
        <w:spacing w:after="0" w:line="360" w:lineRule="auto"/>
        <w:ind w:left="567" w:right="990" w:hanging="283"/>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Si es personal de CONFIANZA o SINDICALIZADA</w:t>
      </w:r>
    </w:p>
    <w:p w:rsidR="006F6995" w:rsidRDefault="00A348EA">
      <w:pPr>
        <w:numPr>
          <w:ilvl w:val="0"/>
          <w:numId w:val="2"/>
        </w:numPr>
        <w:pBdr>
          <w:top w:val="nil"/>
          <w:left w:val="nil"/>
          <w:bottom w:val="nil"/>
          <w:right w:val="nil"/>
          <w:between w:val="nil"/>
        </w:pBdr>
        <w:spacing w:after="0" w:line="276" w:lineRule="auto"/>
        <w:ind w:left="567" w:right="990" w:hanging="283"/>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Señale bajo qué condiciones se determinó que era la persona idónea para ocupar el cargo.</w:t>
      </w:r>
    </w:p>
    <w:p w:rsidR="006F6995" w:rsidRDefault="00A348EA">
      <w:pPr>
        <w:numPr>
          <w:ilvl w:val="0"/>
          <w:numId w:val="2"/>
        </w:numPr>
        <w:pBdr>
          <w:top w:val="nil"/>
          <w:left w:val="nil"/>
          <w:bottom w:val="nil"/>
          <w:right w:val="nil"/>
          <w:between w:val="nil"/>
        </w:pBdr>
        <w:spacing w:after="0" w:line="276" w:lineRule="auto"/>
        <w:ind w:left="567" w:right="990" w:hanging="283"/>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Señale bajo protesta de decir verdad el grado de estudios académicos y su número de cédula profesional. </w:t>
      </w:r>
    </w:p>
    <w:p w:rsidR="006F6995" w:rsidRDefault="00A348EA">
      <w:pPr>
        <w:numPr>
          <w:ilvl w:val="0"/>
          <w:numId w:val="2"/>
        </w:numPr>
        <w:pBdr>
          <w:top w:val="nil"/>
          <w:left w:val="nil"/>
          <w:bottom w:val="nil"/>
          <w:right w:val="nil"/>
          <w:between w:val="nil"/>
        </w:pBdr>
        <w:spacing w:after="240" w:line="276" w:lineRule="auto"/>
        <w:ind w:left="567" w:right="990" w:hanging="283"/>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Manifieste bajo protesta de decir verdad, si se tiene iniciado o se inició algún procedimiento administrativo contra dicha servidora pública por el hecho de haber participado en la reciente campaña para presidente municipal de Toluca, siendo que esta se en</w:t>
      </w:r>
      <w:r>
        <w:rPr>
          <w:rFonts w:ascii="Palatino Linotype" w:eastAsia="Palatino Linotype" w:hAnsi="Palatino Linotype" w:cs="Palatino Linotype"/>
          <w:color w:val="000000"/>
        </w:rPr>
        <w:t>contraba en funciones como servidora pública.</w:t>
      </w:r>
    </w:p>
    <w:p w:rsidR="006F6995" w:rsidRDefault="00A348EA">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de precisar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respondió al solicitante a través de la Jefa del Departamento de Recursos Humanos, quien expresó medularmente que posterior a una exhaustiva y razonable búsqueda en los arc</w:t>
      </w:r>
      <w:r>
        <w:rPr>
          <w:rFonts w:ascii="Palatino Linotype" w:eastAsia="Palatino Linotype" w:hAnsi="Palatino Linotype" w:cs="Palatino Linotype"/>
        </w:rPr>
        <w:t>hivos con que cuenta este Departamento de Recursos Humanos, la servidora pública en comento, cuenta con el puesto nominal de Contralor Interno; la fecha en que la servidora pública asumió el cargo como Titular del Órgano Interno de Control data del 01 (pri</w:t>
      </w:r>
      <w:r>
        <w:rPr>
          <w:rFonts w:ascii="Palatino Linotype" w:eastAsia="Palatino Linotype" w:hAnsi="Palatino Linotype" w:cs="Palatino Linotype"/>
        </w:rPr>
        <w:t xml:space="preserve">mero) de febrero del año 2022 (dos mil veintidós); el nivel de la servidora pública corresponde al de mandos medios; en cuanto al rango de la citada es de directivo; las funciones y atribuciones de la servidora pública en funciones como Contralora Interna </w:t>
      </w:r>
      <w:r>
        <w:rPr>
          <w:rFonts w:ascii="Palatino Linotype" w:eastAsia="Palatino Linotype" w:hAnsi="Palatino Linotype" w:cs="Palatino Linotype"/>
        </w:rPr>
        <w:t xml:space="preserve">son las contenidas en el Manual de Organización del Organismo Público Descentralizado por Servicio de Carácter Municipal denominado Agua y Saneamiento de Toluca; así como en el Capítulo Cuarto, Titulo Primero, Libro Segundo del Reglamento </w:t>
      </w:r>
      <w:r>
        <w:rPr>
          <w:rFonts w:ascii="Palatino Linotype" w:eastAsia="Palatino Linotype" w:hAnsi="Palatino Linotype" w:cs="Palatino Linotype"/>
        </w:rPr>
        <w:lastRenderedPageBreak/>
        <w:t>Interior del Orga</w:t>
      </w:r>
      <w:r>
        <w:rPr>
          <w:rFonts w:ascii="Palatino Linotype" w:eastAsia="Palatino Linotype" w:hAnsi="Palatino Linotype" w:cs="Palatino Linotype"/>
        </w:rPr>
        <w:t>nismo Público Descentralizado por servicio de carácter Municipal denominado Agua y Saneamiento de Toluca; el horario y días de servicio de la servidora pública es de acuerdo a las necesidades y características del puesto desempañado; debido a la naturaleza</w:t>
      </w:r>
      <w:r>
        <w:rPr>
          <w:rFonts w:ascii="Palatino Linotype" w:eastAsia="Palatino Linotype" w:hAnsi="Palatino Linotype" w:cs="Palatino Linotype"/>
        </w:rPr>
        <w:t xml:space="preserve"> de sus funciones y atribuciones la servidora pública es personal de confianza; asimismo refiere que dicho Departamento no designa a los trabajadores de confianza, toda vez que estos son designados mediante nombramiento del Director General de este Organis</w:t>
      </w:r>
      <w:r>
        <w:rPr>
          <w:rFonts w:ascii="Palatino Linotype" w:eastAsia="Palatino Linotype" w:hAnsi="Palatino Linotype" w:cs="Palatino Linotype"/>
        </w:rPr>
        <w:t>mo Público Descentralizado, no es posible dar respuesta a lo solicitado y por último señala que de conformidad con el artículo 12 de la Ley de Ley de Transparencia y Acceso a la Información Pública del Estado de México y Municipios, se remite Título profes</w:t>
      </w:r>
      <w:r>
        <w:rPr>
          <w:rFonts w:ascii="Palatino Linotype" w:eastAsia="Palatino Linotype" w:hAnsi="Palatino Linotype" w:cs="Palatino Linotype"/>
        </w:rPr>
        <w:t>ional de la persona servidora pública en cuestión y no así cedula profesional al no obrar esta última en el expediente personal de la citada.</w:t>
      </w:r>
    </w:p>
    <w:p w:rsidR="006F6995" w:rsidRDefault="00A348EA">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Una vez conocida esta respuesta, la parte Recurrente interpuso el recurso de revisión que nos ocupa, inconformándose en términos generales al considerar que no contestaron la totalidad de lo solicitado.</w:t>
      </w:r>
    </w:p>
    <w:p w:rsidR="006F6995" w:rsidRDefault="00A348EA">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Posteriormente se admitió el recurso de revisión y en</w:t>
      </w:r>
      <w:r>
        <w:rPr>
          <w:rFonts w:ascii="Palatino Linotype" w:eastAsia="Palatino Linotype" w:hAnsi="Palatino Linotype" w:cs="Palatino Linotype"/>
        </w:rPr>
        <w:t xml:space="preserve"> la etapa de manifestaciones, se advierte que las partes fueron omisas en adjuntar sus manifestaciones, alegatos o informe justificado, por lo tanto, este Instituto procedió a analizar las constancias que obran en el expediente electrónico y, en atención a</w:t>
      </w:r>
      <w:r>
        <w:rPr>
          <w:rFonts w:ascii="Palatino Linotype" w:eastAsia="Palatino Linotype" w:hAnsi="Palatino Linotype" w:cs="Palatino Linotype"/>
        </w:rPr>
        <w:t xml:space="preserve"> ello, determinó </w:t>
      </w:r>
      <w:r>
        <w:rPr>
          <w:rFonts w:ascii="Palatino Linotype" w:eastAsia="Palatino Linotype" w:hAnsi="Palatino Linotype" w:cs="Palatino Linotype"/>
          <w:b/>
        </w:rPr>
        <w:t>MODIFICAR</w:t>
      </w:r>
      <w:r>
        <w:rPr>
          <w:rFonts w:ascii="Palatino Linotype" w:eastAsia="Palatino Linotype" w:hAnsi="Palatino Linotype" w:cs="Palatino Linotype"/>
        </w:rPr>
        <w:t xml:space="preserve"> la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y procedió a ordenar la entrega de la siguiente documentación: </w:t>
      </w:r>
    </w:p>
    <w:p w:rsidR="006F6995" w:rsidRDefault="00A348EA">
      <w:pPr>
        <w:pBdr>
          <w:top w:val="nil"/>
          <w:left w:val="nil"/>
          <w:bottom w:val="nil"/>
          <w:right w:val="nil"/>
          <w:between w:val="nil"/>
        </w:pBdr>
        <w:spacing w:after="0" w:line="240" w:lineRule="auto"/>
        <w:ind w:left="426" w:right="99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 “PRIMERO. Se </w:t>
      </w:r>
      <w:r>
        <w:rPr>
          <w:rFonts w:ascii="Palatino Linotype" w:eastAsia="Palatino Linotype" w:hAnsi="Palatino Linotype" w:cs="Palatino Linotype"/>
          <w:b/>
          <w:i/>
          <w:color w:val="000000"/>
        </w:rPr>
        <w:t>MODIFICA</w:t>
      </w:r>
      <w:r>
        <w:rPr>
          <w:rFonts w:ascii="Palatino Linotype" w:eastAsia="Palatino Linotype" w:hAnsi="Palatino Linotype" w:cs="Palatino Linotype"/>
          <w:i/>
          <w:color w:val="000000"/>
        </w:rPr>
        <w:t xml:space="preserve"> la respuesta entregada por El Sujeto Obligado, a la solicitud de información número 00210/OASTOL/IP/2024, por</w:t>
      </w:r>
      <w:r>
        <w:rPr>
          <w:rFonts w:ascii="Palatino Linotype" w:eastAsia="Palatino Linotype" w:hAnsi="Palatino Linotype" w:cs="Palatino Linotype"/>
          <w:i/>
          <w:color w:val="000000"/>
        </w:rPr>
        <w:t xml:space="preserve"> resultar parcialmente </w:t>
      </w:r>
      <w:r>
        <w:rPr>
          <w:rFonts w:ascii="Palatino Linotype" w:eastAsia="Palatino Linotype" w:hAnsi="Palatino Linotype" w:cs="Palatino Linotype"/>
          <w:i/>
          <w:color w:val="000000"/>
        </w:rPr>
        <w:lastRenderedPageBreak/>
        <w:t>fundados los motivos de inconformidad que arguye el Recurrente, en términos del Considerando CUARTO de la presente resolución.</w:t>
      </w:r>
    </w:p>
    <w:p w:rsidR="006F6995" w:rsidRDefault="006F6995">
      <w:pPr>
        <w:pBdr>
          <w:top w:val="nil"/>
          <w:left w:val="nil"/>
          <w:bottom w:val="nil"/>
          <w:right w:val="nil"/>
          <w:between w:val="nil"/>
        </w:pBdr>
        <w:spacing w:after="0" w:line="240" w:lineRule="auto"/>
        <w:ind w:left="426" w:right="990"/>
        <w:jc w:val="both"/>
        <w:rPr>
          <w:rFonts w:ascii="Palatino Linotype" w:eastAsia="Palatino Linotype" w:hAnsi="Palatino Linotype" w:cs="Palatino Linotype"/>
          <w:i/>
          <w:color w:val="000000"/>
        </w:rPr>
      </w:pPr>
    </w:p>
    <w:p w:rsidR="006F6995" w:rsidRDefault="00A348EA">
      <w:pPr>
        <w:pBdr>
          <w:top w:val="nil"/>
          <w:left w:val="nil"/>
          <w:bottom w:val="nil"/>
          <w:right w:val="nil"/>
          <w:between w:val="nil"/>
        </w:pBdr>
        <w:spacing w:after="0" w:line="240" w:lineRule="auto"/>
        <w:ind w:left="426" w:right="99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SEGUNDO. Se ORDENA al Sujeto Obligado haga entrega a la Recurrente, a través del Sistema de Acceso a la I</w:t>
      </w:r>
      <w:r>
        <w:rPr>
          <w:rFonts w:ascii="Palatino Linotype" w:eastAsia="Palatino Linotype" w:hAnsi="Palatino Linotype" w:cs="Palatino Linotype"/>
          <w:i/>
          <w:color w:val="000000"/>
        </w:rPr>
        <w:t xml:space="preserve">nformación Mexiquense (SAIMEX), en términos del Considerando CUARTO de la presente resolución, de lo siguiente: </w:t>
      </w:r>
    </w:p>
    <w:p w:rsidR="006F6995" w:rsidRDefault="006F6995">
      <w:pPr>
        <w:pBdr>
          <w:top w:val="nil"/>
          <w:left w:val="nil"/>
          <w:bottom w:val="nil"/>
          <w:right w:val="nil"/>
          <w:between w:val="nil"/>
        </w:pBdr>
        <w:spacing w:after="0" w:line="240" w:lineRule="auto"/>
        <w:ind w:left="426" w:right="990"/>
        <w:jc w:val="both"/>
        <w:rPr>
          <w:rFonts w:ascii="Palatino Linotype" w:eastAsia="Palatino Linotype" w:hAnsi="Palatino Linotype" w:cs="Palatino Linotype"/>
          <w:i/>
          <w:color w:val="000000"/>
        </w:rPr>
      </w:pPr>
    </w:p>
    <w:p w:rsidR="006F6995" w:rsidRDefault="00A348EA">
      <w:pPr>
        <w:pBdr>
          <w:top w:val="nil"/>
          <w:left w:val="nil"/>
          <w:bottom w:val="nil"/>
          <w:right w:val="nil"/>
          <w:between w:val="nil"/>
        </w:pBdr>
        <w:spacing w:after="0" w:line="240" w:lineRule="auto"/>
        <w:ind w:left="426" w:right="99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1.</w:t>
      </w:r>
      <w:r>
        <w:rPr>
          <w:rFonts w:ascii="Palatino Linotype" w:eastAsia="Palatino Linotype" w:hAnsi="Palatino Linotype" w:cs="Palatino Linotype"/>
          <w:i/>
          <w:color w:val="000000"/>
        </w:rPr>
        <w:tab/>
        <w:t xml:space="preserve">El o los documentos en donde consten el horario y días de servicio, así como las funciones y atribuciones de la servidora pública referida </w:t>
      </w:r>
      <w:r>
        <w:rPr>
          <w:rFonts w:ascii="Palatino Linotype" w:eastAsia="Palatino Linotype" w:hAnsi="Palatino Linotype" w:cs="Palatino Linotype"/>
          <w:i/>
          <w:color w:val="000000"/>
        </w:rPr>
        <w:t>en la solicitud de información número 00210/OASTOL/IP/2024 al tres de diciembre de dos mil veinticuatro.</w:t>
      </w:r>
    </w:p>
    <w:p w:rsidR="006F6995" w:rsidRDefault="006F6995">
      <w:pPr>
        <w:pBdr>
          <w:top w:val="nil"/>
          <w:left w:val="nil"/>
          <w:bottom w:val="nil"/>
          <w:right w:val="nil"/>
          <w:between w:val="nil"/>
        </w:pBdr>
        <w:spacing w:after="0" w:line="240" w:lineRule="auto"/>
        <w:ind w:left="426" w:right="990"/>
        <w:jc w:val="both"/>
        <w:rPr>
          <w:rFonts w:ascii="Palatino Linotype" w:eastAsia="Palatino Linotype" w:hAnsi="Palatino Linotype" w:cs="Palatino Linotype"/>
          <w:i/>
          <w:color w:val="000000"/>
        </w:rPr>
      </w:pPr>
    </w:p>
    <w:p w:rsidR="006F6995" w:rsidRDefault="00A348EA">
      <w:pPr>
        <w:pBdr>
          <w:top w:val="nil"/>
          <w:left w:val="nil"/>
          <w:bottom w:val="nil"/>
          <w:right w:val="nil"/>
          <w:between w:val="nil"/>
        </w:pBdr>
        <w:spacing w:after="0" w:line="240" w:lineRule="auto"/>
        <w:ind w:left="426" w:right="990"/>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rPr>
        <w:t>2.</w:t>
      </w:r>
      <w:r>
        <w:rPr>
          <w:rFonts w:ascii="Palatino Linotype" w:eastAsia="Palatino Linotype" w:hAnsi="Palatino Linotype" w:cs="Palatino Linotype"/>
          <w:i/>
          <w:color w:val="000000"/>
        </w:rPr>
        <w:tab/>
        <w:t xml:space="preserve">El Acuerdo emitido por el Comité de Transparencia, en donde de manera fundada y motivada, confirme la clasificación del pronunciamiento en sentido </w:t>
      </w:r>
      <w:r>
        <w:rPr>
          <w:rFonts w:ascii="Palatino Linotype" w:eastAsia="Palatino Linotype" w:hAnsi="Palatino Linotype" w:cs="Palatino Linotype"/>
          <w:i/>
          <w:color w:val="000000"/>
        </w:rPr>
        <w:t>afirmativo o negativo, sobre la existencia de algún procedimiento administrativo iniciado en contra de la persona referida en la solicitud de información, por el hecho de haber participado en la campaña para Presidente Municipal de Toluca, de conformidad c</w:t>
      </w:r>
      <w:r>
        <w:rPr>
          <w:rFonts w:ascii="Palatino Linotype" w:eastAsia="Palatino Linotype" w:hAnsi="Palatino Linotype" w:cs="Palatino Linotype"/>
          <w:i/>
          <w:color w:val="000000"/>
        </w:rPr>
        <w:t>on los artículos 49, fracción II, 132, fracción II, 143, fracción I, y 149 de la Ley de Transparencia y Acceso a la Información Pública del Estado de México y Municipios.”</w:t>
      </w:r>
    </w:p>
    <w:p w:rsidR="006F6995" w:rsidRDefault="006F6995">
      <w:pPr>
        <w:pBdr>
          <w:top w:val="nil"/>
          <w:left w:val="nil"/>
          <w:bottom w:val="nil"/>
          <w:right w:val="nil"/>
          <w:between w:val="nil"/>
        </w:pBdr>
        <w:spacing w:after="0" w:line="360" w:lineRule="auto"/>
        <w:rPr>
          <w:rFonts w:ascii="Palatino Linotype" w:eastAsia="Palatino Linotype" w:hAnsi="Palatino Linotype" w:cs="Palatino Linotype"/>
          <w:i/>
          <w:color w:val="000000"/>
          <w:sz w:val="24"/>
          <w:szCs w:val="24"/>
        </w:rPr>
      </w:pPr>
    </w:p>
    <w:p w:rsidR="006F6995" w:rsidRDefault="00A348EA">
      <w:pPr>
        <w:numPr>
          <w:ilvl w:val="0"/>
          <w:numId w:val="1"/>
        </w:numPr>
        <w:pBdr>
          <w:top w:val="nil"/>
          <w:left w:val="nil"/>
          <w:bottom w:val="nil"/>
          <w:right w:val="nil"/>
          <w:between w:val="nil"/>
        </w:pBdr>
        <w:spacing w:after="0" w:line="360" w:lineRule="auto"/>
        <w:ind w:left="567" w:hanging="283"/>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Razones del Voto Particular</w:t>
      </w:r>
    </w:p>
    <w:p w:rsidR="006F6995" w:rsidRDefault="006F6995">
      <w:pPr>
        <w:pBdr>
          <w:top w:val="nil"/>
          <w:left w:val="nil"/>
          <w:bottom w:val="nil"/>
          <w:right w:val="nil"/>
          <w:between w:val="nil"/>
        </w:pBdr>
        <w:spacing w:after="0" w:line="360" w:lineRule="auto"/>
        <w:ind w:left="567"/>
        <w:rPr>
          <w:rFonts w:ascii="Palatino Linotype" w:eastAsia="Palatino Linotype" w:hAnsi="Palatino Linotype" w:cs="Palatino Linotype"/>
          <w:b/>
          <w:color w:val="000000"/>
        </w:rPr>
      </w:pPr>
    </w:p>
    <w:p w:rsidR="006F6995" w:rsidRDefault="00A348EA">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Acotado lo anterior, resulta importante señalar que la emisión de mi voto particular deviene de que a mi consideración, no se comparte que se dé por colmado el punto relativo a las condiciones bajo las que se determinó la idoneidad de la servidora pública </w:t>
      </w:r>
      <w:r>
        <w:rPr>
          <w:rFonts w:ascii="Palatino Linotype" w:eastAsia="Palatino Linotype" w:hAnsi="Palatino Linotype" w:cs="Palatino Linotype"/>
          <w:color w:val="000000"/>
        </w:rPr>
        <w:t>referida en la solicitud de información para ocupar el cargo de Contralora del Organismo de Agua y Saneamiento de Toluca, toda vez que a mi consideración existe una expresión documental que puede dar cuenta de lo requerido, tal como se detallará en las sig</w:t>
      </w:r>
      <w:r>
        <w:rPr>
          <w:rFonts w:ascii="Palatino Linotype" w:eastAsia="Palatino Linotype" w:hAnsi="Palatino Linotype" w:cs="Palatino Linotype"/>
          <w:color w:val="000000"/>
        </w:rPr>
        <w:t xml:space="preserve">uientes líneas argumentativas. </w:t>
      </w:r>
    </w:p>
    <w:p w:rsidR="006F6995" w:rsidRDefault="006F6995">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rsidR="006F6995" w:rsidRDefault="00A348EA">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Bajo esta línea de pensamiento, resulta pertinente esquematizar las constancias vertidas en el expediente electrónico en el siguiente esquema:</w:t>
      </w:r>
    </w:p>
    <w:p w:rsidR="006F6995" w:rsidRDefault="006F6995">
      <w:pPr>
        <w:pBdr>
          <w:top w:val="nil"/>
          <w:left w:val="nil"/>
          <w:bottom w:val="nil"/>
          <w:right w:val="nil"/>
          <w:between w:val="nil"/>
        </w:pBdr>
        <w:spacing w:after="0" w:line="360" w:lineRule="auto"/>
        <w:jc w:val="both"/>
        <w:rPr>
          <w:rFonts w:ascii="Palatino Linotype" w:eastAsia="Palatino Linotype" w:hAnsi="Palatino Linotype" w:cs="Palatino Linotype"/>
        </w:rPr>
      </w:pPr>
    </w:p>
    <w:tbl>
      <w:tblPr>
        <w:tblStyle w:val="a"/>
        <w:tblW w:w="8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9"/>
        <w:gridCol w:w="4459"/>
      </w:tblGrid>
      <w:tr w:rsidR="006F6995">
        <w:tc>
          <w:tcPr>
            <w:tcW w:w="4459" w:type="dxa"/>
            <w:shd w:val="clear" w:color="auto" w:fill="FAF5CE"/>
          </w:tcPr>
          <w:p w:rsidR="006F6995" w:rsidRDefault="00A348EA">
            <w:pPr>
              <w:jc w:val="center"/>
              <w:rPr>
                <w:rFonts w:ascii="Palatino Linotype" w:eastAsia="Palatino Linotype" w:hAnsi="Palatino Linotype" w:cs="Palatino Linotype"/>
                <w:b/>
                <w:color w:val="000000"/>
                <w:sz w:val="18"/>
                <w:szCs w:val="18"/>
              </w:rPr>
            </w:pPr>
            <w:r>
              <w:rPr>
                <w:rFonts w:ascii="Palatino Linotype" w:eastAsia="Palatino Linotype" w:hAnsi="Palatino Linotype" w:cs="Palatino Linotype"/>
                <w:b/>
                <w:color w:val="000000"/>
                <w:sz w:val="18"/>
                <w:szCs w:val="18"/>
              </w:rPr>
              <w:t>Requerimiento de información</w:t>
            </w:r>
          </w:p>
        </w:tc>
        <w:tc>
          <w:tcPr>
            <w:tcW w:w="4459" w:type="dxa"/>
            <w:shd w:val="clear" w:color="auto" w:fill="FAF5CE"/>
          </w:tcPr>
          <w:p w:rsidR="006F6995" w:rsidRDefault="00A348EA">
            <w:pPr>
              <w:jc w:val="center"/>
              <w:rPr>
                <w:rFonts w:ascii="Palatino Linotype" w:eastAsia="Palatino Linotype" w:hAnsi="Palatino Linotype" w:cs="Palatino Linotype"/>
                <w:b/>
                <w:color w:val="000000"/>
                <w:sz w:val="18"/>
                <w:szCs w:val="18"/>
              </w:rPr>
            </w:pPr>
            <w:r>
              <w:rPr>
                <w:rFonts w:ascii="Palatino Linotype" w:eastAsia="Palatino Linotype" w:hAnsi="Palatino Linotype" w:cs="Palatino Linotype"/>
                <w:b/>
                <w:color w:val="000000"/>
                <w:sz w:val="18"/>
                <w:szCs w:val="18"/>
              </w:rPr>
              <w:t>Respuesta de la Jefa del Departamento de Recursos Humanos</w:t>
            </w:r>
          </w:p>
        </w:tc>
      </w:tr>
      <w:tr w:rsidR="006F6995">
        <w:tc>
          <w:tcPr>
            <w:tcW w:w="4459" w:type="dxa"/>
          </w:tcPr>
          <w:p w:rsidR="006F6995" w:rsidRDefault="00A348EA">
            <w:pPr>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sz w:val="18"/>
                <w:szCs w:val="18"/>
              </w:rPr>
              <w:t>5. Señale bajo qué condiciones se determinó que era la persona idónea para ocupar el cargo.</w:t>
            </w:r>
          </w:p>
        </w:tc>
        <w:tc>
          <w:tcPr>
            <w:tcW w:w="4459" w:type="dxa"/>
          </w:tcPr>
          <w:p w:rsidR="006F6995" w:rsidRDefault="00A348EA">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18"/>
                <w:szCs w:val="18"/>
              </w:rPr>
              <w:t>“….dicho Departamento no designa a los trabajadores de confianza, toda vez que estos son designados media</w:t>
            </w:r>
            <w:r>
              <w:rPr>
                <w:rFonts w:ascii="Palatino Linotype" w:eastAsia="Palatino Linotype" w:hAnsi="Palatino Linotype" w:cs="Palatino Linotype"/>
                <w:color w:val="000000"/>
                <w:sz w:val="18"/>
                <w:szCs w:val="18"/>
              </w:rPr>
              <w:t>nte nombramiento del Director General de este Organismo Público Descentralizado, no es posible dar respuesta a lo solicitado.”</w:t>
            </w:r>
          </w:p>
        </w:tc>
      </w:tr>
    </w:tbl>
    <w:p w:rsidR="006F6995" w:rsidRDefault="006F6995">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rsidR="006F6995" w:rsidRDefault="00A348EA">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Esquematizado lo anterior, debe apuntarse que en una aproximación inicial a esta respuesta, se advierte que esta no es clara y además a mi consideración no satisface el requerimiento de información de la persona solicitante, toda vez que únicamente está de</w:t>
      </w:r>
      <w:r>
        <w:rPr>
          <w:rFonts w:ascii="Palatino Linotype" w:eastAsia="Palatino Linotype" w:hAnsi="Palatino Linotype" w:cs="Palatino Linotype"/>
        </w:rPr>
        <w:t>slindando su competencia y refiere que dichos nombramientos son competencia del Director General, sin embargo, no debemos perder de vista que la Ley Orgánica Municipal contempla en su artículo 113, una serie de requisitos que deben satisfacer los contralor</w:t>
      </w:r>
      <w:r>
        <w:rPr>
          <w:rFonts w:ascii="Palatino Linotype" w:eastAsia="Palatino Linotype" w:hAnsi="Palatino Linotype" w:cs="Palatino Linotype"/>
        </w:rPr>
        <w:t>es del ámbito municipal, los cuales son coincidentes con los del Tesorero previstos en el artículo 96 de este mismo ordenamiento, a excepción de la caución correspondiente, luego entonces, es dable afirmar que la idoneidad de la persona para ostentar el ca</w:t>
      </w:r>
      <w:r>
        <w:rPr>
          <w:rFonts w:ascii="Palatino Linotype" w:eastAsia="Palatino Linotype" w:hAnsi="Palatino Linotype" w:cs="Palatino Linotype"/>
        </w:rPr>
        <w:t>rgo de Contralora deviene de la entera satisfacción de estos requisitos.</w:t>
      </w:r>
    </w:p>
    <w:p w:rsidR="006F6995" w:rsidRDefault="00A348EA">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tal sentido, </w:t>
      </w:r>
      <w:r>
        <w:rPr>
          <w:rFonts w:ascii="Palatino Linotype" w:eastAsia="Palatino Linotype" w:hAnsi="Palatino Linotype" w:cs="Palatino Linotype"/>
        </w:rPr>
        <w:t>dentro del estudio debió considerarse que si normativamente existen requisitos para determinar la idoneidad de una persona para ostentar el cargo de titular de la Cont</w:t>
      </w:r>
      <w:r>
        <w:rPr>
          <w:rFonts w:ascii="Palatino Linotype" w:eastAsia="Palatino Linotype" w:hAnsi="Palatino Linotype" w:cs="Palatino Linotype"/>
        </w:rPr>
        <w:t xml:space="preserve">raloría, luego entonces, este requerimiento de información puede constar en una </w:t>
      </w:r>
      <w:r>
        <w:rPr>
          <w:rFonts w:ascii="Palatino Linotype" w:eastAsia="Palatino Linotype" w:hAnsi="Palatino Linotype" w:cs="Palatino Linotype"/>
        </w:rPr>
        <w:lastRenderedPageBreak/>
        <w:t>expresión documental que brinde respuesta a la solicitud, así el particular podrá buscar conforme a su interés.</w:t>
      </w:r>
    </w:p>
    <w:p w:rsidR="006F6995" w:rsidRDefault="00A348EA">
      <w:pPr>
        <w:spacing w:before="240" w:after="240" w:line="360" w:lineRule="auto"/>
        <w:ind w:right="423"/>
        <w:jc w:val="both"/>
        <w:rPr>
          <w:rFonts w:ascii="Palatino Linotype" w:eastAsia="Palatino Linotype" w:hAnsi="Palatino Linotype" w:cs="Palatino Linotype"/>
        </w:rPr>
      </w:pPr>
      <w:r>
        <w:rPr>
          <w:rFonts w:ascii="Palatino Linotype" w:eastAsia="Palatino Linotype" w:hAnsi="Palatino Linotype" w:cs="Palatino Linotype"/>
        </w:rPr>
        <w:t>Como sustento a lo anterior resulta aplicable el Criterio 16/17,</w:t>
      </w:r>
      <w:r>
        <w:rPr>
          <w:rFonts w:ascii="Palatino Linotype" w:eastAsia="Palatino Linotype" w:hAnsi="Palatino Linotype" w:cs="Palatino Linotype"/>
        </w:rPr>
        <w:t xml:space="preserve"> emitido por el Instituto Nacional de Transparencia, Acceso a la Información y Protección de Datos Personales, INAI, establece lo siguiente: </w:t>
      </w:r>
    </w:p>
    <w:p w:rsidR="006F6995" w:rsidRDefault="00A348EA">
      <w:pPr>
        <w:spacing w:before="240" w:after="240" w:line="276"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 xml:space="preserve"> “</w:t>
      </w:r>
      <w:r>
        <w:rPr>
          <w:rFonts w:ascii="Palatino Linotype" w:eastAsia="Palatino Linotype" w:hAnsi="Palatino Linotype" w:cs="Palatino Linotype"/>
          <w:b/>
          <w:i/>
        </w:rPr>
        <w:t xml:space="preserve">Expresión documental. </w:t>
      </w:r>
      <w:r>
        <w:rPr>
          <w:rFonts w:ascii="Palatino Linotype" w:eastAsia="Palatino Linotype" w:hAnsi="Palatino Linotype" w:cs="Palatino Linotype"/>
          <w:i/>
        </w:rPr>
        <w:t>Cuando los particulares presenten solicitudes de acceso a la información sin identificar d</w:t>
      </w:r>
      <w:r>
        <w:rPr>
          <w:rFonts w:ascii="Palatino Linotype" w:eastAsia="Palatino Linotype" w:hAnsi="Palatino Linotype" w:cs="Palatino Linotype"/>
          <w:i/>
        </w:rPr>
        <w:t>e forma precisa la documentación que pudiera contener la información de su interés, o bien, la solicitud constituya una consulta, pero la respuesta pudiera obrar en algún documento en poder de los sujetos obligados, éstos deben dar a dichas solicitudes una</w:t>
      </w:r>
      <w:r>
        <w:rPr>
          <w:rFonts w:ascii="Palatino Linotype" w:eastAsia="Palatino Linotype" w:hAnsi="Palatino Linotype" w:cs="Palatino Linotype"/>
          <w:i/>
        </w:rPr>
        <w:t xml:space="preserve"> interpretación que les otorgue una expresión documental.”</w:t>
      </w:r>
    </w:p>
    <w:p w:rsidR="006F6995" w:rsidRDefault="00A348EA">
      <w:pPr>
        <w:pBdr>
          <w:top w:val="nil"/>
          <w:left w:val="nil"/>
          <w:bottom w:val="nil"/>
          <w:right w:val="nil"/>
          <w:between w:val="nil"/>
        </w:pBdr>
        <w:tabs>
          <w:tab w:val="left" w:pos="142"/>
        </w:tabs>
        <w:spacing w:after="0" w:line="360" w:lineRule="auto"/>
        <w:ind w:right="423"/>
        <w:jc w:val="both"/>
        <w:rPr>
          <w:rFonts w:ascii="Palatino Linotype" w:eastAsia="Palatino Linotype" w:hAnsi="Palatino Linotype" w:cs="Palatino Linotype"/>
        </w:rPr>
      </w:pPr>
      <w:bookmarkStart w:id="1" w:name="_heading=h.gjdgxs" w:colFirst="0" w:colLast="0"/>
      <w:bookmarkEnd w:id="1"/>
      <w:r>
        <w:rPr>
          <w:rFonts w:ascii="Palatino Linotype" w:eastAsia="Palatino Linotype" w:hAnsi="Palatino Linotype" w:cs="Palatino Linotype"/>
        </w:rPr>
        <w:t>Bajo esta tesitura, se estima que el documento que puede dar cuenta de lo solicitado es el perfil de puestos, en virtud de que en este documento en se describen las características, tareas y responsabilidades de los distintos cargos que se tienen dentro de</w:t>
      </w:r>
      <w:r>
        <w:rPr>
          <w:rFonts w:ascii="Palatino Linotype" w:eastAsia="Palatino Linotype" w:hAnsi="Palatino Linotype" w:cs="Palatino Linotype"/>
        </w:rPr>
        <w:t xml:space="preserve"> una administración y además tiene como objetivo principal, el facilitar la identificación y los procesos de reclutamiento, operación capacitación y planeación de aquellos candidatos que desean prestar sus servicios dentro de la misma. </w:t>
      </w:r>
    </w:p>
    <w:p w:rsidR="006F6995" w:rsidRDefault="006F6995">
      <w:pPr>
        <w:pBdr>
          <w:top w:val="nil"/>
          <w:left w:val="nil"/>
          <w:bottom w:val="nil"/>
          <w:right w:val="nil"/>
          <w:between w:val="nil"/>
        </w:pBdr>
        <w:tabs>
          <w:tab w:val="left" w:pos="142"/>
        </w:tabs>
        <w:spacing w:after="0" w:line="360" w:lineRule="auto"/>
        <w:ind w:right="423"/>
        <w:jc w:val="both"/>
        <w:rPr>
          <w:rFonts w:ascii="Palatino Linotype" w:eastAsia="Palatino Linotype" w:hAnsi="Palatino Linotype" w:cs="Palatino Linotype"/>
          <w:sz w:val="24"/>
          <w:szCs w:val="24"/>
        </w:rPr>
      </w:pPr>
    </w:p>
    <w:p w:rsidR="006F6995" w:rsidRDefault="00A348EA">
      <w:pPr>
        <w:tabs>
          <w:tab w:val="left" w:pos="993"/>
        </w:tabs>
        <w:spacing w:after="0" w:line="360" w:lineRule="auto"/>
        <w:ind w:right="423"/>
        <w:jc w:val="both"/>
        <w:rPr>
          <w:rFonts w:ascii="Palatino Linotype" w:eastAsia="Palatino Linotype" w:hAnsi="Palatino Linotype" w:cs="Palatino Linotype"/>
        </w:rPr>
      </w:pPr>
      <w:r>
        <w:rPr>
          <w:rFonts w:ascii="Palatino Linotype" w:eastAsia="Palatino Linotype" w:hAnsi="Palatino Linotype" w:cs="Palatino Linotype"/>
        </w:rPr>
        <w:t>Es de precisar que</w:t>
      </w:r>
      <w:r>
        <w:rPr>
          <w:rFonts w:ascii="Palatino Linotype" w:eastAsia="Palatino Linotype" w:hAnsi="Palatino Linotype" w:cs="Palatino Linotype"/>
        </w:rPr>
        <w:t xml:space="preserve"> dicho perfil se encuentra contemplado en la Ley de Trabajo de los Servidores Públicos del Estado de México y Municipios, en sus artículos 99 y 100, fracción I, se establece que: </w:t>
      </w:r>
    </w:p>
    <w:p w:rsidR="006F6995" w:rsidRDefault="006F6995">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b/>
          <w:i/>
          <w:color w:val="000000"/>
        </w:rPr>
      </w:pPr>
    </w:p>
    <w:p w:rsidR="006F6995" w:rsidRDefault="00A348EA">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lastRenderedPageBreak/>
        <w:t>“ARTÍCULO 99</w:t>
      </w:r>
      <w:r>
        <w:rPr>
          <w:rFonts w:ascii="Palatino Linotype" w:eastAsia="Palatino Linotype" w:hAnsi="Palatino Linotype" w:cs="Palatino Linotype"/>
          <w:i/>
          <w:color w:val="000000"/>
        </w:rPr>
        <w:t>. Las instituciones públicas establecerán un sistema de profesionalización que permita el ingreso al servicio a los aspirantes más calificados, y garantice la estabilidad y movilidad laborales de los servidores públicos conforme a su desarrollo profesional</w:t>
      </w:r>
      <w:r>
        <w:rPr>
          <w:rFonts w:ascii="Palatino Linotype" w:eastAsia="Palatino Linotype" w:hAnsi="Palatino Linotype" w:cs="Palatino Linotype"/>
          <w:i/>
          <w:color w:val="000000"/>
        </w:rPr>
        <w:t xml:space="preserve"> y a sus méritos en el servicio.</w:t>
      </w:r>
    </w:p>
    <w:p w:rsidR="006F6995" w:rsidRDefault="006F6995">
      <w:pPr>
        <w:pBdr>
          <w:top w:val="nil"/>
          <w:left w:val="nil"/>
          <w:bottom w:val="nil"/>
          <w:right w:val="nil"/>
          <w:between w:val="nil"/>
        </w:pBdr>
        <w:spacing w:after="0" w:line="240" w:lineRule="auto"/>
        <w:ind w:left="426" w:right="990"/>
        <w:jc w:val="both"/>
        <w:rPr>
          <w:rFonts w:ascii="Palatino Linotype" w:eastAsia="Palatino Linotype" w:hAnsi="Palatino Linotype" w:cs="Palatino Linotype"/>
          <w:i/>
          <w:color w:val="000000"/>
        </w:rPr>
      </w:pPr>
    </w:p>
    <w:p w:rsidR="006F6995" w:rsidRDefault="00A348EA">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ARTÍCULO 100</w:t>
      </w:r>
      <w:r>
        <w:rPr>
          <w:rFonts w:ascii="Palatino Linotype" w:eastAsia="Palatino Linotype" w:hAnsi="Palatino Linotype" w:cs="Palatino Linotype"/>
          <w:i/>
          <w:color w:val="000000"/>
        </w:rPr>
        <w:t xml:space="preserve">. Los sistemas de profesionalización que establezcan las instituciones públicas deberán conformarse a partir de las siguientes bases: </w:t>
      </w:r>
    </w:p>
    <w:p w:rsidR="006F6995" w:rsidRDefault="006F6995">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color w:val="000000"/>
        </w:rPr>
      </w:pPr>
    </w:p>
    <w:p w:rsidR="006F6995" w:rsidRDefault="00A348EA">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I</w:t>
      </w:r>
      <w:r>
        <w:rPr>
          <w:rFonts w:ascii="Palatino Linotype" w:eastAsia="Palatino Linotype" w:hAnsi="Palatino Linotype" w:cs="Palatino Linotype"/>
          <w:i/>
          <w:color w:val="000000"/>
        </w:rPr>
        <w:t xml:space="preserve">. Definición de </w:t>
      </w:r>
      <w:r>
        <w:rPr>
          <w:rFonts w:ascii="Palatino Linotype" w:eastAsia="Palatino Linotype" w:hAnsi="Palatino Linotype" w:cs="Palatino Linotype"/>
          <w:b/>
          <w:i/>
          <w:color w:val="000000"/>
        </w:rPr>
        <w:t>un catálogo de puestos</w:t>
      </w:r>
      <w:r>
        <w:rPr>
          <w:rFonts w:ascii="Palatino Linotype" w:eastAsia="Palatino Linotype" w:hAnsi="Palatino Linotype" w:cs="Palatino Linotype"/>
          <w:i/>
          <w:color w:val="000000"/>
        </w:rPr>
        <w:t xml:space="preserve"> por institución pública o dependencia que </w:t>
      </w:r>
      <w:r>
        <w:rPr>
          <w:rFonts w:ascii="Palatino Linotype" w:eastAsia="Palatino Linotype" w:hAnsi="Palatino Linotype" w:cs="Palatino Linotype"/>
          <w:b/>
          <w:i/>
          <w:color w:val="000000"/>
          <w:u w:val="single"/>
        </w:rPr>
        <w:t>deberá contener el perfil de cada uno de los existentes, los requisitos necesarios para desempeñarlos</w:t>
      </w:r>
      <w:r>
        <w:rPr>
          <w:rFonts w:ascii="Palatino Linotype" w:eastAsia="Palatino Linotype" w:hAnsi="Palatino Linotype" w:cs="Palatino Linotype"/>
          <w:i/>
          <w:color w:val="000000"/>
        </w:rPr>
        <w:t xml:space="preserve"> y el nivel salarial y escalafonario que les corresponde;</w:t>
      </w:r>
    </w:p>
    <w:p w:rsidR="006F6995" w:rsidRDefault="00A348EA">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p>
    <w:p w:rsidR="006F6995" w:rsidRDefault="006F6995">
      <w:pPr>
        <w:tabs>
          <w:tab w:val="left" w:pos="993"/>
        </w:tabs>
        <w:spacing w:after="0" w:line="360" w:lineRule="auto"/>
        <w:ind w:right="-787"/>
        <w:jc w:val="both"/>
        <w:rPr>
          <w:rFonts w:ascii="Palatino Linotype" w:eastAsia="Palatino Linotype" w:hAnsi="Palatino Linotype" w:cs="Palatino Linotype"/>
          <w:sz w:val="24"/>
          <w:szCs w:val="24"/>
        </w:rPr>
      </w:pPr>
    </w:p>
    <w:p w:rsidR="006F6995" w:rsidRDefault="00A348EA">
      <w:pPr>
        <w:pBdr>
          <w:top w:val="nil"/>
          <w:left w:val="nil"/>
          <w:bottom w:val="nil"/>
          <w:right w:val="nil"/>
          <w:between w:val="nil"/>
        </w:pBdr>
        <w:tabs>
          <w:tab w:val="left" w:pos="142"/>
        </w:tabs>
        <w:spacing w:after="0" w:line="360" w:lineRule="auto"/>
        <w:ind w:right="423"/>
        <w:jc w:val="both"/>
        <w:rPr>
          <w:rFonts w:ascii="Palatino Linotype" w:eastAsia="Palatino Linotype" w:hAnsi="Palatino Linotype" w:cs="Palatino Linotype"/>
        </w:rPr>
      </w:pPr>
      <w:r>
        <w:rPr>
          <w:rFonts w:ascii="Palatino Linotype" w:eastAsia="Palatino Linotype" w:hAnsi="Palatino Linotype" w:cs="Palatino Linotype"/>
        </w:rPr>
        <w:t>Asimismo, dicho catálogo es contemplado como oblig</w:t>
      </w:r>
      <w:r>
        <w:rPr>
          <w:rFonts w:ascii="Palatino Linotype" w:eastAsia="Palatino Linotype" w:hAnsi="Palatino Linotype" w:cs="Palatino Linotype"/>
        </w:rPr>
        <w:t>ación de transparencia común, de conformidad con lo dispuesto por la Ley de Transparencia local en su artículo 92, fracción XII:</w:t>
      </w:r>
    </w:p>
    <w:p w:rsidR="006F6995" w:rsidRDefault="006F6995">
      <w:pPr>
        <w:pBdr>
          <w:top w:val="nil"/>
          <w:left w:val="nil"/>
          <w:bottom w:val="nil"/>
          <w:right w:val="nil"/>
          <w:between w:val="nil"/>
        </w:pBdr>
        <w:tabs>
          <w:tab w:val="left" w:pos="142"/>
        </w:tabs>
        <w:spacing w:after="0" w:line="240" w:lineRule="auto"/>
        <w:ind w:left="1134" w:right="-220"/>
        <w:jc w:val="center"/>
        <w:rPr>
          <w:rFonts w:ascii="Palatino Linotype" w:eastAsia="Palatino Linotype" w:hAnsi="Palatino Linotype" w:cs="Palatino Linotype"/>
          <w:b/>
          <w:i/>
        </w:rPr>
      </w:pPr>
    </w:p>
    <w:p w:rsidR="006F6995" w:rsidRDefault="00A348EA">
      <w:pPr>
        <w:pBdr>
          <w:top w:val="nil"/>
          <w:left w:val="nil"/>
          <w:bottom w:val="nil"/>
          <w:right w:val="nil"/>
          <w:between w:val="nil"/>
        </w:pBdr>
        <w:tabs>
          <w:tab w:val="left" w:pos="142"/>
        </w:tabs>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 xml:space="preserve">“Artículo 92. Los sujetos obligados deberán poner a disposición del público de manera permanente y actualizada de forma sencilla, precisa y entendible, en los respectivos medios electrónicos, de acuerdo con sus facultades, atribuciones, funciones u objeto </w:t>
      </w:r>
      <w:r>
        <w:rPr>
          <w:rFonts w:ascii="Palatino Linotype" w:eastAsia="Palatino Linotype" w:hAnsi="Palatino Linotype" w:cs="Palatino Linotype"/>
          <w:i/>
        </w:rPr>
        <w:t>social, según corresponda, la información, por lo menos, de los temas, documentos y políticas que a continuación se señalan:</w:t>
      </w:r>
    </w:p>
    <w:p w:rsidR="006F6995" w:rsidRDefault="00A348EA">
      <w:pPr>
        <w:pBdr>
          <w:top w:val="nil"/>
          <w:left w:val="nil"/>
          <w:bottom w:val="nil"/>
          <w:right w:val="nil"/>
          <w:between w:val="nil"/>
        </w:pBdr>
        <w:tabs>
          <w:tab w:val="left" w:pos="142"/>
        </w:tabs>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w:t>
      </w:r>
    </w:p>
    <w:p w:rsidR="006F6995" w:rsidRDefault="00A348EA">
      <w:pPr>
        <w:pBdr>
          <w:top w:val="nil"/>
          <w:left w:val="nil"/>
          <w:bottom w:val="nil"/>
          <w:right w:val="nil"/>
          <w:between w:val="nil"/>
        </w:pBdr>
        <w:tabs>
          <w:tab w:val="left" w:pos="142"/>
        </w:tabs>
        <w:spacing w:after="0" w:line="276" w:lineRule="auto"/>
        <w:ind w:left="567" w:right="990"/>
        <w:jc w:val="both"/>
        <w:rPr>
          <w:rFonts w:ascii="Palatino Linotype" w:eastAsia="Palatino Linotype" w:hAnsi="Palatino Linotype" w:cs="Palatino Linotype"/>
          <w:b/>
          <w:i/>
        </w:rPr>
      </w:pPr>
      <w:r>
        <w:rPr>
          <w:rFonts w:ascii="Palatino Linotype" w:eastAsia="Palatino Linotype" w:hAnsi="Palatino Linotype" w:cs="Palatino Linotype"/>
          <w:b/>
          <w:i/>
        </w:rPr>
        <w:t>XII. El perfil de los puestos de los servidores públicos a su servicio en los casos que aplique;</w:t>
      </w:r>
    </w:p>
    <w:p w:rsidR="006F6995" w:rsidRDefault="006F6995">
      <w:pPr>
        <w:pBdr>
          <w:top w:val="nil"/>
          <w:left w:val="nil"/>
          <w:bottom w:val="nil"/>
          <w:right w:val="nil"/>
          <w:between w:val="nil"/>
        </w:pBdr>
        <w:tabs>
          <w:tab w:val="left" w:pos="142"/>
        </w:tabs>
        <w:spacing w:after="0" w:line="360" w:lineRule="auto"/>
        <w:ind w:right="-220"/>
        <w:jc w:val="both"/>
        <w:rPr>
          <w:rFonts w:ascii="Palatino Linotype" w:eastAsia="Palatino Linotype" w:hAnsi="Palatino Linotype" w:cs="Palatino Linotype"/>
        </w:rPr>
      </w:pPr>
    </w:p>
    <w:p w:rsidR="006F6995" w:rsidRDefault="00A348EA">
      <w:pPr>
        <w:pBdr>
          <w:top w:val="nil"/>
          <w:left w:val="nil"/>
          <w:bottom w:val="nil"/>
          <w:right w:val="nil"/>
          <w:between w:val="nil"/>
        </w:pBdr>
        <w:tabs>
          <w:tab w:val="left" w:pos="142"/>
        </w:tabs>
        <w:spacing w:after="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De tal forma que de lo anterior se colige que cada dependencia o institución pública, deberá general un </w:t>
      </w:r>
      <w:r>
        <w:rPr>
          <w:rFonts w:ascii="Palatino Linotype" w:eastAsia="Palatino Linotype" w:hAnsi="Palatino Linotype" w:cs="Palatino Linotype"/>
          <w:b/>
        </w:rPr>
        <w:t>catálogo de puestos</w:t>
      </w:r>
      <w:r>
        <w:rPr>
          <w:rFonts w:ascii="Palatino Linotype" w:eastAsia="Palatino Linotype" w:hAnsi="Palatino Linotype" w:cs="Palatino Linotype"/>
        </w:rPr>
        <w:t xml:space="preserve">, en el cual se deberá señalar de manera actualizada los requisitos que deben observarse para ocupar un cierto cargo, asimismo, de conformidad con lo que establece la sección III, fracción XII de los Lineamientos Técnicos para la publicación, homologación </w:t>
      </w:r>
      <w:r>
        <w:rPr>
          <w:rFonts w:ascii="Palatino Linotype" w:eastAsia="Palatino Linotype" w:hAnsi="Palatino Linotype" w:cs="Palatino Linotype"/>
        </w:rPr>
        <w:t>y estandarización de la información establecida en el Título Quinto, Capítulos II, III y IV, y el Título Noveno de la Ley de Transparencia y Acceso a la Información Pública del Estado de México y Municipios; adicional de aquella contemplada en el Título Qu</w:t>
      </w:r>
      <w:r>
        <w:rPr>
          <w:rFonts w:ascii="Palatino Linotype" w:eastAsia="Palatino Linotype" w:hAnsi="Palatino Linotype" w:cs="Palatino Linotype"/>
        </w:rPr>
        <w:t xml:space="preserve">into de la Ley General de Transparencia y Acceso a la Información Pública (consultados el siete de febrero de dos mil veinticinco en la liga electrónica </w:t>
      </w:r>
      <w:hyperlink r:id="rId8">
        <w:r>
          <w:rPr>
            <w:rFonts w:ascii="Palatino Linotype" w:eastAsia="Palatino Linotype" w:hAnsi="Palatino Linotype" w:cs="Palatino Linotype"/>
            <w:color w:val="0563C1"/>
            <w:u w:val="single"/>
          </w:rPr>
          <w:t>https://www.in</w:t>
        </w:r>
        <w:r>
          <w:rPr>
            <w:rFonts w:ascii="Palatino Linotype" w:eastAsia="Palatino Linotype" w:hAnsi="Palatino Linotype" w:cs="Palatino Linotype"/>
            <w:color w:val="0563C1"/>
            <w:u w:val="single"/>
          </w:rPr>
          <w:t>foem.org.mx/sites/default/files/normatividad/jun143.pdf</w:t>
        </w:r>
      </w:hyperlink>
      <w:r>
        <w:rPr>
          <w:rFonts w:ascii="Palatino Linotype" w:eastAsia="Palatino Linotype" w:hAnsi="Palatino Linotype" w:cs="Palatino Linotype"/>
        </w:rPr>
        <w:t>); las Instituciones públicas establecerán un sistema de profesionalización que permita el ingreso al servicio a los aspirantes más calificados y garantice la estabilidad y movilidad laborales de los s</w:t>
      </w:r>
      <w:r>
        <w:rPr>
          <w:rFonts w:ascii="Palatino Linotype" w:eastAsia="Palatino Linotype" w:hAnsi="Palatino Linotype" w:cs="Palatino Linotype"/>
        </w:rPr>
        <w:t xml:space="preserve">ervidores públicos. </w:t>
      </w:r>
    </w:p>
    <w:p w:rsidR="006F6995" w:rsidRDefault="006F6995">
      <w:pPr>
        <w:pBdr>
          <w:top w:val="nil"/>
          <w:left w:val="nil"/>
          <w:bottom w:val="nil"/>
          <w:right w:val="nil"/>
          <w:between w:val="nil"/>
        </w:pBdr>
        <w:tabs>
          <w:tab w:val="left" w:pos="142"/>
        </w:tabs>
        <w:spacing w:after="0" w:line="360" w:lineRule="auto"/>
        <w:ind w:right="-787"/>
        <w:jc w:val="both"/>
        <w:rPr>
          <w:rFonts w:ascii="Palatino Linotype" w:eastAsia="Palatino Linotype" w:hAnsi="Palatino Linotype" w:cs="Palatino Linotype"/>
        </w:rPr>
      </w:pPr>
    </w:p>
    <w:p w:rsidR="006F6995" w:rsidRDefault="00A348EA">
      <w:pPr>
        <w:pBdr>
          <w:top w:val="nil"/>
          <w:left w:val="nil"/>
          <w:bottom w:val="nil"/>
          <w:right w:val="nil"/>
          <w:between w:val="nil"/>
        </w:pBdr>
        <w:tabs>
          <w:tab w:val="left" w:pos="142"/>
        </w:tabs>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En el mismo orden de ideas, los Lineamientos en cita, establecen que de acuerdo con el Manual de Procedimientos de la Subdirección de Escalafón de la Secretaría de Finanzas del Poder Ejecutivo del Estado de México, </w:t>
      </w:r>
      <w:r>
        <w:rPr>
          <w:rFonts w:ascii="Palatino Linotype" w:eastAsia="Palatino Linotype" w:hAnsi="Palatino Linotype" w:cs="Palatino Linotype"/>
          <w:b/>
        </w:rPr>
        <w:t>el “</w:t>
      </w:r>
      <w:r>
        <w:rPr>
          <w:rFonts w:ascii="Palatino Linotype" w:eastAsia="Palatino Linotype" w:hAnsi="Palatino Linotype" w:cs="Palatino Linotype"/>
          <w:b/>
          <w:i/>
          <w:u w:val="single"/>
        </w:rPr>
        <w:t>Perfil de Puest</w:t>
      </w:r>
      <w:r>
        <w:rPr>
          <w:rFonts w:ascii="Palatino Linotype" w:eastAsia="Palatino Linotype" w:hAnsi="Palatino Linotype" w:cs="Palatino Linotype"/>
          <w:b/>
          <w:i/>
          <w:u w:val="single"/>
        </w:rPr>
        <w:t>o</w:t>
      </w:r>
      <w:r>
        <w:rPr>
          <w:rFonts w:ascii="Palatino Linotype" w:eastAsia="Palatino Linotype" w:hAnsi="Palatino Linotype" w:cs="Palatino Linotype"/>
          <w:b/>
        </w:rPr>
        <w:t>” es la herramienta que contiene las características que la o el ocupante de un puesto debe tener para poder cumplir con las funciones de este, tales como preparación académica, competencias, experiencia, así como las condiciones de trabajo.</w:t>
      </w:r>
      <w:r>
        <w:rPr>
          <w:rFonts w:ascii="Palatino Linotype" w:eastAsia="Palatino Linotype" w:hAnsi="Palatino Linotype" w:cs="Palatino Linotype"/>
        </w:rPr>
        <w:t xml:space="preserve"> </w:t>
      </w:r>
    </w:p>
    <w:p w:rsidR="006F6995" w:rsidRDefault="006F6995">
      <w:pPr>
        <w:pBdr>
          <w:top w:val="nil"/>
          <w:left w:val="nil"/>
          <w:bottom w:val="nil"/>
          <w:right w:val="nil"/>
          <w:between w:val="nil"/>
        </w:pBdr>
        <w:tabs>
          <w:tab w:val="left" w:pos="142"/>
        </w:tabs>
        <w:spacing w:after="0" w:line="360" w:lineRule="auto"/>
        <w:ind w:right="-3"/>
        <w:jc w:val="both"/>
        <w:rPr>
          <w:rFonts w:ascii="Palatino Linotype" w:eastAsia="Palatino Linotype" w:hAnsi="Palatino Linotype" w:cs="Palatino Linotype"/>
        </w:rPr>
      </w:pPr>
    </w:p>
    <w:p w:rsidR="006F6995" w:rsidRDefault="00A348EA">
      <w:pPr>
        <w:pBdr>
          <w:top w:val="nil"/>
          <w:left w:val="nil"/>
          <w:bottom w:val="nil"/>
          <w:right w:val="nil"/>
          <w:between w:val="nil"/>
        </w:pBdr>
        <w:tabs>
          <w:tab w:val="left" w:pos="142"/>
        </w:tabs>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lastRenderedPageBreak/>
        <w:t>Asimismo, e</w:t>
      </w:r>
      <w:r>
        <w:rPr>
          <w:rFonts w:ascii="Palatino Linotype" w:eastAsia="Palatino Linotype" w:hAnsi="Palatino Linotype" w:cs="Palatino Linotype"/>
        </w:rPr>
        <w:t>n el dispositivo legal de referencia, se señala que el catálogo de puestos deberá contener el perfil de cada uno de los existentes, los requisitos necesarios para desempeñarlos y el nivel salarial y escalafonario que les corresponde y deberá observar lo si</w:t>
      </w:r>
      <w:r>
        <w:rPr>
          <w:rFonts w:ascii="Palatino Linotype" w:eastAsia="Palatino Linotype" w:hAnsi="Palatino Linotype" w:cs="Palatino Linotype"/>
        </w:rPr>
        <w:t xml:space="preserve">guiente: </w:t>
      </w:r>
    </w:p>
    <w:p w:rsidR="006F6995" w:rsidRDefault="00A348EA">
      <w:pPr>
        <w:tabs>
          <w:tab w:val="left" w:pos="993"/>
        </w:tabs>
        <w:spacing w:after="0" w:line="360" w:lineRule="auto"/>
        <w:ind w:right="-787"/>
        <w:jc w:val="center"/>
        <w:rPr>
          <w:rFonts w:ascii="Palatino Linotype" w:eastAsia="Palatino Linotype" w:hAnsi="Palatino Linotype" w:cs="Palatino Linotype"/>
          <w:sz w:val="24"/>
          <w:szCs w:val="24"/>
        </w:rPr>
      </w:pPr>
      <w:r>
        <w:rPr>
          <w:rFonts w:ascii="Palatino Linotype" w:eastAsia="Palatino Linotype" w:hAnsi="Palatino Linotype" w:cs="Palatino Linotype"/>
          <w:noProof/>
          <w:sz w:val="24"/>
          <w:szCs w:val="24"/>
        </w:rPr>
        <w:drawing>
          <wp:inline distT="0" distB="0" distL="0" distR="0">
            <wp:extent cx="4760330" cy="3130126"/>
            <wp:effectExtent l="0" t="0" r="0" b="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760330" cy="3130126"/>
                    </a:xfrm>
                    <a:prstGeom prst="rect">
                      <a:avLst/>
                    </a:prstGeom>
                    <a:ln/>
                  </pic:spPr>
                </pic:pic>
              </a:graphicData>
            </a:graphic>
          </wp:inline>
        </w:drawing>
      </w:r>
    </w:p>
    <w:p w:rsidR="006F6995" w:rsidRDefault="00A348EA">
      <w:pPr>
        <w:tabs>
          <w:tab w:val="left" w:pos="993"/>
        </w:tabs>
        <w:spacing w:after="0" w:line="360" w:lineRule="auto"/>
        <w:ind w:right="-787"/>
        <w:jc w:val="center"/>
        <w:rPr>
          <w:rFonts w:ascii="Palatino Linotype" w:eastAsia="Palatino Linotype" w:hAnsi="Palatino Linotype" w:cs="Palatino Linotype"/>
          <w:sz w:val="24"/>
          <w:szCs w:val="24"/>
        </w:rPr>
      </w:pPr>
      <w:r>
        <w:rPr>
          <w:rFonts w:ascii="Palatino Linotype" w:eastAsia="Palatino Linotype" w:hAnsi="Palatino Linotype" w:cs="Palatino Linotype"/>
          <w:noProof/>
          <w:sz w:val="24"/>
          <w:szCs w:val="24"/>
        </w:rPr>
        <w:drawing>
          <wp:inline distT="0" distB="0" distL="0" distR="0">
            <wp:extent cx="4717326" cy="1343635"/>
            <wp:effectExtent l="0" t="0" r="0" b="0"/>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717326" cy="1343635"/>
                    </a:xfrm>
                    <a:prstGeom prst="rect">
                      <a:avLst/>
                    </a:prstGeom>
                    <a:ln/>
                  </pic:spPr>
                </pic:pic>
              </a:graphicData>
            </a:graphic>
          </wp:inline>
        </w:drawing>
      </w:r>
    </w:p>
    <w:p w:rsidR="006F6995" w:rsidRDefault="006F6995">
      <w:pPr>
        <w:tabs>
          <w:tab w:val="left" w:pos="993"/>
        </w:tabs>
        <w:spacing w:after="0" w:line="360" w:lineRule="auto"/>
        <w:ind w:right="-787"/>
        <w:jc w:val="both"/>
        <w:rPr>
          <w:rFonts w:ascii="Palatino Linotype" w:eastAsia="Palatino Linotype" w:hAnsi="Palatino Linotype" w:cs="Palatino Linotype"/>
          <w:sz w:val="24"/>
          <w:szCs w:val="24"/>
        </w:rPr>
      </w:pPr>
      <w:bookmarkStart w:id="2" w:name="_heading=h.30j0zll" w:colFirst="0" w:colLast="0"/>
      <w:bookmarkEnd w:id="2"/>
    </w:p>
    <w:p w:rsidR="006F6995" w:rsidRDefault="00A348EA">
      <w:pPr>
        <w:pBdr>
          <w:top w:val="nil"/>
          <w:left w:val="nil"/>
          <w:bottom w:val="nil"/>
          <w:right w:val="nil"/>
          <w:between w:val="nil"/>
        </w:pBdr>
        <w:tabs>
          <w:tab w:val="left" w:pos="142"/>
        </w:tabs>
        <w:spacing w:after="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 xml:space="preserve">Por lo anteriormente expuesto, es dable afirmar que un perfil de puestos ya contiene precisada de manera puntual y específica las características que debe tener el perfil </w:t>
      </w:r>
      <w:r>
        <w:rPr>
          <w:rFonts w:ascii="Palatino Linotype" w:eastAsia="Palatino Linotype" w:hAnsi="Palatino Linotype" w:cs="Palatino Linotype"/>
        </w:rPr>
        <w:lastRenderedPageBreak/>
        <w:t>profesional para ocupar un puesto determinado y poder cumplir con las funciones que e</w:t>
      </w:r>
      <w:r>
        <w:rPr>
          <w:rFonts w:ascii="Palatino Linotype" w:eastAsia="Palatino Linotype" w:hAnsi="Palatino Linotype" w:cs="Palatino Linotype"/>
        </w:rPr>
        <w:t>ste requiere, por lo que a mi juicio, con ordenar este documento, se colma el requerimiento de información relativo a las condiciones por las que se consideró idónea a la persona que a la fecha de la solicitud ostenta el cargo de Contralora del Organismo d</w:t>
      </w:r>
      <w:r>
        <w:rPr>
          <w:rFonts w:ascii="Palatino Linotype" w:eastAsia="Palatino Linotype" w:hAnsi="Palatino Linotype" w:cs="Palatino Linotype"/>
        </w:rPr>
        <w:t>e Agua de Toluca.</w:t>
      </w:r>
    </w:p>
    <w:p w:rsidR="006F6995" w:rsidRDefault="00A348EA">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las consideraciones expuestas, con fundamento en lo dispuesto por el artículo 14 fracciones X y XI del Reglamento Interior del Instituto de Transparencia, Acceso a la Información Pública y Protección de Datos Personales del Estado de </w:t>
      </w:r>
      <w:r>
        <w:rPr>
          <w:rFonts w:ascii="Palatino Linotype" w:eastAsia="Palatino Linotype" w:hAnsi="Palatino Linotype" w:cs="Palatino Linotype"/>
        </w:rPr>
        <w:t xml:space="preserve">México y Municipios, la suscrita Comisionada emite el presente </w:t>
      </w:r>
      <w:r>
        <w:rPr>
          <w:rFonts w:ascii="Palatino Linotype" w:eastAsia="Palatino Linotype" w:hAnsi="Palatino Linotype" w:cs="Palatino Linotype"/>
          <w:b/>
        </w:rPr>
        <w:t>VOTO PARTICULAR</w:t>
      </w:r>
      <w:r>
        <w:rPr>
          <w:rFonts w:ascii="Palatino Linotype" w:eastAsia="Palatino Linotype" w:hAnsi="Palatino Linotype" w:cs="Palatino Linotype"/>
        </w:rPr>
        <w:t xml:space="preserve"> en los términos precisados.</w:t>
      </w:r>
    </w:p>
    <w:p w:rsidR="006F6995" w:rsidRDefault="00A348EA">
      <w:pPr>
        <w:tabs>
          <w:tab w:val="left" w:pos="2730"/>
        </w:tabs>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b/>
      </w:r>
    </w:p>
    <w:p w:rsidR="006F6995" w:rsidRDefault="00A348EA">
      <w:pPr>
        <w:spacing w:before="240" w:after="240" w:line="360" w:lineRule="auto"/>
        <w:rPr>
          <w:rFonts w:ascii="Palatino Linotype" w:eastAsia="Palatino Linotype" w:hAnsi="Palatino Linotype" w:cs="Palatino Linotype"/>
          <w:b/>
          <w:sz w:val="24"/>
          <w:szCs w:val="24"/>
        </w:rPr>
        <w:sectPr w:rsidR="006F6995">
          <w:headerReference w:type="even" r:id="rId11"/>
          <w:headerReference w:type="default" r:id="rId12"/>
          <w:footerReference w:type="even" r:id="rId13"/>
          <w:footerReference w:type="default" r:id="rId14"/>
          <w:headerReference w:type="first" r:id="rId15"/>
          <w:footerReference w:type="first" r:id="rId16"/>
          <w:pgSz w:w="12240" w:h="15840"/>
          <w:pgMar w:top="1871" w:right="1327" w:bottom="2836" w:left="1985" w:header="709" w:footer="586" w:gutter="0"/>
          <w:pgNumType w:start="1"/>
          <w:cols w:space="720"/>
        </w:sectPr>
      </w:pPr>
      <w:r>
        <w:rPr>
          <w:rFonts w:ascii="Palatino Linotype" w:eastAsia="Palatino Linotype" w:hAnsi="Palatino Linotype" w:cs="Palatino Linotype"/>
          <w:b/>
          <w:sz w:val="24"/>
          <w:szCs w:val="24"/>
        </w:rPr>
        <w:t xml:space="preserve"> </w:t>
      </w:r>
    </w:p>
    <w:p w:rsidR="006F6995" w:rsidRDefault="006F6995">
      <w:pPr>
        <w:spacing w:before="240" w:after="240" w:line="360" w:lineRule="auto"/>
        <w:rPr>
          <w:rFonts w:ascii="Palatino Linotype" w:eastAsia="Palatino Linotype" w:hAnsi="Palatino Linotype" w:cs="Palatino Linotype"/>
          <w:b/>
          <w:sz w:val="24"/>
          <w:szCs w:val="24"/>
        </w:rPr>
      </w:pPr>
    </w:p>
    <w:sectPr w:rsidR="006F6995">
      <w:headerReference w:type="even" r:id="rId17"/>
      <w:headerReference w:type="default" r:id="rId18"/>
      <w:headerReference w:type="first" r:id="rId19"/>
      <w:pgSz w:w="12240" w:h="15840"/>
      <w:pgMar w:top="1871" w:right="1327" w:bottom="2836" w:left="1985" w:header="709" w:footer="5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348EA">
      <w:pPr>
        <w:spacing w:after="0" w:line="240" w:lineRule="auto"/>
      </w:pPr>
      <w:r>
        <w:separator/>
      </w:r>
    </w:p>
  </w:endnote>
  <w:endnote w:type="continuationSeparator" w:id="0">
    <w:p w:rsidR="00000000" w:rsidRDefault="00A34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995" w:rsidRDefault="006F6995">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995" w:rsidRDefault="00A348EA">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sidR="00884FB3">
      <w:rPr>
        <w:rFonts w:ascii="Arial" w:eastAsia="Arial" w:hAnsi="Arial" w:cs="Arial"/>
        <w:b/>
        <w:color w:val="000000"/>
        <w:sz w:val="20"/>
        <w:szCs w:val="20"/>
      </w:rPr>
      <w:fldChar w:fldCharType="separate"/>
    </w:r>
    <w:r>
      <w:rPr>
        <w:rFonts w:ascii="Arial" w:eastAsia="Arial" w:hAnsi="Arial" w:cs="Arial"/>
        <w:b/>
        <w:noProof/>
        <w:color w:val="000000"/>
        <w:sz w:val="20"/>
        <w:szCs w:val="20"/>
      </w:rPr>
      <w:t>11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sidR="00884FB3">
      <w:rPr>
        <w:rFonts w:ascii="Arial" w:eastAsia="Arial" w:hAnsi="Arial" w:cs="Arial"/>
        <w:b/>
        <w:color w:val="000000"/>
        <w:sz w:val="20"/>
        <w:szCs w:val="20"/>
      </w:rPr>
      <w:fldChar w:fldCharType="separate"/>
    </w:r>
    <w:r>
      <w:rPr>
        <w:rFonts w:ascii="Arial" w:eastAsia="Arial" w:hAnsi="Arial" w:cs="Arial"/>
        <w:b/>
        <w:noProof/>
        <w:color w:val="000000"/>
        <w:sz w:val="20"/>
        <w:szCs w:val="20"/>
      </w:rPr>
      <w:t>11</w:t>
    </w:r>
    <w:r>
      <w:rPr>
        <w:rFonts w:ascii="Arial" w:eastAsia="Arial" w:hAnsi="Arial" w:cs="Arial"/>
        <w:b/>
        <w:color w:val="000000"/>
        <w:sz w:val="20"/>
        <w:szCs w:val="20"/>
      </w:rPr>
      <w:fldChar w:fldCharType="end"/>
    </w:r>
  </w:p>
  <w:p w:rsidR="006F6995" w:rsidRDefault="006F6995">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995" w:rsidRDefault="006F6995">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348EA">
      <w:pPr>
        <w:spacing w:after="0" w:line="240" w:lineRule="auto"/>
      </w:pPr>
      <w:r>
        <w:separator/>
      </w:r>
    </w:p>
  </w:footnote>
  <w:footnote w:type="continuationSeparator" w:id="0">
    <w:p w:rsidR="00000000" w:rsidRDefault="00A348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995" w:rsidRDefault="00A348EA">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g">
          <w:drawing>
            <wp:anchor distT="0" distB="0" distL="0" distR="0" simplePos="0" relativeHeight="251659264" behindDoc="1" locked="0" layoutInCell="1" hidden="0" allowOverlap="1">
              <wp:simplePos x="0" y="0"/>
              <wp:positionH relativeFrom="margin">
                <wp:align>center</wp:align>
              </wp:positionH>
              <wp:positionV relativeFrom="margin">
                <wp:align>center</wp:align>
              </wp:positionV>
              <wp:extent cx="13261110" cy="13261110"/>
              <wp:effectExtent l="0" t="0" r="0" b="0"/>
              <wp:wrapNone/>
              <wp:docPr id="29" name=""/>
              <wp:cNvGraphicFramePr/>
              <a:graphic xmlns:a="http://schemas.openxmlformats.org/drawingml/2006/main">
                <a:graphicData uri="http://schemas.microsoft.com/office/word/2010/wordprocessingShape">
                  <wps:wsp>
                    <wps:cNvSpPr/>
                    <wps:spPr>
                      <a:xfrm rot="-2700000">
                        <a:off x="2440875" y="3394238"/>
                        <a:ext cx="5810250" cy="771525"/>
                      </a:xfrm>
                      <a:prstGeom prst="rect">
                        <a:avLst/>
                      </a:prstGeom>
                      <a:noFill/>
                      <a:ln>
                        <a:noFill/>
                      </a:ln>
                    </wps:spPr>
                    <wps:txbx>
                      <w:txbxContent>
                        <w:p w:rsidR="006F6995" w:rsidRDefault="00A348EA">
                          <w:pPr>
                            <w:spacing w:after="0" w:line="240" w:lineRule="auto"/>
                            <w:jc w:val="center"/>
                            <w:textDirection w:val="btLr"/>
                          </w:pPr>
                          <w:r>
                            <w:rPr>
                              <w:rFonts w:ascii="Arial" w:eastAsia="Arial" w:hAnsi="Arial" w:cs="Arial"/>
                              <w:color w:val="ED7D31"/>
                              <w:sz w:val="144"/>
                            </w:rPr>
                            <w:t>VOTO DISIDENTE</w:t>
                          </w: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13261110" cy="13261110"/>
              <wp:effectExtent b="0" l="0" r="0" t="0"/>
              <wp:wrapNone/>
              <wp:docPr id="29"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3261110" cy="13261110"/>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995" w:rsidRDefault="00A348EA">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rPr>
      <w:drawing>
        <wp:anchor distT="0" distB="0" distL="0" distR="0" simplePos="0" relativeHeight="251658240" behindDoc="1" locked="0" layoutInCell="1" hidden="0" allowOverlap="1">
          <wp:simplePos x="0" y="0"/>
          <wp:positionH relativeFrom="column">
            <wp:posOffset>-1260471</wp:posOffset>
          </wp:positionH>
          <wp:positionV relativeFrom="paragraph">
            <wp:posOffset>-293366</wp:posOffset>
          </wp:positionV>
          <wp:extent cx="7510780" cy="9882505"/>
          <wp:effectExtent l="0" t="0" r="0" b="0"/>
          <wp:wrapNone/>
          <wp:docPr id="3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510780" cy="9882505"/>
                  </a:xfrm>
                  <a:prstGeom prst="rect">
                    <a:avLst/>
                  </a:prstGeom>
                  <a:ln/>
                </pic:spPr>
              </pic:pic>
            </a:graphicData>
          </a:graphic>
        </wp:anchor>
      </w:drawing>
    </w:r>
  </w:p>
  <w:p w:rsidR="006F6995" w:rsidRDefault="006F699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6F6995" w:rsidRDefault="006F699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6F6995" w:rsidRDefault="00A348EA">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p>
  <w:p w:rsidR="006F6995" w:rsidRDefault="00A348EA">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 00095/INFOEM/IP/RR/2025</w:t>
    </w:r>
  </w:p>
  <w:p w:rsidR="006F6995" w:rsidRDefault="00A348EA">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 Organismo Agua y Saneamiento de Toluca</w:t>
    </w:r>
  </w:p>
  <w:p w:rsidR="006F6995" w:rsidRDefault="00A348EA">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Comisionado Ponente: José Martínez Vilchis</w:t>
    </w:r>
  </w:p>
  <w:p w:rsidR="006F6995" w:rsidRDefault="006F6995">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995" w:rsidRDefault="006F6995">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995" w:rsidRDefault="006F6995">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995" w:rsidRDefault="006F699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6F6995" w:rsidRDefault="006F699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6F6995" w:rsidRDefault="006F699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6F6995" w:rsidRDefault="006F6995">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995" w:rsidRDefault="006F6995">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A52D0"/>
    <w:multiLevelType w:val="multilevel"/>
    <w:tmpl w:val="620258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6ED785F"/>
    <w:multiLevelType w:val="multilevel"/>
    <w:tmpl w:val="5E3EF68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995"/>
    <w:rsid w:val="006F6995"/>
    <w:rsid w:val="00884FB3"/>
    <w:rsid w:val="00A348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3AA3366-EF56-47BC-B0A7-F354D047C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val="es-ES" w:eastAsia="es-ES"/>
    </w:rPr>
  </w:style>
  <w:style w:type="character" w:customStyle="1" w:styleId="PrrafodelistaCar">
    <w:name w:val="Párrafo de lista Car"/>
    <w:link w:val="Prrafodelista"/>
    <w:uiPriority w:val="34"/>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table" w:styleId="Tablaconcuadrcula">
    <w:name w:val="Table Grid"/>
    <w:basedOn w:val="Tablanormal"/>
    <w:uiPriority w:val="39"/>
    <w:rsid w:val="00C34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qFormat/>
    <w:rsid w:val="0085760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85760C"/>
    <w:rPr>
      <w:rFonts w:ascii="Arial" w:eastAsia="Times New Roman" w:hAnsi="Arial" w:cs="Arial"/>
      <w:sz w:val="18"/>
      <w:szCs w:val="20"/>
      <w:lang w:val="es-ES" w:eastAsia="es-ES"/>
    </w:rPr>
  </w:style>
  <w:style w:type="paragraph" w:styleId="Textosinformato">
    <w:name w:val="Plain Text"/>
    <w:basedOn w:val="Normal"/>
    <w:link w:val="TextosinformatoCar"/>
    <w:unhideWhenUsed/>
    <w:rsid w:val="0085760C"/>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85760C"/>
    <w:rPr>
      <w:rFonts w:ascii="Courier New" w:eastAsia="Times New Roman" w:hAnsi="Courier New" w:cs="Times New Roman"/>
      <w:sz w:val="20"/>
      <w:szCs w:val="20"/>
      <w:lang w:val="es-ES"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9861E6"/>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861E6"/>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861E6"/>
    <w:rPr>
      <w:vertAlign w:val="superscript"/>
    </w:rPr>
  </w:style>
  <w:style w:type="paragraph" w:styleId="Sinespaciado">
    <w:name w:val="No Spacing"/>
    <w:aliases w:val="Francesa,INAI"/>
    <w:link w:val="SinespaciadoCar"/>
    <w:uiPriority w:val="1"/>
    <w:qFormat/>
    <w:rsid w:val="00AA4906"/>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AA4906"/>
    <w:rPr>
      <w:rFonts w:ascii="Times New Roman" w:eastAsia="Times New Roman" w:hAnsi="Times New Roman" w:cs="Times New Roman"/>
      <w:sz w:val="24"/>
      <w:szCs w:val="24"/>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CC58A3"/>
    <w:rPr>
      <w:color w:val="0563C1" w:themeColor="hyperlink"/>
      <w:u w:val="single"/>
    </w:rPr>
  </w:style>
  <w:style w:type="character" w:styleId="Hipervnculovisitado">
    <w:name w:val="FollowedHyperlink"/>
    <w:basedOn w:val="Fuentedeprrafopredeter"/>
    <w:uiPriority w:val="99"/>
    <w:semiHidden/>
    <w:unhideWhenUsed/>
    <w:rsid w:val="00CC58A3"/>
    <w:rPr>
      <w:color w:val="954F72" w:themeColor="followedHyperlink"/>
      <w:u w:val="single"/>
    </w:rPr>
  </w:style>
  <w:style w:type="table" w:customStyle="1" w:styleId="a">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infoem.org.mx/sites/default/files/normatividad/jun143.pdf"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bw2bns2gICluav8qkefTkRECCA==">CgMxLjAyCGguZ2pkZ3hzMgloLjMwajB6bGw4AHIhMWFpenlwUUdYc21rbWVCQllSOFE0ajFwSHhuTkFIS2Zm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2111</Words>
  <Characters>11616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13700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INFOEM517</cp:lastModifiedBy>
  <cp:revision>3</cp:revision>
  <cp:lastPrinted>2025-02-10T16:48:00Z</cp:lastPrinted>
  <dcterms:created xsi:type="dcterms:W3CDTF">2025-02-10T16:48:00Z</dcterms:created>
  <dcterms:modified xsi:type="dcterms:W3CDTF">2025-02-10T16:49:00Z</dcterms:modified>
</cp:coreProperties>
</file>