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ind w:right="51"/>
        <w:jc w:val="both"/>
        <w:rPr>
          <w:rFonts w:ascii="Palatino Linotype" w:cs="Palatino Linotype" w:eastAsia="Palatino Linotype" w:hAnsi="Palatino Linotype"/>
          <w:b w:val="1"/>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VIGÉSIMA SEGUNDA SESIÓN ORDINARIA DEL DIECINUEVE DE JUNIO DE DOS MIL VEINTICINCO EN LOS RECURSOS DE REVISIÓN 03670/INFOEM/IP/RR/2025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4026/INFOEM/IP/RR/2025, ACUMULADOS. </w:t>
      </w:r>
    </w:p>
    <w:p w:rsidR="00000000" w:rsidDel="00000000" w:rsidP="00000000" w:rsidRDefault="00000000" w:rsidRPr="00000000" w14:paraId="0000000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Pleno del Instituto de Transparencia, Acceso a la Información Pública y Protección de Datos Personales del Estado de México resolvió por unanimidad de votos, la Resolución relativa a los Recursos de Revisión </w:t>
      </w:r>
      <w:r w:rsidDel="00000000" w:rsidR="00000000" w:rsidRPr="00000000">
        <w:rPr>
          <w:rFonts w:ascii="Palatino Linotype" w:cs="Palatino Linotype" w:eastAsia="Palatino Linotype" w:hAnsi="Palatino Linotype"/>
          <w:b w:val="1"/>
          <w:rtl w:val="0"/>
        </w:rPr>
        <w:t xml:space="preserve">03670/INFOEM/IP/RR/2025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4026/INFOEM/IP/RR/2025, acumulados, </w:t>
      </w:r>
      <w:r w:rsidDel="00000000" w:rsidR="00000000" w:rsidRPr="00000000">
        <w:rPr>
          <w:rFonts w:ascii="Palatino Linotype" w:cs="Palatino Linotype" w:eastAsia="Palatino Linotype" w:hAnsi="Palatino Linotype"/>
          <w:rtl w:val="0"/>
        </w:rPr>
        <w:t xml:space="preserve">respecto de la cual, quien suscribe, emite </w:t>
      </w:r>
      <w:r w:rsidDel="00000000" w:rsidR="00000000" w:rsidRPr="00000000">
        <w:rPr>
          <w:rFonts w:ascii="Palatino Linotype" w:cs="Palatino Linotype" w:eastAsia="Palatino Linotype" w:hAnsi="Palatino Linotype"/>
          <w:b w:val="1"/>
          <w:rtl w:val="0"/>
        </w:rPr>
        <w:t xml:space="preserve">VOTO PARTICULAR</w:t>
      </w:r>
      <w:r w:rsidDel="00000000" w:rsidR="00000000" w:rsidRPr="00000000">
        <w:rPr>
          <w:rFonts w:ascii="Palatino Linotype" w:cs="Palatino Linotype" w:eastAsia="Palatino Linotype" w:hAnsi="Palatino Linotype"/>
          <w:rtl w:val="0"/>
        </w:rPr>
        <w:t xml:space="preserve">, con fundamento en lo dispuesto en los artículos 14, fracción XI, del Reglamento del Instituto de Transparencia, Acceso a la Información Pública y Protección de Personales Datos del Estado de México, así como 45 y 48, fracción I, de los Lineamientos para el funcionamiento del Pleno y las Comisiones del Instituto de Transparencia, Acceso a la Información Pública y Protección de Datos Personales del Estado de México y Municipios.</w:t>
      </w:r>
    </w:p>
    <w:p w:rsidR="00000000" w:rsidDel="00000000" w:rsidP="00000000" w:rsidRDefault="00000000" w:rsidRPr="00000000" w14:paraId="0000000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resulta importante señalar que coincido con los términos generales planteados en la Resolución, no obstante, considero que, en el caso de la nómina de los elementos operativos del cuerpo de seguridad pública municipal, deben tomarse en cuenta las consideraciones que a continuación se exponen. </w:t>
      </w:r>
    </w:p>
    <w:p w:rsidR="00000000" w:rsidDel="00000000" w:rsidP="00000000" w:rsidRDefault="00000000" w:rsidRPr="00000000" w14:paraId="00000004">
      <w:pPr>
        <w:spacing w:after="240" w:before="240" w:line="360" w:lineRule="auto"/>
        <w:ind w:right="51"/>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rFonts w:ascii="Palatino Linotype" w:cs="Palatino Linotype" w:eastAsia="Palatino Linotype" w:hAnsi="Palatino Linotype"/>
          <w:b w:val="1"/>
          <w:rtl w:val="0"/>
        </w:rPr>
        <w:t xml:space="preserve">los Municipios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0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0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08">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 </w:t>
      </w:r>
    </w:p>
    <w:p w:rsidR="00000000" w:rsidDel="00000000" w:rsidP="00000000" w:rsidRDefault="00000000" w:rsidRPr="00000000" w14:paraId="0000000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rsidR="00000000" w:rsidDel="00000000" w:rsidP="00000000" w:rsidRDefault="00000000" w:rsidRPr="00000000" w14:paraId="0000000A">
      <w:pPr>
        <w:spacing w:after="120" w:before="120" w:line="276" w:lineRule="auto"/>
        <w:ind w:left="567" w:right="61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r>
      <w:r w:rsidDel="00000000" w:rsidR="00000000" w:rsidRPr="00000000">
        <w:rPr>
          <w:rFonts w:ascii="Palatino Linotype" w:cs="Palatino Linotype" w:eastAsia="Palatino Linotype" w:hAnsi="Palatino Linotype"/>
          <w:b w:val="1"/>
          <w:i w:val="1"/>
          <w:sz w:val="20"/>
          <w:szCs w:val="20"/>
          <w:rtl w:val="0"/>
        </w:rPr>
        <w:t xml:space="preserve">Artículo 81.-</w:t>
      </w:r>
      <w:r w:rsidDel="00000000" w:rsidR="00000000" w:rsidRPr="00000000">
        <w:rPr>
          <w:rFonts w:ascii="Palatino Linotype" w:cs="Palatino Linotype" w:eastAsia="Palatino Linotype" w:hAnsi="Palatino Linotype"/>
          <w:i w:val="1"/>
          <w:sz w:val="20"/>
          <w:szCs w:val="20"/>
          <w:rtl w:val="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0B">
      <w:pPr>
        <w:spacing w:after="120" w:before="120" w:line="276" w:lineRule="auto"/>
        <w:ind w:left="567" w:right="61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00C">
      <w:pPr>
        <w:spacing w:after="120" w:before="120" w:line="276" w:lineRule="auto"/>
        <w:ind w:left="567" w:right="61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u w:val="single"/>
          <w:rtl w:val="0"/>
        </w:rPr>
        <w:t xml:space="preserve">II. Aquella cuya revelación pueda ser utilizada para actualizar o potenciar una amenaza a la seguridad pública o a las instituciones del Estado de México;</w:t>
      </w:r>
      <w:r w:rsidDel="00000000" w:rsidR="00000000" w:rsidRPr="00000000">
        <w:rPr>
          <w:rFonts w:ascii="Palatino Linotype" w:cs="Palatino Linotype" w:eastAsia="Palatino Linotype" w:hAnsi="Palatino Linotype"/>
          <w:b w:val="1"/>
          <w:i w:val="1"/>
          <w:sz w:val="20"/>
          <w:szCs w:val="20"/>
          <w:rtl w:val="0"/>
        </w:rPr>
        <w:t xml:space="preserve">” </w:t>
      </w:r>
      <w:r w:rsidDel="00000000" w:rsidR="00000000" w:rsidRPr="00000000">
        <w:rPr>
          <w:rtl w:val="0"/>
        </w:rPr>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armonía con esta disposición normativa, la Ley General de Transparencia y Acceso a la Información Pública, en su artículo 112,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 </w:t>
      </w:r>
    </w:p>
    <w:p w:rsidR="00000000" w:rsidDel="00000000" w:rsidP="00000000" w:rsidRDefault="00000000" w:rsidRPr="00000000" w14:paraId="0000000E">
      <w:pPr>
        <w:spacing w:after="120" w:before="120" w:line="276" w:lineRule="auto"/>
        <w:ind w:left="567" w:right="618" w:firstLine="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“Ley General de Transparencia y Acceso a la Información Pública:</w:t>
      </w:r>
    </w:p>
    <w:p w:rsidR="00000000" w:rsidDel="00000000" w:rsidP="00000000" w:rsidRDefault="00000000" w:rsidRPr="00000000" w14:paraId="0000000F">
      <w:pPr>
        <w:spacing w:after="120" w:before="120" w:line="276" w:lineRule="auto"/>
        <w:ind w:left="567" w:right="61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Artículo 112. </w:t>
      </w:r>
      <w:r w:rsidDel="00000000" w:rsidR="00000000" w:rsidRPr="00000000">
        <w:rPr>
          <w:rFonts w:ascii="Palatino Linotype" w:cs="Palatino Linotype" w:eastAsia="Palatino Linotype" w:hAnsi="Palatino Linotype"/>
          <w:i w:val="1"/>
          <w:sz w:val="20"/>
          <w:szCs w:val="20"/>
          <w:rtl w:val="0"/>
        </w:rPr>
        <w:t xml:space="preserve">Como información reservada podrá clasificarse aquella cuya publicación:</w:t>
        <w:br w:type="textWrapping"/>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I. Comprometa la seguridad nacional, la seguridad pública, la defensa nacional o la paz social</w:t>
      </w: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010">
      <w:pPr>
        <w:spacing w:after="120" w:before="120" w:line="276" w:lineRule="auto"/>
        <w:ind w:left="567" w:right="618" w:firstLine="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“Ley de Transparencia y Acceso a la Información Pública del Estado de México y Municipios: </w:t>
      </w:r>
    </w:p>
    <w:p w:rsidR="00000000" w:rsidDel="00000000" w:rsidP="00000000" w:rsidRDefault="00000000" w:rsidRPr="00000000" w14:paraId="00000011">
      <w:pPr>
        <w:spacing w:after="120" w:before="120" w:line="276" w:lineRule="auto"/>
        <w:ind w:left="567" w:right="61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Artículo 140</w:t>
      </w:r>
      <w:r w:rsidDel="00000000" w:rsidR="00000000" w:rsidRPr="00000000">
        <w:rPr>
          <w:rFonts w:ascii="Palatino Linotype" w:cs="Palatino Linotype" w:eastAsia="Palatino Linotype" w:hAnsi="Palatino Linotype"/>
          <w:i w:val="1"/>
          <w:sz w:val="20"/>
          <w:szCs w:val="20"/>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12">
      <w:pPr>
        <w:spacing w:after="120" w:before="120" w:line="276" w:lineRule="auto"/>
        <w:ind w:left="567" w:right="618"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I. Comprometa la seguridad pública y cuente con un propósito genuino y un efecto demostrable</w:t>
      </w:r>
      <w:r w:rsidDel="00000000" w:rsidR="00000000" w:rsidRPr="00000000">
        <w:rPr>
          <w:rFonts w:ascii="Palatino Linotype" w:cs="Palatino Linotype" w:eastAsia="Palatino Linotype" w:hAnsi="Palatino Linotype"/>
          <w:i w:val="1"/>
          <w:sz w:val="20"/>
          <w:szCs w:val="20"/>
          <w:rtl w:val="0"/>
        </w:rPr>
        <w:t xml:space="preserve">…”</w:t>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Lineamientos Generales en Materia de Clasificación y Desclasificación de la Información, vigentes a la fecha de presentación de la solicitud,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crucial señalar que estos Lineamientos señalan </w:t>
      </w:r>
      <w:r w:rsidDel="00000000" w:rsidR="00000000" w:rsidRPr="00000000">
        <w:rPr>
          <w:rFonts w:ascii="Palatino Linotype" w:cs="Palatino Linotype" w:eastAsia="Palatino Linotype" w:hAnsi="Palatino Linotype"/>
          <w:b w:val="1"/>
          <w:u w:val="single"/>
          <w:rtl w:val="0"/>
        </w:rPr>
        <w:t xml:space="preserve">que es susceptible de considerarse como reservada aquella que revele datos que pudieran ser aprovechados para conocer la capacidad de reacción de las instituciones encargadas de la seguridad pública</w:t>
      </w:r>
      <w:r w:rsidDel="00000000" w:rsidR="00000000" w:rsidRPr="00000000">
        <w:rPr>
          <w:rFonts w:ascii="Palatino Linotype" w:cs="Palatino Linotype" w:eastAsia="Palatino Linotype" w:hAnsi="Palatino Linotype"/>
          <w:rtl w:val="0"/>
        </w:rPr>
        <w:t xml:space="preserve">, sus planes, estrategias, tecnología, información, sistemas de comunicaciones.</w:t>
      </w:r>
    </w:p>
    <w:p w:rsidR="00000000" w:rsidDel="00000000" w:rsidP="00000000" w:rsidRDefault="00000000" w:rsidRPr="00000000" w14:paraId="0000001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16">
      <w:pPr>
        <w:spacing w:after="240" w:before="240" w:line="360" w:lineRule="auto"/>
        <w:ind w:right="49"/>
        <w:jc w:val="both"/>
        <w:rPr>
          <w:rFonts w:ascii="Palatino Linotype" w:cs="Palatino Linotype" w:eastAsia="Palatino Linotype" w:hAnsi="Palatino Linotype"/>
        </w:rPr>
      </w:pPr>
      <w:bookmarkStart w:colFirst="0" w:colLast="0" w:name="_heading=h.3znysh7" w:id="2"/>
      <w:bookmarkEnd w:id="2"/>
      <w:r w:rsidDel="00000000" w:rsidR="00000000" w:rsidRPr="00000000">
        <w:rPr>
          <w:rFonts w:ascii="Palatino Linotype" w:cs="Palatino Linotype" w:eastAsia="Palatino Linotype" w:hAnsi="Palatino Linotype"/>
          <w:rtl w:val="0"/>
        </w:rPr>
        <w:t xml:space="preserve">En conclusión, la reserva del personal operativo procede por dos circunstancias:</w:t>
      </w:r>
    </w:p>
    <w:p w:rsidR="00000000" w:rsidDel="00000000" w:rsidP="00000000" w:rsidRDefault="00000000" w:rsidRPr="00000000" w14:paraId="00000017">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Se identifica en términos concretos cómo es que la información requerida podría comprometer el ejercicio de sus facultades constitucionales y, con ello, la seguridad pública, en virtud de que: </w:t>
      </w:r>
    </w:p>
    <w:p w:rsidR="00000000" w:rsidDel="00000000" w:rsidP="00000000" w:rsidRDefault="00000000" w:rsidRPr="00000000" w14:paraId="00000018">
      <w:pPr>
        <w:spacing w:after="240" w:before="240" w:line="360"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información podría ser aprovechada por los grupos criminales para conocer la capacidad de reacción </w:t>
      </w:r>
    </w:p>
    <w:p w:rsidR="00000000" w:rsidDel="00000000" w:rsidP="00000000" w:rsidRDefault="00000000" w:rsidRPr="00000000" w14:paraId="00000019">
      <w:pPr>
        <w:spacing w:after="240" w:before="240" w:line="360" w:lineRule="auto"/>
        <w:ind w:left="567" w:right="49" w:firstLine="0"/>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rtl w:val="0"/>
        </w:rPr>
        <w:t xml:space="preserve">b) Con dicha información se revelarían a detalle las características funcionales del personal y con ello, su organización para el cumplimiento de sus funciones; y </w:t>
      </w:r>
    </w:p>
    <w:p w:rsidR="00000000" w:rsidDel="00000000" w:rsidP="00000000" w:rsidRDefault="00000000" w:rsidRPr="00000000" w14:paraId="0000001A">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Existe una relación causal general entre la entrega de la información y la afectación a la seguridad pública, pues los grupos criminales estarían en posibilidad de obstaculizar o bloquear actividades encaminadas a preservar el orden dentro de la dinámica social. </w:t>
      </w:r>
    </w:p>
    <w:p w:rsidR="00000000" w:rsidDel="00000000" w:rsidP="00000000" w:rsidRDefault="00000000" w:rsidRPr="00000000" w14:paraId="0000001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rtl w:val="0"/>
        </w:rPr>
        <w:t xml:space="preserve">estado de fuerza </w:t>
      </w:r>
      <w:r w:rsidDel="00000000" w:rsidR="00000000" w:rsidRPr="00000000">
        <w:rPr>
          <w:rFonts w:ascii="Palatino Linotype" w:cs="Palatino Linotype" w:eastAsia="Palatino Linotype" w:hAnsi="Palatino Linotype"/>
          <w:rtl w:val="0"/>
        </w:rPr>
        <w:t xml:space="preserve">con que cuentan el Estado y Municipios, mayor es la probabilidad de que la información pueda implementarse como medio para actualizar o potenciar una amenaza en contra de la seguridad pública de los mismos.</w:t>
      </w:r>
    </w:p>
    <w:p w:rsidR="00000000" w:rsidDel="00000000" w:rsidP="00000000" w:rsidRDefault="00000000" w:rsidRPr="00000000" w14:paraId="0000001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rsidR="00000000" w:rsidDel="00000000" w:rsidP="00000000" w:rsidRDefault="00000000" w:rsidRPr="00000000" w14:paraId="0000001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la información de los elementos operativos adscritos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pudiera dar a conocer el estado de fuerza y la capacidad de reacción del órgano público.</w:t>
      </w:r>
    </w:p>
    <w:p w:rsidR="00000000" w:rsidDel="00000000" w:rsidP="00000000" w:rsidRDefault="00000000" w:rsidRPr="00000000" w14:paraId="0000001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 suscrita considera que es de vital importancia señalar que para los casos en los que los particulares deseen conocer las percepciones de los elementos operativos de las instituciones de seguridad pública, estas se pueden otorgar mediante el tabulador de sueldos, pues en este soporte se asientan los puestos funcionales y las remuneraciones, como se observa a continuación:</w:t>
      </w:r>
    </w:p>
    <w:p w:rsidR="00000000" w:rsidDel="00000000" w:rsidP="00000000" w:rsidRDefault="00000000" w:rsidRPr="00000000" w14:paraId="0000001F">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1431934"/>
            <wp:effectExtent b="0" l="0" r="0" t="0"/>
            <wp:docPr id="3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860000" cy="143193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000" cy="2085301"/>
            <wp:effectExtent b="0" l="0" r="0" t="0"/>
            <wp:docPr id="34" name="image1.png"/>
            <a:graphic>
              <a:graphicData uri="http://schemas.openxmlformats.org/drawingml/2006/picture">
                <pic:pic>
                  <pic:nvPicPr>
                    <pic:cNvPr id="0" name="image1.png"/>
                    <pic:cNvPicPr preferRelativeResize="0"/>
                  </pic:nvPicPr>
                  <pic:blipFill>
                    <a:blip r:embed="rId8"/>
                    <a:srcRect b="40758" l="0" r="0" t="0"/>
                    <a:stretch>
                      <a:fillRect/>
                    </a:stretch>
                  </pic:blipFill>
                  <pic:spPr>
                    <a:xfrm>
                      <a:off x="0" y="0"/>
                      <a:ext cx="5400000" cy="2085301"/>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000" cy="1320367"/>
            <wp:effectExtent b="0" l="0" r="0" t="0"/>
            <wp:docPr id="33" name="image1.png"/>
            <a:graphic>
              <a:graphicData uri="http://schemas.openxmlformats.org/drawingml/2006/picture">
                <pic:pic>
                  <pic:nvPicPr>
                    <pic:cNvPr id="0" name="image1.png"/>
                    <pic:cNvPicPr preferRelativeResize="0"/>
                  </pic:nvPicPr>
                  <pic:blipFill>
                    <a:blip r:embed="rId8"/>
                    <a:srcRect b="0" l="0" r="0" t="62489"/>
                    <a:stretch>
                      <a:fillRect/>
                    </a:stretch>
                  </pic:blipFill>
                  <pic:spPr>
                    <a:xfrm>
                      <a:off x="0" y="0"/>
                      <a:ext cx="5400000" cy="132036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00000" cy="4814053"/>
            <wp:effectExtent b="0" l="0" r="0" t="0"/>
            <wp:docPr id="3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400000" cy="481405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360" w:lineRule="auto"/>
        <w:ind w:right="139"/>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rtl w:val="0"/>
        </w:rPr>
        <w:t xml:space="preserve">De manera que con la consulta de este documento podrá visualizarse con claridad el cargo y las percepciones, sin conocer el estado de fuerza de las entidades públicas y así no se restringe el derecho de acceso a la información de los particulares. </w:t>
      </w:r>
    </w:p>
    <w:p w:rsidR="00000000" w:rsidDel="00000000" w:rsidP="00000000" w:rsidRDefault="00000000" w:rsidRPr="00000000" w14:paraId="00000025">
      <w:pPr>
        <w:tabs>
          <w:tab w:val="left" w:leader="none" w:pos="851"/>
        </w:tabs>
        <w:spacing w:after="240" w:before="240" w:line="360" w:lineRule="auto"/>
        <w:ind w:right="49"/>
        <w:jc w:val="both"/>
        <w:rPr>
          <w:rFonts w:ascii="Palatino Linotype" w:cs="Palatino Linotype" w:eastAsia="Palatino Linotype" w:hAnsi="Palatino Linotype"/>
          <w:i w:val="1"/>
        </w:rPr>
      </w:pPr>
      <w:bookmarkStart w:colFirst="0" w:colLast="0" w:name="_heading=h.jkaxn8mgxy7q" w:id="5"/>
      <w:bookmarkEnd w:id="5"/>
      <w:r w:rsidDel="00000000" w:rsidR="00000000" w:rsidRPr="00000000">
        <w:rPr>
          <w:rFonts w:ascii="Palatino Linotype" w:cs="Palatino Linotype" w:eastAsia="Palatino Linotype" w:hAnsi="Palatino Linotype"/>
          <w:rtl w:val="0"/>
        </w:rPr>
        <w:t xml:space="preserve">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rFonts w:ascii="Palatino Linotype" w:cs="Palatino Linotype" w:eastAsia="Palatino Linotype" w:hAnsi="Palatino Linotype"/>
          <w:b w:val="1"/>
          <w:u w:val="single"/>
          <w:rtl w:val="0"/>
        </w:rPr>
        <w:t xml:space="preserve">facilitaría a las células delictivas el neutralizar las acciones implementadas o por implementar para la preservación de la paz pública, afectando así su estado de fuerza</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b w:val="1"/>
          <w:u w:val="single"/>
          <w:rtl w:val="0"/>
        </w:rPr>
        <w:t xml:space="preserve">o bien les permita realizar actos para amenazar, inhibir, extorsionar o corromper las funciones del personal operativo, lo que causaría una vulneración a la Seguridad Municipal, </w:t>
      </w:r>
      <w:r w:rsidDel="00000000" w:rsidR="00000000" w:rsidRPr="00000000">
        <w:rPr>
          <w:rFonts w:ascii="Palatino Linotype" w:cs="Palatino Linotype" w:eastAsia="Palatino Linotype" w:hAnsi="Palatino Linotype"/>
          <w:rtl w:val="0"/>
        </w:rPr>
        <w:t xml:space="preserve">por lo tanto la suscrita no comparte las consideraciones vertidas en la resolución respecto del tratamiento que se le da a la información relativa a elementos operativos de instituciones de seguridad pública, y  por ende formula el presente </w:t>
      </w:r>
      <w:r w:rsidDel="00000000" w:rsidR="00000000" w:rsidRPr="00000000">
        <w:rPr>
          <w:rFonts w:ascii="Palatino Linotype" w:cs="Palatino Linotype" w:eastAsia="Palatino Linotype" w:hAnsi="Palatino Linotype"/>
          <w:b w:val="1"/>
          <w:rtl w:val="0"/>
        </w:rPr>
        <w:t xml:space="preserve">VOTO PARTICULAR.</w:t>
      </w:r>
      <w:r w:rsidDel="00000000" w:rsidR="00000000" w:rsidRPr="00000000">
        <w:rPr>
          <w:rtl w:val="0"/>
        </w:rPr>
      </w:r>
    </w:p>
    <w:p w:rsidR="00000000" w:rsidDel="00000000" w:rsidP="00000000" w:rsidRDefault="00000000" w:rsidRPr="00000000" w14:paraId="00000026">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7">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8">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9">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A">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B">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C">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D">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E">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F">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0">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1">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2">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3">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4">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5">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6">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7">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8">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9">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A">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B">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C">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D">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E">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F">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0">
      <w:pPr>
        <w:tabs>
          <w:tab w:val="left" w:leader="none" w:pos="851"/>
        </w:tabs>
        <w:spacing w:after="0" w:line="240" w:lineRule="auto"/>
        <w:ind w:right="902"/>
        <w:jc w:val="both"/>
        <w:rPr>
          <w:rFonts w:ascii="Palatino Linotype" w:cs="Palatino Linotype" w:eastAsia="Palatino Linotype" w:hAnsi="Palatino Linotype"/>
          <w:i w:val="1"/>
        </w:rPr>
      </w:pPr>
      <w:bookmarkStart w:colFirst="0" w:colLast="0" w:name="_heading=h.30j0zll" w:id="6"/>
      <w:bookmarkEnd w:id="6"/>
      <w:r w:rsidDel="00000000" w:rsidR="00000000" w:rsidRPr="00000000">
        <w:rPr>
          <w:rtl w:val="0"/>
        </w:rPr>
      </w:r>
    </w:p>
    <w:p w:rsidR="00000000" w:rsidDel="00000000" w:rsidP="00000000" w:rsidRDefault="00000000" w:rsidRPr="00000000" w14:paraId="00000041">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2">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3">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4">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5">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6">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7">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8">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9">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A">
      <w:pPr>
        <w:tabs>
          <w:tab w:val="left" w:leader="none" w:pos="851"/>
        </w:tabs>
        <w:spacing w:after="0" w:line="24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B">
      <w:pPr>
        <w:spacing w:after="0" w:line="360" w:lineRule="auto"/>
        <w:ind w:right="42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tabs>
          <w:tab w:val="left" w:leader="none" w:pos="709"/>
        </w:tabs>
        <w:spacing w:after="0" w:line="360" w:lineRule="auto"/>
        <w:jc w:val="both"/>
        <w:rPr>
          <w:rFonts w:ascii="Palatino Linotype" w:cs="Palatino Linotype" w:eastAsia="Palatino Linotype" w:hAnsi="Palatino Linotype"/>
          <w:b w:val="1"/>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2552" w:top="1985" w:left="1701" w:right="1701" w:header="709" w:footer="58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b w:val="1"/>
      </w:rPr>
    </w:pPr>
    <w:r w:rsidDel="00000000" w:rsidR="00000000" w:rsidRPr="00000000">
      <w:rPr>
        <w:rtl w:val="0"/>
      </w:rPr>
    </w:r>
  </w:p>
  <w:tbl>
    <w:tblPr>
      <w:tblStyle w:val="Table1"/>
      <w:tblW w:w="5807.0" w:type="dxa"/>
      <w:jc w:val="left"/>
      <w:tblInd w:w="297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3397"/>
      <w:tblGridChange w:id="0">
        <w:tblGrid>
          <w:gridCol w:w="2410"/>
          <w:gridCol w:w="3397"/>
        </w:tblGrid>
      </w:tblGridChange>
    </w:tblGrid>
    <w:tr>
      <w:trPr>
        <w:cantSplit w:val="0"/>
        <w:tblHeader w:val="0"/>
      </w:trPr>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VOTO PARTICULAR</w:t>
          </w:r>
        </w:p>
      </w:tc>
    </w:tr>
    <w:tr>
      <w:trPr>
        <w:cantSplit w:val="0"/>
        <w:trHeight w:val="359" w:hRule="atLeast"/>
        <w:tblHeader w:val="0"/>
      </w:trPr>
      <w:tc>
        <w:tcPr>
          <w:vAlign w:val="center"/>
        </w:tcPr>
        <w:p w:rsidR="00000000" w:rsidDel="00000000" w:rsidP="00000000" w:rsidRDefault="00000000" w:rsidRPr="00000000" w14:paraId="00000051">
          <w:pPr>
            <w:tabs>
              <w:tab w:val="center" w:leader="none" w:pos="4419"/>
              <w:tab w:val="right" w:leader="none" w:pos="8838"/>
            </w:tabs>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Recursos de Revisión:</w:t>
          </w:r>
        </w:p>
      </w:tc>
      <w:tc>
        <w:tcP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419"/>
              <w:tab w:val="right" w:leader="none" w:pos="8838"/>
            </w:tabs>
            <w:jc w:val="both"/>
            <w:rPr>
              <w:rFonts w:ascii="Palatino Linotype" w:cs="Palatino Linotype" w:eastAsia="Palatino Linotype" w:hAnsi="Palatino Linotype"/>
              <w:b w:val="1"/>
              <w:color w:val="000000"/>
              <w:sz w:val="20"/>
              <w:szCs w:val="20"/>
            </w:rPr>
          </w:pPr>
          <w:bookmarkStart w:colFirst="0" w:colLast="0" w:name="_heading=h.3dy6vkm" w:id="7"/>
          <w:bookmarkEnd w:id="7"/>
          <w:r w:rsidDel="00000000" w:rsidR="00000000" w:rsidRPr="00000000">
            <w:rPr>
              <w:rFonts w:ascii="Palatino Linotype" w:cs="Palatino Linotype" w:eastAsia="Palatino Linotype" w:hAnsi="Palatino Linotype"/>
              <w:b w:val="1"/>
              <w:color w:val="000000"/>
              <w:sz w:val="20"/>
              <w:szCs w:val="20"/>
              <w:rtl w:val="0"/>
            </w:rPr>
            <w:t xml:space="preserve">03670/INFOEM/IP/RR/2025 y acumulados</w:t>
          </w:r>
        </w:p>
      </w:tc>
    </w:tr>
    <w:tr>
      <w:trPr>
        <w:cantSplit w:val="0"/>
        <w:tblHeader w:val="0"/>
      </w:trPr>
      <w:tc>
        <w:tcPr/>
        <w:p w:rsidR="00000000" w:rsidDel="00000000" w:rsidP="00000000" w:rsidRDefault="00000000" w:rsidRPr="00000000" w14:paraId="00000053">
          <w:pPr>
            <w:tabs>
              <w:tab w:val="center" w:leader="none" w:pos="4419"/>
              <w:tab w:val="right" w:leader="none" w:pos="8838"/>
            </w:tabs>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Sujeto Obligado:</w:t>
          </w:r>
        </w:p>
      </w:tc>
      <w:tc>
        <w:tcPr/>
        <w:p w:rsidR="00000000" w:rsidDel="00000000" w:rsidP="00000000" w:rsidRDefault="00000000" w:rsidRPr="00000000" w14:paraId="00000054">
          <w:pPr>
            <w:tabs>
              <w:tab w:val="center" w:leader="none" w:pos="4419"/>
              <w:tab w:val="right" w:leader="none" w:pos="8838"/>
            </w:tabs>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Ayuntamiento de Temascalcingo</w:t>
          </w:r>
        </w:p>
      </w:tc>
    </w:tr>
    <w:tr>
      <w:trPr>
        <w:cantSplit w:val="0"/>
        <w:trHeight w:val="299" w:hRule="atLeast"/>
        <w:tblHeader w:val="0"/>
      </w:trPr>
      <w:tc>
        <w:tcPr/>
        <w:p w:rsidR="00000000" w:rsidDel="00000000" w:rsidP="00000000" w:rsidRDefault="00000000" w:rsidRPr="00000000" w14:paraId="00000055">
          <w:pPr>
            <w:tabs>
              <w:tab w:val="center" w:leader="none" w:pos="4419"/>
              <w:tab w:val="right" w:leader="none" w:pos="8838"/>
            </w:tabs>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Comisionada Ponente:</w:t>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419"/>
              <w:tab w:val="right" w:leader="none" w:pos="8838"/>
            </w:tabs>
            <w:jc w:val="both"/>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José Martínez Vilchis</w:t>
          </w:r>
        </w:p>
      </w:tc>
    </w:tr>
  </w:tbl>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-707521</wp:posOffset>
          </wp:positionH>
          <wp:positionV relativeFrom="paragraph">
            <wp:posOffset>-1205666</wp:posOffset>
          </wp:positionV>
          <wp:extent cx="7521053" cy="9897494"/>
          <wp:effectExtent b="0" l="0" r="0" t="0"/>
          <wp:wrapNone/>
          <wp:docPr id="3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521053" cy="9897494"/>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607BA"/>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TableNormalf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rPr>
  </w:style>
  <w:style w:type="character" w:styleId="EncabezadoCar" w:customStyle="1">
    <w:name w:val="Encabezado Car"/>
    <w:basedOn w:val="Fuentedeprrafopredeter"/>
    <w:link w:val="Encabezado"/>
    <w:uiPriority w:val="99"/>
    <w:rsid w:val="000607B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rPr>
  </w:style>
  <w:style w:type="character" w:styleId="PiedepginaCar" w:customStyle="1">
    <w:name w:val="Pie de página Car"/>
    <w:basedOn w:val="Fuentedeprrafopredeter"/>
    <w:link w:val="Piedepgina"/>
    <w:uiPriority w:val="99"/>
    <w:rsid w:val="000607BA"/>
    <w:rPr>
      <w:rFonts w:ascii="Times New Roman" w:cs="Times New Roman" w:eastAsia="Times New Roman" w:hAnsi="Times New Roman"/>
      <w:sz w:val="24"/>
      <w:szCs w:val="24"/>
      <w:lang w:eastAsia="es-ES" w:val="es-ES"/>
    </w:rPr>
  </w:style>
  <w:style w:type="paragraph" w:styleId="NormalWeb">
    <w:name w:val="Normal (Web)"/>
    <w:basedOn w:val="Normal"/>
    <w:uiPriority w:val="99"/>
    <w:rsid w:val="000607BA"/>
    <w:pPr>
      <w:spacing w:after="100" w:afterAutospacing="1" w:before="100" w:beforeAutospacing="1" w:line="240" w:lineRule="auto"/>
    </w:pPr>
    <w:rPr>
      <w:rFonts w:ascii="Times New Roman" w:cs="Times New Roman" w:eastAsia="Times New Roman" w:hAnsi="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0607BA"/>
    <w:pPr>
      <w:spacing w:after="0" w:line="240" w:lineRule="auto"/>
      <w:ind w:left="720"/>
      <w:contextualSpacing w:val="1"/>
    </w:pPr>
    <w:rPr>
      <w:rFonts w:ascii="Times New Roman" w:cs="Times New Roman" w:hAnsi="Times New Roman"/>
      <w:sz w:val="24"/>
      <w:szCs w:val="24"/>
      <w:lang w:eastAsia="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0607BA"/>
    <w:rPr>
      <w:rFonts w:ascii="Times New Roman" w:cs="Times New Roman" w:eastAsia="Calibri" w:hAnsi="Times New Roman"/>
      <w:sz w:val="24"/>
      <w:szCs w:val="24"/>
      <w:lang w:eastAsia="es-ES" w:val="es-ES"/>
    </w:rPr>
  </w:style>
  <w:style w:type="paragraph" w:styleId="Textodeglobo">
    <w:name w:val="Balloon Text"/>
    <w:basedOn w:val="Normal"/>
    <w:link w:val="TextodegloboCar"/>
    <w:uiPriority w:val="99"/>
    <w:semiHidden w:val="1"/>
    <w:unhideWhenUsed w:val="1"/>
    <w:rsid w:val="00456467"/>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56467"/>
    <w:rPr>
      <w:rFonts w:ascii="Segoe UI" w:cs="Segoe UI" w:hAnsi="Segoe UI"/>
      <w:sz w:val="18"/>
      <w:szCs w:val="18"/>
    </w:rPr>
  </w:style>
  <w:style w:type="character" w:styleId="apple-converted-space" w:customStyle="1">
    <w:name w:val="apple-converted-space"/>
    <w:basedOn w:val="Fuentedeprrafopredeter"/>
    <w:rsid w:val="002618A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921613"/>
    <w:pPr>
      <w:spacing w:after="0" w:line="240" w:lineRule="auto"/>
    </w:pPr>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61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921613"/>
    <w:rPr>
      <w:vertAlign w:val="superscript"/>
    </w:rPr>
  </w:style>
  <w:style w:type="character" w:styleId="Hipervnculo">
    <w:name w:val="Hyperlink"/>
    <w:basedOn w:val="Fuentedeprrafopredeter"/>
    <w:uiPriority w:val="99"/>
    <w:unhideWhenUsed w:val="1"/>
    <w:rsid w:val="00696A57"/>
    <w:rPr>
      <w:color w:val="0000ff"/>
      <w:u w:val="single"/>
    </w:rPr>
  </w:style>
  <w:style w:type="paragraph" w:styleId="paragraph" w:customStyle="1">
    <w:name w:val="paragraph"/>
    <w:basedOn w:val="Normal"/>
    <w:rsid w:val="00C964CC"/>
    <w:pPr>
      <w:spacing w:after="100" w:afterAutospacing="1" w:before="100" w:beforeAutospacing="1" w:line="240" w:lineRule="auto"/>
    </w:pPr>
    <w:rPr>
      <w:rFonts w:ascii="Times New Roman" w:cs="Times New Roman" w:eastAsia="Times New Roman" w:hAnsi="Times New Roman"/>
      <w:sz w:val="24"/>
      <w:szCs w:val="24"/>
      <w:lang w:val="en-US"/>
    </w:rPr>
  </w:style>
  <w:style w:type="table" w:styleId="Tablaconcuadrcula1" w:customStyle="1">
    <w:name w:val="Tabla con cuadrícula1"/>
    <w:basedOn w:val="Tablanormal"/>
    <w:next w:val="Tablaconcuadrcula"/>
    <w:uiPriority w:val="59"/>
    <w:rsid w:val="00C964CC"/>
    <w:pPr>
      <w:spacing w:after="0" w:line="240" w:lineRule="auto"/>
    </w:pPr>
    <w:rPr>
      <w:rFonts w:cs="Times New Roman"/>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
    <w:name w:val="Table Grid"/>
    <w:basedOn w:val="Tablanormal"/>
    <w:uiPriority w:val="59"/>
    <w:rsid w:val="00C964C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Fundamentos" w:customStyle="1">
    <w:name w:val="Fundamentos"/>
    <w:basedOn w:val="Normal"/>
    <w:qFormat w:val="1"/>
    <w:rsid w:val="00DB4997"/>
    <w:pPr>
      <w:pBdr>
        <w:top w:space="0" w:sz="0" w:val="nil"/>
        <w:left w:space="0" w:sz="0" w:val="nil"/>
        <w:bottom w:space="0" w:sz="0" w:val="nil"/>
        <w:right w:space="0" w:sz="0" w:val="nil"/>
        <w:between w:space="0" w:sz="0" w:val="nil"/>
      </w:pBdr>
      <w:spacing w:after="0" w:line="240" w:lineRule="auto"/>
      <w:ind w:left="567" w:right="567"/>
      <w:contextualSpacing w:val="1"/>
      <w:jc w:val="both"/>
    </w:pPr>
    <w:rPr>
      <w:rFonts w:ascii="Palatino Linotype" w:cs="Palatino Linotype" w:eastAsia="Palatino Linotype" w:hAnsi="Palatino Linotype"/>
      <w:i w:val="1"/>
      <w:color w:val="000000"/>
      <w:szCs w:val="24"/>
      <w:lang w:val="es-ES_tradnl"/>
    </w:rPr>
  </w:style>
  <w:style w:type="paragraph" w:styleId="Sinespaciado">
    <w:name w:val="No Spacing"/>
    <w:aliases w:val="Francesa,INAI"/>
    <w:link w:val="SinespaciadoCar"/>
    <w:uiPriority w:val="1"/>
    <w:qFormat w:val="1"/>
    <w:rsid w:val="00515C3E"/>
    <w:pPr>
      <w:spacing w:after="0" w:line="240" w:lineRule="auto"/>
      <w:ind w:left="567" w:right="567"/>
      <w:jc w:val="both"/>
    </w:pPr>
    <w:rPr>
      <w:rFonts w:ascii="Arial" w:cs="Times New Roman" w:eastAsia="Batang" w:hAnsi="Arial"/>
      <w:sz w:val="20"/>
      <w:szCs w:val="24"/>
      <w:lang w:eastAsia="es-ES" w:val="es-MX"/>
    </w:rPr>
  </w:style>
  <w:style w:type="character" w:styleId="SinespaciadoCar" w:customStyle="1">
    <w:name w:val="Sin espaciado Car"/>
    <w:aliases w:val="Francesa Car,INAI Car"/>
    <w:basedOn w:val="Fuentedeprrafopredeter"/>
    <w:link w:val="Sinespaciado"/>
    <w:uiPriority w:val="1"/>
    <w:qFormat w:val="1"/>
    <w:rsid w:val="00515C3E"/>
    <w:rPr>
      <w:rFonts w:ascii="Arial" w:cs="Times New Roman" w:eastAsia="Batang" w:hAnsi="Arial"/>
      <w:sz w:val="20"/>
      <w:szCs w:val="24"/>
      <w:lang w:eastAsia="es-ES" w:val="es-MX"/>
    </w:rPr>
  </w:style>
  <w:style w:type="paragraph" w:styleId="Citas" w:customStyle="1">
    <w:name w:val="Citas"/>
    <w:basedOn w:val="Normal"/>
    <w:qFormat w:val="1"/>
    <w:rsid w:val="00537CBA"/>
    <w:pPr>
      <w:spacing w:before="240" w:line="360" w:lineRule="auto"/>
      <w:ind w:left="851" w:right="851"/>
      <w:jc w:val="both"/>
    </w:pPr>
    <w:rPr>
      <w:rFonts w:ascii="Palatino Linotype" w:cs="Arial" w:hAnsi="Palatino Linotype" w:eastAsiaTheme="minorHAnsi"/>
      <w:i w:val="1"/>
      <w:lang w:eastAsia="en-US" w:val="es-MX"/>
    </w:rPr>
  </w:style>
  <w:style w:type="character" w:styleId="Refdecomentario">
    <w:name w:val="annotation reference"/>
    <w:basedOn w:val="Fuentedeprrafopredeter"/>
    <w:uiPriority w:val="99"/>
    <w:semiHidden w:val="1"/>
    <w:unhideWhenUsed w:val="1"/>
    <w:rsid w:val="00537CBA"/>
    <w:rPr>
      <w:sz w:val="16"/>
      <w:szCs w:val="16"/>
    </w:rPr>
  </w:style>
  <w:style w:type="table" w:styleId="a" w:customStyle="1">
    <w:basedOn w:val="TableNormal5"/>
    <w:pPr>
      <w:spacing w:after="0" w:line="240" w:lineRule="auto"/>
    </w:pPr>
    <w:tblPr>
      <w:tblStyleRowBandSize w:val="1"/>
      <w:tblStyleColBandSize w:val="1"/>
      <w:tblCellMar>
        <w:left w:w="108.0" w:type="dxa"/>
        <w:right w:w="108.0" w:type="dxa"/>
      </w:tblCellMar>
    </w:tblPr>
  </w:style>
  <w:style w:type="table" w:styleId="a0" w:customStyle="1">
    <w:basedOn w:val="TableNormal4"/>
    <w:pPr>
      <w:spacing w:after="0" w:line="240" w:lineRule="auto"/>
    </w:pPr>
    <w:tblPr>
      <w:tblStyleRowBandSize w:val="1"/>
      <w:tblStyleColBandSize w:val="1"/>
      <w:tblCellMar>
        <w:left w:w="108.0" w:type="dxa"/>
        <w:right w:w="108.0" w:type="dxa"/>
      </w:tblCellMar>
    </w:tblPr>
  </w:style>
  <w:style w:type="table" w:styleId="a1" w:customStyle="1">
    <w:basedOn w:val="TableNormal3"/>
    <w:pPr>
      <w:spacing w:after="0" w:line="240" w:lineRule="auto"/>
    </w:pPr>
    <w:tblPr>
      <w:tblStyleRowBandSize w:val="1"/>
      <w:tblStyleColBandSize w:val="1"/>
      <w:tblCellMar>
        <w:left w:w="108.0" w:type="dxa"/>
        <w:right w:w="108.0" w:type="dxa"/>
      </w:tblCellMar>
    </w:tblPr>
  </w:style>
  <w:style w:type="table" w:styleId="a2" w:customStyle="1">
    <w:basedOn w:val="TableNormal2"/>
    <w:pPr>
      <w:spacing w:after="0" w:line="240" w:lineRule="auto"/>
    </w:pPr>
    <w:tblPr>
      <w:tblStyleRowBandSize w:val="1"/>
      <w:tblStyleColBandSize w:val="1"/>
      <w:tblCellMar>
        <w:left w:w="108.0" w:type="dxa"/>
        <w:right w:w="108.0" w:type="dxa"/>
      </w:tblCellMar>
    </w:tblPr>
  </w:style>
  <w:style w:type="table" w:styleId="a3" w:customStyle="1">
    <w:basedOn w:val="TableNormal1"/>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5Fhl/3b2hSIUQs3v8wdajPzyaQ==">CgMxLjAyCGguZ2pkZ3hzMgloLjJldDkycDAyCWguM3pueXNoNzIJaC4xZm9iOXRlMghoLnR5amN3dDIOaC5qa2F4bjhtZ3h5N3EyCWguMzBqMHpsbDIJaC4zZHk2dmttOAByITEyNjA3QU5LN1BWRU9rakFIS2Z3alBZVkRDLW1Hc1BvTA==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2025-06-20T20:44:00Z</dcterms:created>
  <dc:creator>USUARIO</dc:creator>
</cp:coreProperties>
</file>