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B766" w14:textId="46CB4686" w:rsidR="00893550" w:rsidRDefault="00FD196E">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0A7978">
        <w:rPr>
          <w:rFonts w:ascii="Palatino Linotype" w:eastAsia="Palatino Linotype" w:hAnsi="Palatino Linotype" w:cs="Palatino Linotype"/>
          <w:b/>
        </w:rPr>
        <w:t>DÉCIMA PRIMERA</w:t>
      </w:r>
      <w:r>
        <w:rPr>
          <w:rFonts w:ascii="Palatino Linotype" w:eastAsia="Palatino Linotype" w:hAnsi="Palatino Linotype" w:cs="Palatino Linotype"/>
          <w:b/>
        </w:rPr>
        <w:t xml:space="preserve"> SESIÓN ORDINARIA CELEBRADA EL </w:t>
      </w:r>
      <w:r w:rsidR="000A7978">
        <w:rPr>
          <w:rFonts w:ascii="Palatino Linotype" w:eastAsia="Palatino Linotype" w:hAnsi="Palatino Linotype" w:cs="Palatino Linotype"/>
          <w:b/>
        </w:rPr>
        <w:t>VEINTISÉIS</w:t>
      </w:r>
      <w:r>
        <w:rPr>
          <w:rFonts w:ascii="Palatino Linotype" w:eastAsia="Palatino Linotype" w:hAnsi="Palatino Linotype" w:cs="Palatino Linotype"/>
          <w:b/>
        </w:rPr>
        <w:t xml:space="preserve"> DE MARZO DE DOS MIL VEINTICINCO, EN EL RECURSO DE REVISIÓN 0</w:t>
      </w:r>
      <w:r w:rsidR="000A7978">
        <w:rPr>
          <w:rFonts w:ascii="Palatino Linotype" w:eastAsia="Palatino Linotype" w:hAnsi="Palatino Linotype" w:cs="Palatino Linotype"/>
          <w:b/>
        </w:rPr>
        <w:t>2030</w:t>
      </w:r>
      <w:r>
        <w:rPr>
          <w:rFonts w:ascii="Palatino Linotype" w:eastAsia="Palatino Linotype" w:hAnsi="Palatino Linotype" w:cs="Palatino Linotype"/>
          <w:b/>
        </w:rPr>
        <w:t>/INFOEM/IP/RR/2025.</w:t>
      </w:r>
    </w:p>
    <w:p w14:paraId="559EA589" w14:textId="5BF552AC" w:rsidR="00893550" w:rsidRDefault="00FD196E">
      <w:pPr>
        <w:spacing w:before="240" w:after="24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rPr>
        <w:t>0</w:t>
      </w:r>
      <w:r w:rsidR="000A7978">
        <w:rPr>
          <w:rFonts w:ascii="Palatino Linotype" w:eastAsia="Palatino Linotype" w:hAnsi="Palatino Linotype" w:cs="Palatino Linotype"/>
          <w:b/>
        </w:rPr>
        <w:t>2030</w:t>
      </w:r>
      <w:r>
        <w:rPr>
          <w:rFonts w:ascii="Palatino Linotype" w:eastAsia="Palatino Linotype" w:hAnsi="Palatino Linotype" w:cs="Palatino Linotype"/>
          <w:b/>
        </w:rPr>
        <w:t xml:space="preserve">/INFOEM/IP/RR/2025, </w:t>
      </w:r>
      <w:r>
        <w:rPr>
          <w:rFonts w:ascii="Palatino Linotype" w:eastAsia="Palatino Linotype" w:hAnsi="Palatino Linotype" w:cs="Palatino Linotype"/>
        </w:rPr>
        <w:t xml:space="preserve">pronunciada por el </w:t>
      </w:r>
      <w:r>
        <w:rPr>
          <w:rFonts w:ascii="Palatino Linotype" w:eastAsia="Palatino Linotype" w:hAnsi="Palatino Linotype" w:cs="Palatino Linotype"/>
          <w:b/>
        </w:rPr>
        <w:t xml:space="preserve">Comisionado </w:t>
      </w:r>
      <w:proofErr w:type="gramStart"/>
      <w:r>
        <w:rPr>
          <w:rFonts w:ascii="Palatino Linotype" w:eastAsia="Palatino Linotype" w:hAnsi="Palatino Linotype" w:cs="Palatino Linotype"/>
          <w:b/>
        </w:rPr>
        <w:t>Presidente</w:t>
      </w:r>
      <w:proofErr w:type="gramEnd"/>
      <w:r>
        <w:rPr>
          <w:rFonts w:ascii="Palatino Linotype" w:eastAsia="Palatino Linotype" w:hAnsi="Palatino Linotype" w:cs="Palatino Linotype"/>
          <w:b/>
        </w:rPr>
        <w:t xml:space="preserve"> José Martínez Vilchis</w:t>
      </w:r>
      <w:r>
        <w:rPr>
          <w:rFonts w:ascii="Palatino Linotype" w:eastAsia="Palatino Linotype" w:hAnsi="Palatino Linotype" w:cs="Palatino Linotype"/>
        </w:rPr>
        <w:t xml:space="preserve">, que es del tenor siguiente: </w:t>
      </w:r>
    </w:p>
    <w:p w14:paraId="42415EAC" w14:textId="77777777" w:rsidR="00893550" w:rsidRDefault="00FD196E">
      <w:pPr>
        <w:numPr>
          <w:ilvl w:val="0"/>
          <w:numId w:val="1"/>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14:paraId="60D9C785" w14:textId="4AFBF6E1" w:rsidR="00893550" w:rsidRDefault="00FD196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 otros documentos, </w:t>
      </w:r>
      <w:r w:rsidR="000A7978">
        <w:rPr>
          <w:rFonts w:ascii="Palatino Linotype" w:eastAsia="Palatino Linotype" w:hAnsi="Palatino Linotype" w:cs="Palatino Linotype"/>
        </w:rPr>
        <w:t xml:space="preserve">cédulas profesionales de cada uno de los directores, subdirectores, coordinadores y jefes de área que integran la Administración Pública Municipal 2025-2027. </w:t>
      </w:r>
    </w:p>
    <w:p w14:paraId="1196F630" w14:textId="6508B6E0" w:rsidR="000A7978" w:rsidRDefault="00FD196E" w:rsidP="000A797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se pronunció por conducto de</w:t>
      </w:r>
      <w:r>
        <w:rPr>
          <w:rFonts w:ascii="Palatino Linotype" w:eastAsia="Palatino Linotype" w:hAnsi="Palatino Linotype" w:cs="Palatino Linotype"/>
          <w:color w:val="000000"/>
        </w:rPr>
        <w:t xml:space="preserve"> la Dirección de Administración, </w:t>
      </w:r>
      <w:r w:rsidR="000A7978">
        <w:rPr>
          <w:rFonts w:ascii="Palatino Linotype" w:eastAsia="Palatino Linotype" w:hAnsi="Palatino Linotype" w:cs="Palatino Linotype"/>
          <w:color w:val="000000"/>
        </w:rPr>
        <w:t xml:space="preserve">quien proporcionó un listado con el nombre de directores, subdirectores, coordinadores y jefes de área; así como, cédulas profesionales de servidores públicos; </w:t>
      </w:r>
      <w:r w:rsidR="000A7978">
        <w:rPr>
          <w:rFonts w:ascii="Palatino Linotype" w:eastAsia="Palatino Linotype" w:hAnsi="Palatino Linotype" w:cs="Palatino Linotype"/>
        </w:rPr>
        <w:t xml:space="preserve">una </w:t>
      </w:r>
      <w:r w:rsidR="000A7978">
        <w:rPr>
          <w:rFonts w:ascii="Palatino Linotype" w:eastAsia="Palatino Linotype" w:hAnsi="Palatino Linotype" w:cs="Palatino Linotype"/>
        </w:rPr>
        <w:lastRenderedPageBreak/>
        <w:t xml:space="preserve">vez conocida la respuesta, la parte </w:t>
      </w:r>
      <w:r w:rsidR="000A7978">
        <w:rPr>
          <w:rFonts w:ascii="Palatino Linotype" w:eastAsia="Palatino Linotype" w:hAnsi="Palatino Linotype" w:cs="Palatino Linotype"/>
          <w:b/>
        </w:rPr>
        <w:t xml:space="preserve">Recurrente </w:t>
      </w:r>
      <w:r w:rsidR="000A7978">
        <w:rPr>
          <w:rFonts w:ascii="Palatino Linotype" w:eastAsia="Palatino Linotype" w:hAnsi="Palatino Linotype" w:cs="Palatino Linotype"/>
        </w:rPr>
        <w:t xml:space="preserve">se inconformó en términos generales por la entrega de información ilegible y por la clasificación de datos que a su consideración son de naturaleza pública. </w:t>
      </w:r>
    </w:p>
    <w:p w14:paraId="2390294B" w14:textId="4E126A4F" w:rsidR="00893550" w:rsidRDefault="00FD196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 xml:space="preserve">Sujeto Obligado </w:t>
      </w:r>
      <w:r w:rsidR="000E5901">
        <w:rPr>
          <w:rFonts w:ascii="Palatino Linotype" w:eastAsia="Palatino Linotype" w:hAnsi="Palatino Linotype" w:cs="Palatino Linotype"/>
        </w:rPr>
        <w:t>rindió</w:t>
      </w:r>
      <w:r>
        <w:rPr>
          <w:rFonts w:ascii="Palatino Linotype" w:eastAsia="Palatino Linotype" w:hAnsi="Palatino Linotype" w:cs="Palatino Linotype"/>
        </w:rPr>
        <w:t xml:space="preserve"> su informe justificado</w:t>
      </w:r>
      <w:r w:rsidR="000E5901">
        <w:rPr>
          <w:rFonts w:ascii="Palatino Linotype" w:eastAsia="Palatino Linotype" w:hAnsi="Palatino Linotype" w:cs="Palatino Linotype"/>
        </w:rPr>
        <w:t xml:space="preserve"> en el que de manera sustantiva ratificó su respuesta inicial</w:t>
      </w:r>
      <w:r>
        <w:rPr>
          <w:rFonts w:ascii="Palatino Linotype" w:eastAsia="Palatino Linotype" w:hAnsi="Palatino Linotype" w:cs="Palatino Linotype"/>
        </w:rPr>
        <w:t xml:space="preserve">; por cuanto hace 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no presentó pruebas o alegatos.</w:t>
      </w:r>
    </w:p>
    <w:p w14:paraId="6C8CF677" w14:textId="77777777" w:rsidR="00893550" w:rsidRDefault="00FD196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1" w:name="_heading=h.3znysh7" w:colFirst="0" w:colLast="0"/>
      <w:bookmarkEnd w:id="1"/>
      <w:r>
        <w:rPr>
          <w:rFonts w:ascii="Palatino Linotype" w:eastAsia="Palatino Linotype" w:hAnsi="Palatino Linotype" w:cs="Palatino Linotype"/>
        </w:rPr>
        <w:t xml:space="preserve">Así las cosas, el Instituto consideró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parcialmente fundados,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para ordenar la entrega de la siguiente información:</w:t>
      </w:r>
    </w:p>
    <w:p w14:paraId="5FE4CCD3" w14:textId="77777777" w:rsidR="000E5901" w:rsidRPr="000E5901" w:rsidRDefault="00FD196E" w:rsidP="000E5901">
      <w:pPr>
        <w:tabs>
          <w:tab w:val="left" w:pos="8222"/>
        </w:tabs>
        <w:spacing w:line="240" w:lineRule="auto"/>
        <w:ind w:left="851" w:right="616"/>
        <w:jc w:val="both"/>
        <w:rPr>
          <w:rFonts w:ascii="Palatino Linotype" w:hAnsi="Palatino Linotype" w:cs="Arial"/>
          <w:i/>
        </w:rPr>
      </w:pPr>
      <w:r w:rsidRPr="000E5901">
        <w:rPr>
          <w:rFonts w:ascii="Palatino Linotype" w:eastAsia="Palatino Linotype" w:hAnsi="Palatino Linotype" w:cs="Palatino Linotype"/>
          <w:b/>
          <w:i/>
        </w:rPr>
        <w:t>“</w:t>
      </w:r>
      <w:r w:rsidR="000E5901" w:rsidRPr="000E5901">
        <w:rPr>
          <w:rFonts w:ascii="Palatino Linotype" w:eastAsiaTheme="minorEastAsia" w:hAnsi="Palatino Linotype" w:cs="Arial"/>
          <w:b/>
          <w:i/>
          <w:lang w:val="es-ES_tradnl"/>
        </w:rPr>
        <w:t>PRIMERO.</w:t>
      </w:r>
      <w:r w:rsidR="000E5901" w:rsidRPr="000E5901">
        <w:rPr>
          <w:rFonts w:ascii="Palatino Linotype" w:eastAsiaTheme="minorEastAsia" w:hAnsi="Palatino Linotype" w:cs="Arial"/>
          <w:i/>
          <w:lang w:val="es-ES_tradnl"/>
        </w:rPr>
        <w:t xml:space="preserve"> </w:t>
      </w:r>
      <w:r w:rsidR="000E5901" w:rsidRPr="000E5901">
        <w:rPr>
          <w:rFonts w:ascii="Palatino Linotype" w:hAnsi="Palatino Linotype" w:cs="Arial"/>
          <w:i/>
        </w:rPr>
        <w:t xml:space="preserve">Se </w:t>
      </w:r>
      <w:r w:rsidR="000E5901" w:rsidRPr="000E5901">
        <w:rPr>
          <w:rFonts w:ascii="Palatino Linotype" w:hAnsi="Palatino Linotype" w:cs="Arial"/>
          <w:b/>
          <w:i/>
        </w:rPr>
        <w:t xml:space="preserve">MODIFICA </w:t>
      </w:r>
      <w:r w:rsidR="000E5901" w:rsidRPr="000E5901">
        <w:rPr>
          <w:rFonts w:ascii="Palatino Linotype" w:hAnsi="Palatino Linotype" w:cs="Arial"/>
          <w:i/>
        </w:rPr>
        <w:t xml:space="preserve">la respuesta entregada por </w:t>
      </w:r>
      <w:r w:rsidR="000E5901" w:rsidRPr="000E5901">
        <w:rPr>
          <w:rFonts w:ascii="Palatino Linotype" w:hAnsi="Palatino Linotype" w:cs="Arial"/>
          <w:b/>
          <w:i/>
        </w:rPr>
        <w:t xml:space="preserve">EL SUJETO OBLIGADO, </w:t>
      </w:r>
      <w:r w:rsidR="000E5901" w:rsidRPr="000E5901">
        <w:rPr>
          <w:rFonts w:ascii="Palatino Linotype" w:hAnsi="Palatino Linotype" w:cs="Arial"/>
          <w:i/>
        </w:rPr>
        <w:t xml:space="preserve">a la solicitud de información número </w:t>
      </w:r>
      <w:r w:rsidR="000E5901" w:rsidRPr="000E5901">
        <w:rPr>
          <w:rFonts w:ascii="Palatino Linotype" w:eastAsia="Times New Roman" w:hAnsi="Palatino Linotype" w:cs="Arial"/>
          <w:b/>
          <w:i/>
          <w:lang w:eastAsia="es-ES"/>
        </w:rPr>
        <w:t>00186/CUAUTIT/IP/2025</w:t>
      </w:r>
      <w:r w:rsidR="000E5901" w:rsidRPr="000E5901">
        <w:rPr>
          <w:rFonts w:ascii="Palatino Linotype" w:hAnsi="Palatino Linotype"/>
          <w:b/>
          <w:bCs/>
          <w:i/>
        </w:rPr>
        <w:t xml:space="preserve">, </w:t>
      </w:r>
      <w:r w:rsidR="000E5901" w:rsidRPr="000E5901">
        <w:rPr>
          <w:rFonts w:ascii="Palatino Linotype" w:hAnsi="Palatino Linotype" w:cs="Arial"/>
          <w:i/>
        </w:rPr>
        <w:t xml:space="preserve">por resultar parcialmente fundados los motivos de inconformidad que arguye </w:t>
      </w:r>
      <w:r w:rsidR="000E5901" w:rsidRPr="000E5901">
        <w:rPr>
          <w:rFonts w:ascii="Palatino Linotype" w:hAnsi="Palatino Linotype" w:cs="Arial"/>
          <w:b/>
          <w:bCs/>
          <w:i/>
        </w:rPr>
        <w:t xml:space="preserve">EL RECURRENTE, </w:t>
      </w:r>
      <w:r w:rsidR="000E5901" w:rsidRPr="000E5901">
        <w:rPr>
          <w:rFonts w:ascii="Palatino Linotype" w:hAnsi="Palatino Linotype" w:cs="Arial"/>
          <w:i/>
        </w:rPr>
        <w:t xml:space="preserve">en términos del </w:t>
      </w:r>
      <w:r w:rsidR="000E5901" w:rsidRPr="000E5901">
        <w:rPr>
          <w:rFonts w:ascii="Palatino Linotype" w:hAnsi="Palatino Linotype" w:cs="Arial"/>
          <w:b/>
          <w:i/>
        </w:rPr>
        <w:t xml:space="preserve">Considerando CUARTO </w:t>
      </w:r>
      <w:r w:rsidR="000E5901" w:rsidRPr="000E5901">
        <w:rPr>
          <w:rFonts w:ascii="Palatino Linotype" w:hAnsi="Palatino Linotype" w:cs="Arial"/>
          <w:i/>
        </w:rPr>
        <w:t xml:space="preserve">de la presente resolución. </w:t>
      </w:r>
    </w:p>
    <w:p w14:paraId="679299E2" w14:textId="77777777" w:rsidR="000E5901" w:rsidRPr="000E5901" w:rsidRDefault="000E5901" w:rsidP="000E5901">
      <w:pPr>
        <w:tabs>
          <w:tab w:val="left" w:pos="8222"/>
        </w:tabs>
        <w:spacing w:before="240" w:line="240" w:lineRule="auto"/>
        <w:ind w:left="851" w:right="616"/>
        <w:jc w:val="both"/>
        <w:rPr>
          <w:rFonts w:ascii="Palatino Linotype" w:hAnsi="Palatino Linotype" w:cs="Arial"/>
          <w:i/>
        </w:rPr>
      </w:pPr>
    </w:p>
    <w:p w14:paraId="7E266E21" w14:textId="77777777" w:rsidR="000E5901" w:rsidRPr="000E5901" w:rsidRDefault="000E5901" w:rsidP="000E5901">
      <w:pPr>
        <w:tabs>
          <w:tab w:val="left" w:pos="8222"/>
        </w:tabs>
        <w:autoSpaceDE w:val="0"/>
        <w:autoSpaceDN w:val="0"/>
        <w:adjustRightInd w:val="0"/>
        <w:spacing w:before="240" w:line="240" w:lineRule="auto"/>
        <w:ind w:left="851" w:right="616"/>
        <w:jc w:val="both"/>
        <w:rPr>
          <w:rFonts w:ascii="Palatino Linotype" w:hAnsi="Palatino Linotype" w:cs="Arial"/>
          <w:i/>
        </w:rPr>
      </w:pPr>
      <w:r w:rsidRPr="000E5901">
        <w:rPr>
          <w:rFonts w:ascii="Palatino Linotype" w:hAnsi="Palatino Linotype" w:cs="Arial"/>
          <w:b/>
          <w:i/>
        </w:rPr>
        <w:t>SEGUNDO.</w:t>
      </w:r>
      <w:r w:rsidRPr="000E5901">
        <w:rPr>
          <w:rFonts w:ascii="Palatino Linotype" w:hAnsi="Palatino Linotype" w:cs="Arial"/>
          <w:i/>
        </w:rPr>
        <w:t xml:space="preserve"> Se </w:t>
      </w:r>
      <w:r w:rsidRPr="000E5901">
        <w:rPr>
          <w:rFonts w:ascii="Palatino Linotype" w:hAnsi="Palatino Linotype" w:cs="Arial"/>
          <w:b/>
          <w:i/>
        </w:rPr>
        <w:t>ORDENA</w:t>
      </w:r>
      <w:r w:rsidRPr="000E5901">
        <w:rPr>
          <w:rFonts w:ascii="Palatino Linotype" w:hAnsi="Palatino Linotype" w:cs="Arial"/>
          <w:i/>
        </w:rPr>
        <w:t xml:space="preserve"> al </w:t>
      </w:r>
      <w:r w:rsidRPr="000E5901">
        <w:rPr>
          <w:rFonts w:ascii="Palatino Linotype" w:hAnsi="Palatino Linotype" w:cs="Arial"/>
          <w:b/>
          <w:i/>
        </w:rPr>
        <w:t>SUJETO OBLIGADO</w:t>
      </w:r>
      <w:r w:rsidRPr="000E5901">
        <w:rPr>
          <w:rFonts w:ascii="Palatino Linotype" w:hAnsi="Palatino Linotype" w:cs="Arial"/>
          <w:i/>
        </w:rPr>
        <w:t xml:space="preserve"> haga entrega al </w:t>
      </w:r>
      <w:r w:rsidRPr="000E5901">
        <w:rPr>
          <w:rFonts w:ascii="Palatino Linotype" w:hAnsi="Palatino Linotype" w:cs="Arial"/>
          <w:b/>
          <w:bCs/>
          <w:i/>
        </w:rPr>
        <w:t xml:space="preserve">RECURRENTE, </w:t>
      </w:r>
      <w:r w:rsidRPr="000E5901">
        <w:rPr>
          <w:rFonts w:ascii="Palatino Linotype" w:eastAsia="Times New Roman" w:hAnsi="Palatino Linotype" w:cs="Arial"/>
          <w:bCs/>
          <w:i/>
          <w:lang w:eastAsia="es-ES"/>
        </w:rPr>
        <w:t>vía</w:t>
      </w:r>
      <w:r w:rsidRPr="000E5901">
        <w:rPr>
          <w:rFonts w:ascii="Palatino Linotype" w:eastAsia="Times New Roman" w:hAnsi="Palatino Linotype" w:cs="Arial"/>
          <w:b/>
          <w:i/>
          <w:lang w:eastAsia="es-ES"/>
        </w:rPr>
        <w:t xml:space="preserve"> </w:t>
      </w:r>
      <w:r w:rsidRPr="000E5901">
        <w:rPr>
          <w:rFonts w:ascii="Palatino Linotype" w:hAnsi="Palatino Linotype" w:cs="Arial"/>
          <w:i/>
        </w:rPr>
        <w:t xml:space="preserve">Sistema de Acceso a la Información Mexiquense </w:t>
      </w:r>
      <w:r w:rsidRPr="000E5901">
        <w:rPr>
          <w:rFonts w:ascii="Palatino Linotype" w:hAnsi="Palatino Linotype" w:cs="Arial"/>
          <w:b/>
          <w:i/>
        </w:rPr>
        <w:t>(SAIMEX),</w:t>
      </w:r>
      <w:r w:rsidRPr="000E5901">
        <w:rPr>
          <w:rFonts w:ascii="Palatino Linotype" w:hAnsi="Palatino Linotype" w:cs="Arial"/>
          <w:b/>
          <w:bCs/>
          <w:i/>
        </w:rPr>
        <w:t xml:space="preserve"> </w:t>
      </w:r>
      <w:r w:rsidRPr="000E5901">
        <w:rPr>
          <w:rFonts w:ascii="Palatino Linotype" w:hAnsi="Palatino Linotype" w:cs="Arial"/>
          <w:i/>
        </w:rPr>
        <w:t xml:space="preserve">en términos del Considerando </w:t>
      </w:r>
      <w:r w:rsidRPr="000E5901">
        <w:rPr>
          <w:rFonts w:ascii="Palatino Linotype" w:hAnsi="Palatino Linotype" w:cs="Arial"/>
          <w:b/>
          <w:i/>
        </w:rPr>
        <w:t xml:space="preserve">CUARTO </w:t>
      </w:r>
      <w:r w:rsidRPr="000E5901">
        <w:rPr>
          <w:rFonts w:ascii="Palatino Linotype" w:hAnsi="Palatino Linotype" w:cs="Arial"/>
          <w:i/>
        </w:rPr>
        <w:t>de esta resolución</w:t>
      </w:r>
      <w:r w:rsidRPr="000E5901">
        <w:rPr>
          <w:rFonts w:ascii="Palatino Linotype" w:hAnsi="Palatino Linotype" w:cs="Arial"/>
          <w:b/>
          <w:i/>
        </w:rPr>
        <w:t xml:space="preserve">, </w:t>
      </w:r>
      <w:r w:rsidRPr="000E5901">
        <w:rPr>
          <w:rFonts w:ascii="Palatino Linotype" w:hAnsi="Palatino Linotype" w:cs="Arial"/>
          <w:bCs/>
          <w:i/>
        </w:rPr>
        <w:t xml:space="preserve">legibles y </w:t>
      </w:r>
      <w:r w:rsidRPr="000E5901">
        <w:rPr>
          <w:rFonts w:ascii="Palatino Linotype" w:hAnsi="Palatino Linotype" w:cs="Arial"/>
          <w:i/>
        </w:rPr>
        <w:t>en correcta versión pública, de lo siguiente:</w:t>
      </w:r>
    </w:p>
    <w:p w14:paraId="235BF1EF" w14:textId="470856CD" w:rsidR="000E5901" w:rsidRPr="000E5901" w:rsidRDefault="000E5901" w:rsidP="000E5901">
      <w:pPr>
        <w:pStyle w:val="Prrafodelista"/>
        <w:tabs>
          <w:tab w:val="left" w:pos="8222"/>
        </w:tabs>
        <w:autoSpaceDE w:val="0"/>
        <w:autoSpaceDN w:val="0"/>
        <w:adjustRightInd w:val="0"/>
        <w:spacing w:before="240"/>
        <w:ind w:left="851" w:right="616"/>
        <w:contextualSpacing w:val="0"/>
        <w:jc w:val="both"/>
        <w:rPr>
          <w:rFonts w:ascii="Palatino Linotype" w:hAnsi="Palatino Linotype"/>
          <w:bCs/>
          <w:i/>
          <w:szCs w:val="22"/>
        </w:rPr>
      </w:pPr>
      <w:r>
        <w:rPr>
          <w:rFonts w:ascii="Palatino Linotype" w:hAnsi="Palatino Linotype"/>
          <w:i/>
          <w:color w:val="000000"/>
          <w:szCs w:val="22"/>
        </w:rPr>
        <w:t xml:space="preserve">1. </w:t>
      </w:r>
      <w:r w:rsidRPr="000E5901">
        <w:rPr>
          <w:rFonts w:ascii="Palatino Linotype" w:hAnsi="Palatino Linotype"/>
          <w:i/>
          <w:color w:val="000000"/>
          <w:szCs w:val="22"/>
        </w:rPr>
        <w:t xml:space="preserve">Cédulas profesionales remitidas en respuesta primigenia, legibles y en correcta versión pública. </w:t>
      </w:r>
    </w:p>
    <w:p w14:paraId="195D20BD" w14:textId="77777777" w:rsidR="000E5901" w:rsidRPr="000E5901" w:rsidRDefault="000E5901" w:rsidP="000E5901">
      <w:pPr>
        <w:pStyle w:val="Sinespaciado"/>
        <w:tabs>
          <w:tab w:val="left" w:pos="8222"/>
        </w:tabs>
        <w:ind w:left="851" w:right="616"/>
        <w:jc w:val="both"/>
        <w:rPr>
          <w:rFonts w:ascii="Palatino Linotype" w:hAnsi="Palatino Linotype" w:cs="Arial"/>
          <w:i/>
          <w:sz w:val="22"/>
          <w:szCs w:val="22"/>
        </w:rPr>
      </w:pPr>
    </w:p>
    <w:p w14:paraId="6806A53C" w14:textId="65BFDE6A" w:rsidR="00893550" w:rsidRPr="000E5901" w:rsidRDefault="000E5901" w:rsidP="000E5901">
      <w:pPr>
        <w:pStyle w:val="Sinespaciado"/>
        <w:tabs>
          <w:tab w:val="left" w:pos="8222"/>
        </w:tabs>
        <w:ind w:left="851" w:right="616"/>
        <w:jc w:val="both"/>
        <w:rPr>
          <w:rFonts w:ascii="Palatino Linotype" w:hAnsi="Palatino Linotype" w:cs="Arial"/>
          <w:i/>
          <w:sz w:val="22"/>
          <w:szCs w:val="22"/>
        </w:rPr>
      </w:pPr>
      <w:r w:rsidRPr="000E5901">
        <w:rPr>
          <w:rFonts w:ascii="Palatino Linotype" w:hAnsi="Palatino Linotype" w:cs="Arial"/>
          <w:i/>
          <w:sz w:val="22"/>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w:t>
      </w:r>
      <w:r w:rsidRPr="000E5901">
        <w:rPr>
          <w:rFonts w:ascii="Palatino Linotype" w:hAnsi="Palatino Linotype" w:cs="Arial"/>
          <w:i/>
          <w:sz w:val="22"/>
          <w:szCs w:val="22"/>
        </w:rPr>
        <w:lastRenderedPageBreak/>
        <w:t>Municipios, en el que funde y motive las razones sobre los datos que se supriman o eliminen y se ponga a disposición del Recurrente</w:t>
      </w:r>
      <w:r w:rsidR="00FD196E" w:rsidRPr="000E5901">
        <w:rPr>
          <w:rFonts w:ascii="Palatino Linotype" w:eastAsia="Palatino Linotype" w:hAnsi="Palatino Linotype" w:cs="Palatino Linotype"/>
          <w:i/>
          <w:color w:val="000000"/>
          <w:sz w:val="22"/>
          <w:szCs w:val="22"/>
        </w:rPr>
        <w:t>.”</w:t>
      </w:r>
    </w:p>
    <w:p w14:paraId="61FDEDE0" w14:textId="77777777" w:rsidR="00893550" w:rsidRDefault="00FD196E">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Pr>
          <w:rFonts w:ascii="Palatino Linotype" w:eastAsia="Palatino Linotype" w:hAnsi="Palatino Linotype" w:cs="Palatino Linotype"/>
          <w:b/>
        </w:rPr>
        <w:t xml:space="preserve">Razones del Voto Particular. </w:t>
      </w:r>
    </w:p>
    <w:p w14:paraId="659B869C" w14:textId="77777777" w:rsidR="00893550" w:rsidRDefault="00FD196E">
      <w:pPr>
        <w:spacing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Derivado de lo anterior,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6E62338E" w14:textId="77777777" w:rsidR="00893550" w:rsidRDefault="00FD196E">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Sin embargo, es preciso mencionar que, el presente voto se formula en relación a los siguientes argumentos: </w:t>
      </w:r>
    </w:p>
    <w:p w14:paraId="5C575992" w14:textId="77777777" w:rsidR="000E5901" w:rsidRPr="000E5901" w:rsidRDefault="00FD196E" w:rsidP="000E5901">
      <w:pPr>
        <w:pStyle w:val="Encabezado"/>
        <w:tabs>
          <w:tab w:val="clear" w:pos="4419"/>
          <w:tab w:val="clear" w:pos="8838"/>
          <w:tab w:val="left" w:pos="7770"/>
        </w:tabs>
        <w:spacing w:before="240" w:line="276" w:lineRule="auto"/>
        <w:ind w:left="786" w:right="616"/>
        <w:jc w:val="both"/>
        <w:rPr>
          <w:rFonts w:ascii="Palatino Linotype" w:hAnsi="Palatino Linotype"/>
          <w:i/>
        </w:rPr>
      </w:pPr>
      <w:bookmarkStart w:id="2" w:name="_heading=h.seznk0v3kwdp" w:colFirst="0" w:colLast="0"/>
      <w:bookmarkEnd w:id="2"/>
      <w:r w:rsidRPr="000E5901">
        <w:rPr>
          <w:rFonts w:ascii="Palatino Linotype" w:eastAsia="Palatino Linotype" w:hAnsi="Palatino Linotype" w:cs="Palatino Linotype"/>
          <w:b/>
          <w:i/>
        </w:rPr>
        <w:t>“</w:t>
      </w:r>
      <w:r w:rsidR="000E5901" w:rsidRPr="000E5901">
        <w:rPr>
          <w:rFonts w:ascii="Palatino Linotype" w:hAnsi="Palatino Linotype"/>
          <w:b/>
          <w:bCs/>
          <w:i/>
        </w:rPr>
        <w:t>Fotografía:</w:t>
      </w:r>
      <w:r w:rsidR="000E5901" w:rsidRPr="000E5901">
        <w:rPr>
          <w:rFonts w:ascii="Palatino Linotype" w:hAnsi="Palatino Linotype"/>
          <w:bCs/>
          <w:i/>
        </w:rPr>
        <w:t xml:space="preserve"> Tratándose de servidores públicos se cuenta con un espectro menor de protección a sus datos personales en comparación con cualquier otra persona física, en razón del interés público que revisten sus funciones, por lo que, </w:t>
      </w:r>
      <w:r w:rsidR="000E5901" w:rsidRPr="000E5901">
        <w:rPr>
          <w:rFonts w:ascii="Palatino Linotype" w:hAnsi="Palatino Linotype" w:cs="Arial"/>
          <w:i/>
          <w:color w:val="444444"/>
        </w:rPr>
        <w:t>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1E141C2B" w14:textId="77777777" w:rsidR="000E5901" w:rsidRPr="000E5901" w:rsidRDefault="000E5901" w:rsidP="000E5901">
      <w:pPr>
        <w:pStyle w:val="Prrafodelista"/>
        <w:spacing w:before="240" w:line="276" w:lineRule="auto"/>
        <w:ind w:left="709" w:right="616" w:firstLine="11"/>
        <w:jc w:val="both"/>
        <w:rPr>
          <w:rFonts w:ascii="Palatino Linotype" w:hAnsi="Palatino Linotype" w:cs="Arial"/>
          <w:i/>
          <w:color w:val="333333"/>
        </w:rPr>
      </w:pPr>
      <w:r w:rsidRPr="000E5901">
        <w:rPr>
          <w:rFonts w:ascii="Palatino Linotype" w:hAnsi="Palatino Linotype"/>
          <w:i/>
        </w:rPr>
        <w:t xml:space="preserve">Conforme a lo anterior, resulta necesario señalar que el Pleno del Órgano Garante local sustentó el criterio </w:t>
      </w:r>
      <w:r w:rsidRPr="000E5901">
        <w:rPr>
          <w:rFonts w:ascii="Palatino Linotype" w:hAnsi="Palatino Linotype"/>
          <w:b/>
          <w:bCs/>
          <w:i/>
        </w:rPr>
        <w:t xml:space="preserve">03/2019 </w:t>
      </w:r>
      <w:r w:rsidRPr="000E5901">
        <w:rPr>
          <w:rFonts w:ascii="Palatino Linotype" w:hAnsi="Palatino Linotype"/>
          <w:i/>
        </w:rPr>
        <w:t xml:space="preserve">cuyo rubro dispone a la literalidad lo siguiente: </w:t>
      </w:r>
      <w:r w:rsidRPr="000E5901">
        <w:rPr>
          <w:rFonts w:ascii="Palatino Linotype" w:hAnsi="Palatino Linotype"/>
          <w:b/>
          <w:bCs/>
          <w:i/>
        </w:rPr>
        <w:t>“SERVIDORES PÚBLICOS CON CATEGORÍA DE MANDO MEDIO Y SUPERIOR. LA FOTOGRAFÍA DE AQUELLOS ES DE CARÁCTER PÚBLICO.</w:t>
      </w:r>
      <w:r w:rsidRPr="000E5901">
        <w:rPr>
          <w:b/>
          <w:bCs/>
          <w:i/>
        </w:rPr>
        <w:t xml:space="preserve">”, </w:t>
      </w:r>
      <w:r w:rsidRPr="000E5901">
        <w:rPr>
          <w:rFonts w:ascii="Palatino Linotype" w:hAnsi="Palatino Linotype"/>
          <w:i/>
        </w:rPr>
        <w:t xml:space="preserve">mismo que fue interrumpido en términos del artículo </w:t>
      </w:r>
      <w:r w:rsidRPr="000E5901">
        <w:rPr>
          <w:rFonts w:ascii="Palatino Linotype" w:hAnsi="Palatino Linotype" w:cs="Arial"/>
          <w:i/>
          <w:color w:val="333333"/>
        </w:rPr>
        <w:t>9, fracción XXVII del Reglamento Interior del Instituto de Transparencia, Acceso a la Información Pública y Protección de Datos Personales del Estado de México y Municipios.</w:t>
      </w:r>
    </w:p>
    <w:p w14:paraId="04981CEF" w14:textId="49B3EC6B" w:rsidR="00893550" w:rsidRPr="000E5901" w:rsidRDefault="000E5901" w:rsidP="000E5901">
      <w:pPr>
        <w:pStyle w:val="Prrafodelista"/>
        <w:spacing w:before="240" w:line="276" w:lineRule="auto"/>
        <w:ind w:left="709" w:right="616" w:firstLine="11"/>
        <w:jc w:val="both"/>
        <w:rPr>
          <w:rFonts w:ascii="Palatino Linotype" w:hAnsi="Palatino Linotype"/>
          <w:i/>
        </w:rPr>
      </w:pPr>
      <w:r w:rsidRPr="000E5901">
        <w:rPr>
          <w:rFonts w:ascii="Palatino Linotype" w:hAnsi="Palatino Linotype" w:cs="Arial"/>
          <w:i/>
          <w:color w:val="333333"/>
        </w:rPr>
        <w:lastRenderedPageBreak/>
        <w:t xml:space="preserve">Debido a lo anterior, </w:t>
      </w:r>
      <w:r w:rsidRPr="000E5901">
        <w:rPr>
          <w:rFonts w:ascii="Palatino Linotype" w:eastAsia="Calibri" w:hAnsi="Palatino Linotype" w:cs="Tahoma"/>
          <w:bCs/>
          <w:i/>
          <w:lang w:eastAsia="en-US"/>
        </w:rPr>
        <w:t xml:space="preserve">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0E5901">
        <w:rPr>
          <w:rFonts w:ascii="Palatino Linotype" w:eastAsia="Calibri" w:hAnsi="Palatino Linotype" w:cs="Tahoma"/>
          <w:b/>
          <w:bCs/>
          <w:i/>
          <w:lang w:eastAsia="en-US"/>
        </w:rPr>
        <w:t>Cabe hacer la aclaración</w:t>
      </w:r>
      <w:r w:rsidRPr="000E5901">
        <w:rPr>
          <w:rFonts w:ascii="Palatino Linotype" w:eastAsia="Calibri" w:hAnsi="Palatino Linotype" w:cs="Tahoma"/>
          <w:b/>
          <w:bCs/>
          <w:i/>
          <w:lang w:val="x-none" w:eastAsia="en-US"/>
        </w:rPr>
        <w:t xml:space="preserve"> que aquellos documentos que sean clasificados en su totalidad por no revestir de interés público, como lo es la credencial de elector, la fotografía correrá la misma suerte que el documento en cuestión, únicamente para dicha expresión documental</w:t>
      </w:r>
      <w:r w:rsidR="00FD196E" w:rsidRPr="000E5901">
        <w:rPr>
          <w:rFonts w:ascii="Palatino Linotype" w:eastAsia="Palatino Linotype" w:hAnsi="Palatino Linotype" w:cs="Palatino Linotype"/>
          <w:b/>
          <w:i/>
        </w:rPr>
        <w:t xml:space="preserve">.” </w:t>
      </w:r>
    </w:p>
    <w:p w14:paraId="5A9AA68F" w14:textId="77777777" w:rsidR="00893550" w:rsidRDefault="00893550">
      <w:pPr>
        <w:spacing w:after="0" w:line="360" w:lineRule="auto"/>
        <w:jc w:val="both"/>
        <w:rPr>
          <w:rFonts w:ascii="Palatino Linotype" w:eastAsia="Palatino Linotype" w:hAnsi="Palatino Linotype" w:cs="Palatino Linotype"/>
        </w:rPr>
      </w:pPr>
    </w:p>
    <w:p w14:paraId="79F49C74" w14:textId="77777777" w:rsidR="00893550" w:rsidRDefault="00FD196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38230C8C" w14:textId="77777777" w:rsidR="00893550" w:rsidRDefault="00893550">
      <w:pPr>
        <w:spacing w:after="0" w:line="360" w:lineRule="auto"/>
        <w:jc w:val="both"/>
        <w:rPr>
          <w:rFonts w:ascii="Palatino Linotype" w:eastAsia="Palatino Linotype" w:hAnsi="Palatino Linotype" w:cs="Palatino Linotype"/>
        </w:rPr>
      </w:pPr>
    </w:p>
    <w:p w14:paraId="33A51AD2" w14:textId="77777777" w:rsidR="00893550" w:rsidRDefault="00FD196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w:t>
      </w:r>
      <w:r>
        <w:rPr>
          <w:rFonts w:ascii="Palatino Linotype" w:eastAsia="Palatino Linotype" w:hAnsi="Palatino Linotype" w:cs="Palatino Linotype"/>
        </w:rPr>
        <w:lastRenderedPageBreak/>
        <w:t>la administración de recursos públicos, la implementación de políticas públicas, la prestación de servicios públicos, entre otras.</w:t>
      </w:r>
    </w:p>
    <w:p w14:paraId="6002BA76" w14:textId="77777777" w:rsidR="00893550" w:rsidRDefault="00893550">
      <w:pPr>
        <w:spacing w:after="0" w:line="360" w:lineRule="auto"/>
        <w:jc w:val="both"/>
        <w:rPr>
          <w:rFonts w:ascii="Palatino Linotype" w:eastAsia="Palatino Linotype" w:hAnsi="Palatino Linotype" w:cs="Palatino Linotype"/>
        </w:rPr>
      </w:pPr>
    </w:p>
    <w:p w14:paraId="63B82857" w14:textId="77777777" w:rsidR="00893550" w:rsidRDefault="00FD196E">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2AF08BE4" w14:textId="77777777" w:rsidR="00893550" w:rsidRDefault="00893550">
      <w:pPr>
        <w:spacing w:after="0" w:line="360" w:lineRule="auto"/>
        <w:ind w:right="140"/>
        <w:jc w:val="both"/>
        <w:rPr>
          <w:rFonts w:ascii="Palatino Linotype" w:eastAsia="Palatino Linotype" w:hAnsi="Palatino Linotype" w:cs="Palatino Linotype"/>
        </w:rPr>
      </w:pPr>
    </w:p>
    <w:p w14:paraId="69336E16" w14:textId="77777777" w:rsidR="00893550" w:rsidRDefault="00FD196E">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75132E09" w14:textId="77777777" w:rsidR="00893550" w:rsidRDefault="00893550">
      <w:pPr>
        <w:tabs>
          <w:tab w:val="left" w:pos="4962"/>
        </w:tabs>
        <w:spacing w:after="0" w:line="360" w:lineRule="auto"/>
        <w:jc w:val="both"/>
        <w:rPr>
          <w:rFonts w:ascii="Palatino Linotype" w:eastAsia="Palatino Linotype" w:hAnsi="Palatino Linotype" w:cs="Palatino Linotype"/>
        </w:rPr>
      </w:pPr>
    </w:p>
    <w:p w14:paraId="7BDA0C9F" w14:textId="77777777" w:rsidR="00893550" w:rsidRDefault="00FD196E">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aun clasificándolo, sí daría cuenta de lo que en realidad se pretende transparentar, como es, por ejemplo, la preparación académica, la formación profesional y laboral y los conocimientos </w:t>
      </w:r>
      <w:r>
        <w:rPr>
          <w:rFonts w:ascii="Palatino Linotype" w:eastAsia="Palatino Linotype" w:hAnsi="Palatino Linotype" w:cs="Palatino Linotype"/>
        </w:rPr>
        <w:lastRenderedPageBreak/>
        <w:t>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77232B9D" w14:textId="77777777" w:rsidR="00893550" w:rsidRDefault="00893550">
      <w:pPr>
        <w:spacing w:after="0" w:line="360" w:lineRule="auto"/>
        <w:jc w:val="both"/>
        <w:rPr>
          <w:rFonts w:ascii="Palatino Linotype" w:eastAsia="Palatino Linotype" w:hAnsi="Palatino Linotype" w:cs="Palatino Linotype"/>
        </w:rPr>
      </w:pPr>
    </w:p>
    <w:p w14:paraId="1B4D2FFB" w14:textId="77777777" w:rsidR="00893550" w:rsidRDefault="00FD196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7B367317" w14:textId="77777777" w:rsidR="00893550" w:rsidRDefault="00893550">
      <w:pPr>
        <w:spacing w:after="0" w:line="360" w:lineRule="auto"/>
        <w:jc w:val="both"/>
        <w:rPr>
          <w:rFonts w:ascii="Palatino Linotype" w:eastAsia="Palatino Linotype" w:hAnsi="Palatino Linotype" w:cs="Palatino Linotype"/>
        </w:rPr>
      </w:pPr>
    </w:p>
    <w:p w14:paraId="72EA416C" w14:textId="77777777" w:rsidR="00893550" w:rsidRDefault="00FD196E">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1FDCC70B" w14:textId="77777777" w:rsidR="00893550" w:rsidRDefault="00893550">
      <w:pPr>
        <w:spacing w:before="240" w:after="240" w:line="360" w:lineRule="auto"/>
        <w:jc w:val="both"/>
        <w:rPr>
          <w:rFonts w:ascii="Palatino Linotype" w:eastAsia="Palatino Linotype" w:hAnsi="Palatino Linotype" w:cs="Palatino Linotype"/>
          <w:b/>
        </w:rPr>
      </w:pPr>
    </w:p>
    <w:p w14:paraId="73CCBFBE" w14:textId="77777777" w:rsidR="00893550" w:rsidRDefault="00893550">
      <w:pPr>
        <w:spacing w:before="240" w:after="240" w:line="360" w:lineRule="auto"/>
        <w:jc w:val="both"/>
        <w:rPr>
          <w:rFonts w:ascii="Palatino Linotype" w:eastAsia="Palatino Linotype" w:hAnsi="Palatino Linotype" w:cs="Palatino Linotype"/>
          <w:b/>
        </w:rPr>
        <w:sectPr w:rsidR="00893550">
          <w:headerReference w:type="default" r:id="rId8"/>
          <w:footerReference w:type="default" r:id="rId9"/>
          <w:pgSz w:w="12240" w:h="15840"/>
          <w:pgMar w:top="2438" w:right="1701" w:bottom="2778" w:left="1701" w:header="1134" w:footer="1134" w:gutter="0"/>
          <w:pgNumType w:start="1"/>
          <w:cols w:space="720"/>
        </w:sectPr>
      </w:pPr>
    </w:p>
    <w:p w14:paraId="10E4D88F"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bookmarkStart w:id="4" w:name="_heading=h.1fob9te" w:colFirst="0" w:colLast="0"/>
      <w:bookmarkEnd w:id="4"/>
    </w:p>
    <w:p w14:paraId="3654953B"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p w14:paraId="65EDC382"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p w14:paraId="6D725294"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p w14:paraId="55D6D760"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p w14:paraId="2E114F06"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p w14:paraId="69116827"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sectPr w:rsidR="00893550">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4C4A" w14:textId="77777777" w:rsidR="00000A68" w:rsidRDefault="00000A68">
      <w:pPr>
        <w:spacing w:after="0" w:line="240" w:lineRule="auto"/>
      </w:pPr>
      <w:r>
        <w:separator/>
      </w:r>
    </w:p>
  </w:endnote>
  <w:endnote w:type="continuationSeparator" w:id="0">
    <w:p w14:paraId="3207CAA2" w14:textId="77777777" w:rsidR="00000A68" w:rsidRDefault="0000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F10B" w14:textId="77777777" w:rsidR="00893550" w:rsidRDefault="00FD196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7719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77191">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625AFBD3" w14:textId="77777777" w:rsidR="00893550" w:rsidRDefault="008935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4886" w14:textId="77777777" w:rsidR="00000A68" w:rsidRDefault="00000A68">
      <w:pPr>
        <w:spacing w:after="0" w:line="240" w:lineRule="auto"/>
      </w:pPr>
      <w:r>
        <w:separator/>
      </w:r>
    </w:p>
  </w:footnote>
  <w:footnote w:type="continuationSeparator" w:id="0">
    <w:p w14:paraId="7ABC0482" w14:textId="77777777" w:rsidR="00000A68" w:rsidRDefault="0000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A52E" w14:textId="77777777" w:rsidR="00893550" w:rsidRDefault="00FD196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14:anchorId="25DAAB5D" wp14:editId="50ECC615">
          <wp:simplePos x="0" y="0"/>
          <wp:positionH relativeFrom="column">
            <wp:posOffset>-1080131</wp:posOffset>
          </wp:positionH>
          <wp:positionV relativeFrom="paragraph">
            <wp:posOffset>-631821</wp:posOffset>
          </wp:positionV>
          <wp:extent cx="7510628" cy="9883775"/>
          <wp:effectExtent l="0" t="0" r="0" b="0"/>
          <wp:wrapNone/>
          <wp:docPr id="2716407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2EDBCD00" w14:textId="1B5DD37D" w:rsidR="00893550" w:rsidRDefault="00FD196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w:t>
    </w:r>
    <w:r w:rsidR="000A7978">
      <w:rPr>
        <w:rFonts w:ascii="Palatino Linotype" w:eastAsia="Palatino Linotype" w:hAnsi="Palatino Linotype" w:cs="Palatino Linotype"/>
        <w:b/>
        <w:color w:val="000000"/>
        <w:sz w:val="20"/>
        <w:szCs w:val="20"/>
      </w:rPr>
      <w:t>2030</w:t>
    </w:r>
    <w:r>
      <w:rPr>
        <w:rFonts w:ascii="Palatino Linotype" w:eastAsia="Palatino Linotype" w:hAnsi="Palatino Linotype" w:cs="Palatino Linotype"/>
        <w:b/>
        <w:color w:val="000000"/>
        <w:sz w:val="20"/>
        <w:szCs w:val="20"/>
      </w:rPr>
      <w:t>/INFOEM/IP/RR/2025</w:t>
    </w:r>
  </w:p>
  <w:p w14:paraId="41543312" w14:textId="77777777" w:rsidR="00893550" w:rsidRDefault="008935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B9B8" w14:textId="77777777" w:rsidR="00893550" w:rsidRDefault="0089355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6C7"/>
    <w:multiLevelType w:val="multilevel"/>
    <w:tmpl w:val="B6CC29FC"/>
    <w:lvl w:ilvl="0">
      <w:start w:val="1"/>
      <w:numFmt w:val="decimal"/>
      <w:lvlText w:val="%1."/>
      <w:lvlJc w:val="left"/>
      <w:pPr>
        <w:ind w:left="782" w:hanging="360"/>
      </w:p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abstractNum w:abstractNumId="1" w15:restartNumberingAfterBreak="0">
    <w:nsid w:val="3376665B"/>
    <w:multiLevelType w:val="hybridMultilevel"/>
    <w:tmpl w:val="475CE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ED1039"/>
    <w:multiLevelType w:val="hybridMultilevel"/>
    <w:tmpl w:val="B25E5E9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7ABD6B04"/>
    <w:multiLevelType w:val="multilevel"/>
    <w:tmpl w:val="7E90F1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2190142">
    <w:abstractNumId w:val="3"/>
  </w:num>
  <w:num w:numId="2" w16cid:durableId="1689865203">
    <w:abstractNumId w:val="0"/>
  </w:num>
  <w:num w:numId="3" w16cid:durableId="192109141">
    <w:abstractNumId w:val="1"/>
  </w:num>
  <w:num w:numId="4" w16cid:durableId="953560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50"/>
    <w:rsid w:val="00000A68"/>
    <w:rsid w:val="000A7978"/>
    <w:rsid w:val="000E5901"/>
    <w:rsid w:val="001546E1"/>
    <w:rsid w:val="001F14CA"/>
    <w:rsid w:val="00241C72"/>
    <w:rsid w:val="00893550"/>
    <w:rsid w:val="009727DF"/>
    <w:rsid w:val="00AE28CD"/>
    <w:rsid w:val="00AE395A"/>
    <w:rsid w:val="00C77191"/>
    <w:rsid w:val="00FD1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A2E7"/>
  <w15:docId w15:val="{8D2AA5AA-A687-4A40-92A4-BE05358C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paragraph" w:styleId="Sinespaciado">
    <w:name w:val="No Spacing"/>
    <w:aliases w:val="Francesa,INAI"/>
    <w:link w:val="SinespaciadoCar"/>
    <w:uiPriority w:val="1"/>
    <w:qFormat/>
    <w:rsid w:val="008F74CB"/>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F74C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F3N+2pKVIRlNEHf0lSXXbWuU7Q==">CgMxLjAyCGguZ2pkZ3hzMgloLjN6bnlzaDcyDmguc2V6bmswdjNrd2RwMg5oLnhlenIwb2tkNTd0bjIJaC4xZm9iOXRlOAByITFNS0lPVVFZQUM5Y2Mxd1B5SHhwdTdnR1dQYWhvOUJDdw==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8201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inf03m619@outlook.com</cp:lastModifiedBy>
  <cp:revision>2</cp:revision>
  <cp:lastPrinted>2025-03-11T15:45:00Z</cp:lastPrinted>
  <dcterms:created xsi:type="dcterms:W3CDTF">2025-03-31T17:13:00Z</dcterms:created>
  <dcterms:modified xsi:type="dcterms:W3CDTF">2025-03-31T17:13:00Z</dcterms:modified>
</cp:coreProperties>
</file>