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E6C" w:rsidRPr="004D091F" w:rsidRDefault="008A43BF">
      <w:pPr>
        <w:tabs>
          <w:tab w:val="left" w:pos="3465"/>
        </w:tabs>
        <w:spacing w:line="360" w:lineRule="auto"/>
        <w:ind w:right="49"/>
        <w:jc w:val="both"/>
        <w:rPr>
          <w:rFonts w:ascii="Palatino Linotype" w:eastAsia="Palatino Linotype" w:hAnsi="Palatino Linotype" w:cs="Palatino Linotype"/>
          <w:b/>
        </w:rPr>
      </w:pPr>
      <w:bookmarkStart w:id="0" w:name="_GoBack"/>
      <w:bookmarkEnd w:id="0"/>
      <w:r w:rsidRPr="004D091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4D091F">
        <w:rPr>
          <w:rFonts w:ascii="Palatino Linotype" w:eastAsia="Palatino Linotype" w:hAnsi="Palatino Linotype" w:cs="Palatino Linotype"/>
          <w:b/>
        </w:rPr>
        <w:t>de fecha once</w:t>
      </w:r>
      <w:r w:rsidR="004D091F" w:rsidRPr="004D091F">
        <w:rPr>
          <w:rFonts w:ascii="Palatino Linotype" w:eastAsia="Palatino Linotype" w:hAnsi="Palatino Linotype" w:cs="Palatino Linotype"/>
          <w:b/>
        </w:rPr>
        <w:t xml:space="preserve"> (11)</w:t>
      </w:r>
      <w:r w:rsidR="00E676AE" w:rsidRPr="004D091F">
        <w:rPr>
          <w:rFonts w:ascii="Palatino Linotype" w:eastAsia="Palatino Linotype" w:hAnsi="Palatino Linotype" w:cs="Palatino Linotype"/>
          <w:b/>
        </w:rPr>
        <w:t xml:space="preserve"> de marzo de dos mil veintiséis</w:t>
      </w:r>
      <w:r w:rsidRPr="004D091F">
        <w:rPr>
          <w:rFonts w:ascii="Palatino Linotype" w:eastAsia="Palatino Linotype" w:hAnsi="Palatino Linotype" w:cs="Palatino Linotype"/>
          <w:b/>
        </w:rPr>
        <w:t>.</w:t>
      </w:r>
    </w:p>
    <w:p w:rsidR="00411E6C" w:rsidRPr="004D091F" w:rsidRDefault="00411E6C">
      <w:pPr>
        <w:tabs>
          <w:tab w:val="left" w:pos="3465"/>
        </w:tabs>
        <w:spacing w:line="360" w:lineRule="auto"/>
        <w:ind w:right="49"/>
        <w:jc w:val="both"/>
        <w:rPr>
          <w:rFonts w:ascii="Palatino Linotype" w:eastAsia="Palatino Linotype" w:hAnsi="Palatino Linotype" w:cs="Palatino Linotype"/>
        </w:rPr>
      </w:pPr>
    </w:p>
    <w:p w:rsidR="00411E6C" w:rsidRPr="004D091F" w:rsidRDefault="008A43BF">
      <w:pPr>
        <w:spacing w:line="360" w:lineRule="auto"/>
        <w:ind w:right="49"/>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VISTAS </w:t>
      </w:r>
      <w:r w:rsidRPr="004D091F">
        <w:rPr>
          <w:rFonts w:ascii="Palatino Linotype" w:eastAsia="Palatino Linotype" w:hAnsi="Palatino Linotype" w:cs="Palatino Linotype"/>
        </w:rPr>
        <w:t xml:space="preserve">las constancias para resolver el Recurso de Revisión </w:t>
      </w:r>
      <w:r w:rsidRPr="004D091F">
        <w:rPr>
          <w:rFonts w:ascii="Palatino Linotype" w:eastAsia="Palatino Linotype" w:hAnsi="Palatino Linotype" w:cs="Palatino Linotype"/>
          <w:b/>
          <w:bCs/>
        </w:rPr>
        <w:t>06088/INFOEM/IP/RR/2025,</w:t>
      </w:r>
      <w:r w:rsidRPr="004D091F">
        <w:rPr>
          <w:rFonts w:ascii="Palatino Linotype" w:eastAsia="Palatino Linotype" w:hAnsi="Palatino Linotype" w:cs="Palatino Linotype"/>
        </w:rPr>
        <w:t xml:space="preserve"> presentado por </w:t>
      </w:r>
      <w:r w:rsidRPr="004D091F">
        <w:rPr>
          <w:rFonts w:ascii="Palatino Linotype" w:eastAsia="Palatino Linotype" w:hAnsi="Palatino Linotype" w:cs="Palatino Linotype"/>
          <w:b/>
        </w:rPr>
        <w:t>una persona que no aportó datos de identificación</w:t>
      </w:r>
      <w:r w:rsidRPr="004D091F">
        <w:rPr>
          <w:rFonts w:ascii="Palatino Linotype" w:eastAsia="Palatino Linotype" w:hAnsi="Palatino Linotype" w:cs="Palatino Linotype"/>
          <w:b/>
          <w:bCs/>
        </w:rPr>
        <w:t>,</w:t>
      </w:r>
      <w:r w:rsidRPr="004D091F">
        <w:rPr>
          <w:rFonts w:ascii="Palatino Linotype" w:eastAsia="Palatino Linotype" w:hAnsi="Palatino Linotype" w:cs="Palatino Linotype"/>
        </w:rPr>
        <w:t xml:space="preserve"> a quien en lo sucesivo se denominará </w:t>
      </w:r>
      <w:r w:rsidRPr="004D091F">
        <w:rPr>
          <w:rFonts w:ascii="Palatino Linotype" w:eastAsia="Palatino Linotype" w:hAnsi="Palatino Linotype" w:cs="Palatino Linotype"/>
          <w:b/>
          <w:bCs/>
        </w:rPr>
        <w:t>EL RECURRENTE</w:t>
      </w:r>
      <w:r w:rsidRPr="004D091F">
        <w:rPr>
          <w:rFonts w:ascii="Palatino Linotype" w:eastAsia="Palatino Linotype" w:hAnsi="Palatino Linotype" w:cs="Palatino Linotype"/>
        </w:rPr>
        <w:t xml:space="preserve">, en contra de la respuesta otorgada a la solicitud de información con número de folio </w:t>
      </w:r>
      <w:r w:rsidRPr="004D091F">
        <w:rPr>
          <w:rFonts w:ascii="Palatino Linotype" w:eastAsia="Palatino Linotype" w:hAnsi="Palatino Linotype" w:cs="Palatino Linotype"/>
          <w:b/>
          <w:bCs/>
        </w:rPr>
        <w:t>02082/TOLUCA/IP/2025</w:t>
      </w:r>
      <w:r w:rsidRPr="004D091F">
        <w:rPr>
          <w:rFonts w:ascii="Palatino Linotype" w:eastAsia="Palatino Linotype" w:hAnsi="Palatino Linotype" w:cs="Palatino Linotype"/>
        </w:rPr>
        <w:t xml:space="preserve">, por parte de la </w:t>
      </w:r>
      <w:r w:rsidRPr="004D091F">
        <w:rPr>
          <w:rFonts w:ascii="Palatino Linotype" w:eastAsia="Palatino Linotype" w:hAnsi="Palatino Linotype" w:cs="Palatino Linotype"/>
          <w:b/>
          <w:bCs/>
        </w:rPr>
        <w:t xml:space="preserve">Ayuntamiento de Toluca, </w:t>
      </w:r>
      <w:r w:rsidRPr="004D091F">
        <w:rPr>
          <w:rFonts w:ascii="Palatino Linotype" w:eastAsia="Palatino Linotype" w:hAnsi="Palatino Linotype" w:cs="Palatino Linotype"/>
        </w:rPr>
        <w:t xml:space="preserve">en adelante </w:t>
      </w:r>
      <w:r w:rsidRPr="004D091F">
        <w:rPr>
          <w:rFonts w:ascii="Palatino Linotype" w:eastAsia="Palatino Linotype" w:hAnsi="Palatino Linotype" w:cs="Palatino Linotype"/>
          <w:b/>
          <w:bCs/>
        </w:rPr>
        <w:t>EL SUJETO OBLIGADO,</w:t>
      </w:r>
      <w:r w:rsidRPr="004D091F">
        <w:rPr>
          <w:rFonts w:ascii="Palatino Linotype" w:eastAsia="Palatino Linotype" w:hAnsi="Palatino Linotype" w:cs="Palatino Linotype"/>
        </w:rPr>
        <w:t xml:space="preserve"> se emite la presente Resolución con base en los siguientes:</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1" w:name="_heading=h.gjdgxs" w:colFirst="0" w:colLast="0"/>
      <w:bookmarkEnd w:id="1"/>
      <w:r w:rsidRPr="004D091F">
        <w:rPr>
          <w:rFonts w:ascii="Palatino Linotype" w:eastAsia="Palatino Linotype" w:hAnsi="Palatino Linotype" w:cs="Palatino Linotype"/>
          <w:b/>
          <w:bCs/>
          <w:color w:val="000000"/>
          <w:sz w:val="24"/>
          <w:szCs w:val="24"/>
        </w:rPr>
        <w:t>A N T E C E D E N T E S</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411E6C" w:rsidRPr="004D091F" w:rsidRDefault="008A43B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El día</w:t>
      </w:r>
      <w:r w:rsidRPr="004D091F">
        <w:rPr>
          <w:rFonts w:ascii="Palatino Linotype" w:eastAsia="Palatino Linotype" w:hAnsi="Palatino Linotype" w:cs="Palatino Linotype"/>
          <w:b/>
          <w:bCs/>
          <w:color w:val="000000"/>
        </w:rPr>
        <w:t xml:space="preserve"> siete de abril dos mil veinticinco</w:t>
      </w:r>
      <w:r w:rsidRPr="004D091F">
        <w:rPr>
          <w:rFonts w:ascii="Palatino Linotype" w:eastAsia="Palatino Linotype" w:hAnsi="Palatino Linotype" w:cs="Palatino Linotype"/>
          <w:color w:val="000000"/>
        </w:rPr>
        <w:t>,</w:t>
      </w:r>
      <w:r w:rsidRPr="004D091F">
        <w:rPr>
          <w:rFonts w:ascii="Palatino Linotype" w:eastAsia="Palatino Linotype" w:hAnsi="Palatino Linotype" w:cs="Palatino Linotype"/>
          <w:b/>
          <w:bCs/>
          <w:color w:val="000000"/>
        </w:rPr>
        <w:t xml:space="preserve"> </w:t>
      </w:r>
      <w:r w:rsidRPr="004D091F">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411E6C" w:rsidRPr="004D091F" w:rsidRDefault="008A43BF">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r w:rsidRPr="004D091F">
        <w:rPr>
          <w:rFonts w:ascii="Palatino Linotype" w:eastAsia="Palatino Linotype" w:hAnsi="Palatino Linotype" w:cs="Palatino Linotype"/>
          <w:i/>
          <w:iCs/>
        </w:rPr>
        <w:t xml:space="preserve">Para el Tercer Regidor 1. Todas las solicitudes se solicitan las respuestas a los ejercicios fiscal 2025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gasolina, vehículos, estacionamiento, papelería, etc., y el acta de cabildo en la cual </w:t>
      </w:r>
      <w:r w:rsidRPr="004D091F">
        <w:rPr>
          <w:rFonts w:ascii="Palatino Linotype" w:eastAsia="Palatino Linotype" w:hAnsi="Palatino Linotype" w:cs="Palatino Linotype"/>
          <w:i/>
          <w:iCs/>
        </w:rPr>
        <w:lastRenderedPageBreak/>
        <w:t>se autorizo el presupuesto para esta regiduría. 6. Cuantos vehículos automotores tiene 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Pr="004D091F">
        <w:rPr>
          <w:rFonts w:ascii="Palatino Linotype" w:eastAsia="Palatino Linotype" w:hAnsi="Palatino Linotype" w:cs="Palatino Linotype"/>
          <w:i/>
          <w:iCs/>
          <w:color w:val="000000"/>
        </w:rPr>
        <w:t>”</w:t>
      </w:r>
    </w:p>
    <w:p w:rsidR="00411E6C" w:rsidRPr="004D091F" w:rsidRDefault="00411E6C">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411E6C" w:rsidRPr="004D091F" w:rsidRDefault="008A43BF" w:rsidP="004D091F">
      <w:pPr>
        <w:numPr>
          <w:ilvl w:val="0"/>
          <w:numId w:val="8"/>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Se eligió como modalidad de entrega de la información: </w:t>
      </w:r>
      <w:r w:rsidRPr="004D091F">
        <w:rPr>
          <w:rFonts w:ascii="Palatino Linotype" w:eastAsia="Palatino Linotype" w:hAnsi="Palatino Linotype" w:cs="Palatino Linotype"/>
          <w:b/>
          <w:bCs/>
          <w:color w:val="000000"/>
        </w:rPr>
        <w:t>a través de SAIMEX</w:t>
      </w:r>
    </w:p>
    <w:p w:rsidR="00411E6C" w:rsidRPr="004D091F" w:rsidRDefault="00411E6C">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4D091F">
        <w:rPr>
          <w:rFonts w:ascii="Palatino Linotype" w:eastAsia="Palatino Linotype" w:hAnsi="Palatino Linotype" w:cs="Palatino Linotype"/>
          <w:color w:val="000000"/>
        </w:rPr>
        <w:t xml:space="preserve">El </w:t>
      </w:r>
      <w:r w:rsidRPr="004D091F">
        <w:rPr>
          <w:rFonts w:ascii="Palatino Linotype" w:eastAsia="Palatino Linotype" w:hAnsi="Palatino Linotype" w:cs="Palatino Linotype"/>
          <w:b/>
          <w:bCs/>
          <w:color w:val="000000"/>
        </w:rPr>
        <w:t>siete de mayo de dos mil veinticinco</w:t>
      </w:r>
      <w:r w:rsidRPr="004D091F">
        <w:rPr>
          <w:rFonts w:ascii="Palatino Linotype" w:eastAsia="Palatino Linotype" w:hAnsi="Palatino Linotype" w:cs="Palatino Linotype"/>
          <w:color w:val="000000"/>
        </w:rPr>
        <w:t xml:space="preserve">, </w:t>
      </w:r>
      <w:r w:rsidRPr="004D091F">
        <w:rPr>
          <w:rFonts w:ascii="Palatino Linotype" w:eastAsia="Palatino Linotype" w:hAnsi="Palatino Linotype" w:cs="Palatino Linotype"/>
        </w:rPr>
        <w:t xml:space="preserve">el </w:t>
      </w:r>
      <w:r w:rsidRPr="004D091F">
        <w:rPr>
          <w:rFonts w:ascii="Palatino Linotype" w:eastAsia="Palatino Linotype" w:hAnsi="Palatino Linotype" w:cs="Palatino Linotype"/>
          <w:b/>
          <w:bCs/>
        </w:rPr>
        <w:t xml:space="preserve">SUJETO OBLIGADO </w:t>
      </w:r>
      <w:r w:rsidRPr="004D091F">
        <w:rPr>
          <w:rFonts w:ascii="Palatino Linotype" w:eastAsia="Palatino Linotype" w:hAnsi="Palatino Linotype" w:cs="Palatino Linotype"/>
        </w:rPr>
        <w:t xml:space="preserve">envió su respuesta a la </w:t>
      </w:r>
      <w:r w:rsidRPr="004D091F">
        <w:rPr>
          <w:rFonts w:ascii="Palatino Linotype" w:eastAsia="Palatino Linotype" w:hAnsi="Palatino Linotype" w:cs="Palatino Linotype"/>
          <w:color w:val="000000"/>
        </w:rPr>
        <w:t>solicitud</w:t>
      </w:r>
      <w:r w:rsidRPr="004D091F">
        <w:rPr>
          <w:rFonts w:ascii="Palatino Linotype" w:eastAsia="Palatino Linotype" w:hAnsi="Palatino Linotype" w:cs="Palatino Linotype"/>
        </w:rPr>
        <w:t xml:space="preserve"> de </w:t>
      </w:r>
      <w:r w:rsidRPr="004D091F">
        <w:rPr>
          <w:rFonts w:ascii="Palatino Linotype" w:eastAsia="Palatino Linotype" w:hAnsi="Palatino Linotype" w:cs="Palatino Linotype"/>
          <w:color w:val="000000"/>
        </w:rPr>
        <w:t>acceso</w:t>
      </w:r>
      <w:r w:rsidRPr="004D091F">
        <w:rPr>
          <w:rFonts w:ascii="Palatino Linotype" w:eastAsia="Palatino Linotype" w:hAnsi="Palatino Linotype" w:cs="Palatino Linotype"/>
        </w:rPr>
        <w:t xml:space="preserve"> a la información a través de SAIMEX, mediante cinco archivos </w:t>
      </w:r>
      <w:r w:rsidRPr="004D091F">
        <w:rPr>
          <w:rFonts w:ascii="Palatino Linotype" w:eastAsia="Palatino Linotype" w:hAnsi="Palatino Linotype" w:cs="Palatino Linotype"/>
          <w:b/>
          <w:bCs/>
          <w:i/>
          <w:iCs/>
        </w:rPr>
        <w:t xml:space="preserve">2082.pdf, 2082.pdf, 08-2025 Gaceta Municipal.pdf, ANEXO ADMINISTRACIÓN.docx y, R. 02082. 2025.pdf, </w:t>
      </w:r>
      <w:r w:rsidRPr="004D091F">
        <w:rPr>
          <w:rFonts w:ascii="Palatino Linotype" w:eastAsia="Palatino Linotype" w:hAnsi="Palatino Linotype" w:cs="Palatino Linotype"/>
        </w:rPr>
        <w:t xml:space="preserve">que de manera general corresponden a un oficio suscrito por el Tesorero </w:t>
      </w:r>
      <w:r w:rsidRPr="004D091F">
        <w:rPr>
          <w:rFonts w:ascii="Palatino Linotype" w:eastAsia="Palatino Linotype" w:hAnsi="Palatino Linotype" w:cs="Palatino Linotype"/>
        </w:rPr>
        <w:lastRenderedPageBreak/>
        <w:t xml:space="preserve">Municipal, a través del cual informa que el presupuesto aprobado por el cabildo se podrá encontrar adjunto a una liga (no se adjunta); listado ad hoc, del que se enlistan los bienes muebles de la Tercera Regiduría; Gaceta Municipal Volumen Ocho, Año Uno de fecha 24 DE FEBRERO DE 2025; hoja de Word con el siguiente enlace de Internet: </w:t>
      </w:r>
      <w:r w:rsidRPr="004D091F">
        <w:rPr>
          <w:rFonts w:ascii="Palatino Linotype" w:eastAsia="Palatino Linotype" w:hAnsi="Palatino Linotype" w:cs="Palatino Linotype"/>
          <w:i/>
          <w:iCs/>
        </w:rPr>
        <w:t>https://infoem2.ipomex.org.mx/ipomex/#/info-fraccion/11/197/28</w:t>
      </w:r>
      <w:r w:rsidRPr="004D091F">
        <w:rPr>
          <w:rFonts w:ascii="Palatino Linotype" w:eastAsia="Palatino Linotype" w:hAnsi="Palatino Linotype" w:cs="Palatino Linotype"/>
        </w:rPr>
        <w:t>; y un escrito signado por el Titular de la Unidad de Transparencia mediante el cual informa al Solicitante de la respuesta emitida.</w:t>
      </w:r>
    </w:p>
    <w:p w:rsidR="00411E6C" w:rsidRPr="004D091F" w:rsidRDefault="00411E6C">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b/>
          <w:bCs/>
        </w:rPr>
      </w:pPr>
    </w:p>
    <w:p w:rsidR="00411E6C" w:rsidRPr="004D091F" w:rsidRDefault="008A43BF">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color w:val="000000"/>
        </w:rPr>
        <w:t>El</w:t>
      </w:r>
      <w:r w:rsidRPr="004D091F">
        <w:rPr>
          <w:rFonts w:ascii="Palatino Linotype" w:eastAsia="Palatino Linotype" w:hAnsi="Palatino Linotype" w:cs="Palatino Linotype"/>
          <w:b/>
          <w:bCs/>
          <w:color w:val="000000"/>
        </w:rPr>
        <w:t xml:space="preserve"> </w:t>
      </w:r>
      <w:r w:rsidRPr="004D091F">
        <w:rPr>
          <w:rFonts w:ascii="Palatino Linotype" w:eastAsia="Palatino Linotype" w:hAnsi="Palatino Linotype" w:cs="Palatino Linotype"/>
          <w:b/>
          <w:bCs/>
        </w:rPr>
        <w:t xml:space="preserve">veintisiete de mayo de dos mil veinticinco, </w:t>
      </w:r>
      <w:r w:rsidRPr="004D091F">
        <w:rPr>
          <w:rFonts w:ascii="Palatino Linotype" w:eastAsia="Palatino Linotype" w:hAnsi="Palatino Linotype" w:cs="Palatino Linotype"/>
        </w:rPr>
        <w:t xml:space="preserve">la parte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interpuso el recurso de revisión a través de </w:t>
      </w:r>
      <w:r w:rsidRPr="004D091F">
        <w:rPr>
          <w:rFonts w:ascii="Palatino Linotype" w:eastAsia="Palatino Linotype" w:hAnsi="Palatino Linotype" w:cs="Palatino Linotype"/>
          <w:b/>
          <w:bCs/>
        </w:rPr>
        <w:t xml:space="preserve">SAIMEX, </w:t>
      </w:r>
      <w:r w:rsidRPr="004D091F">
        <w:rPr>
          <w:rFonts w:ascii="Palatino Linotype" w:eastAsia="Palatino Linotype" w:hAnsi="Palatino Linotype" w:cs="Palatino Linotype"/>
        </w:rPr>
        <w:t>en donde se manifestó de la siguiente manera:</w:t>
      </w:r>
    </w:p>
    <w:p w:rsidR="00411E6C" w:rsidRPr="004D091F" w:rsidRDefault="00411E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411E6C" w:rsidRPr="004D091F" w:rsidRDefault="004D091F" w:rsidP="004D091F">
      <w:pPr>
        <w:pStyle w:val="Prrafodelista"/>
        <w:numPr>
          <w:ilvl w:val="0"/>
          <w:numId w:val="12"/>
        </w:numPr>
        <w:tabs>
          <w:tab w:val="left" w:pos="2745"/>
        </w:tabs>
        <w:spacing w:line="360" w:lineRule="auto"/>
        <w:ind w:right="616"/>
        <w:jc w:val="both"/>
        <w:rPr>
          <w:rFonts w:ascii="Palatino Linotype" w:eastAsia="Palatino Linotype" w:hAnsi="Palatino Linotype" w:cs="Palatino Linotype"/>
          <w:b/>
          <w:bCs/>
        </w:rPr>
      </w:pPr>
      <w:r w:rsidRPr="004D091F">
        <w:rPr>
          <w:rFonts w:ascii="Palatino Linotype" w:eastAsia="Palatino Linotype" w:hAnsi="Palatino Linotype" w:cs="Palatino Linotype"/>
          <w:b/>
          <w:bCs/>
        </w:rPr>
        <w:t xml:space="preserve">ACTO IMPUGNADO: </w:t>
      </w:r>
    </w:p>
    <w:p w:rsidR="00411E6C" w:rsidRPr="004D091F" w:rsidRDefault="004D091F" w:rsidP="004D091F">
      <w:pPr>
        <w:spacing w:line="360" w:lineRule="auto"/>
        <w:ind w:right="616"/>
        <w:jc w:val="both"/>
        <w:rPr>
          <w:rFonts w:ascii="Palatino Linotype" w:eastAsia="Palatino Linotype" w:hAnsi="Palatino Linotype" w:cs="Palatino Linotype"/>
          <w:i/>
          <w:iCs/>
        </w:rPr>
      </w:pPr>
      <w:r>
        <w:rPr>
          <w:rFonts w:ascii="Palatino Linotype" w:eastAsia="Palatino Linotype" w:hAnsi="Palatino Linotype" w:cs="Palatino Linotype"/>
          <w:i/>
          <w:iCs/>
        </w:rPr>
        <w:tab/>
      </w:r>
      <w:r w:rsidR="008A43BF" w:rsidRPr="004D091F">
        <w:rPr>
          <w:rFonts w:ascii="Palatino Linotype" w:eastAsia="Palatino Linotype" w:hAnsi="Palatino Linotype" w:cs="Palatino Linotype"/>
          <w:i/>
          <w:iCs/>
        </w:rPr>
        <w:t>“la entrega de la información esta incompleta no sean opacos entreguen todo”</w:t>
      </w:r>
    </w:p>
    <w:p w:rsidR="00411E6C" w:rsidRPr="004D091F" w:rsidRDefault="00411E6C" w:rsidP="004D091F">
      <w:pPr>
        <w:tabs>
          <w:tab w:val="left" w:pos="2745"/>
        </w:tabs>
        <w:spacing w:line="360" w:lineRule="auto"/>
        <w:ind w:right="616"/>
        <w:jc w:val="both"/>
        <w:rPr>
          <w:rFonts w:ascii="Palatino Linotype" w:eastAsia="Palatino Linotype" w:hAnsi="Palatino Linotype" w:cs="Palatino Linotype"/>
          <w:i/>
          <w:iCs/>
        </w:rPr>
      </w:pPr>
    </w:p>
    <w:p w:rsidR="00411E6C" w:rsidRPr="004D091F" w:rsidRDefault="004D091F" w:rsidP="004D091F">
      <w:pPr>
        <w:pStyle w:val="Prrafodelista"/>
        <w:numPr>
          <w:ilvl w:val="0"/>
          <w:numId w:val="12"/>
        </w:numPr>
        <w:spacing w:line="360" w:lineRule="auto"/>
        <w:ind w:right="616"/>
        <w:jc w:val="both"/>
        <w:rPr>
          <w:rFonts w:ascii="Palatino Linotype" w:eastAsia="Palatino Linotype" w:hAnsi="Palatino Linotype" w:cs="Palatino Linotype"/>
          <w:b/>
        </w:rPr>
      </w:pPr>
      <w:bookmarkStart w:id="2" w:name="_heading=h.30j0zll" w:colFirst="0" w:colLast="0"/>
      <w:bookmarkEnd w:id="2"/>
      <w:r w:rsidRPr="004D091F">
        <w:rPr>
          <w:rFonts w:ascii="Palatino Linotype" w:eastAsia="Palatino Linotype" w:hAnsi="Palatino Linotype" w:cs="Palatino Linotype"/>
          <w:b/>
          <w:bCs/>
        </w:rPr>
        <w:t>RAZONES O MOTIVOS DE INCONFORMIDAD</w:t>
      </w:r>
      <w:r w:rsidRPr="004D091F">
        <w:rPr>
          <w:rFonts w:ascii="Palatino Linotype" w:eastAsia="Palatino Linotype" w:hAnsi="Palatino Linotype" w:cs="Palatino Linotype"/>
          <w:b/>
        </w:rPr>
        <w:t>:</w:t>
      </w:r>
    </w:p>
    <w:p w:rsidR="00411E6C" w:rsidRPr="004D091F" w:rsidRDefault="008A43BF" w:rsidP="004D091F">
      <w:pPr>
        <w:spacing w:line="360" w:lineRule="auto"/>
        <w:ind w:left="720"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i/>
          <w:iCs/>
        </w:rPr>
        <w:t>“se solicita se entregue los documentos que den cuenta de la informaicón solciitada no link y falta información que se entrgue completo”</w:t>
      </w:r>
    </w:p>
    <w:p w:rsidR="00411E6C" w:rsidRPr="004D091F" w:rsidRDefault="00411E6C">
      <w:pPr>
        <w:tabs>
          <w:tab w:val="left" w:pos="2745"/>
        </w:tabs>
        <w:spacing w:line="360" w:lineRule="auto"/>
        <w:ind w:left="709" w:right="616"/>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t>Con fecha</w:t>
      </w:r>
      <w:r w:rsidRPr="004D091F">
        <w:rPr>
          <w:rFonts w:ascii="Palatino Linotype" w:eastAsia="Palatino Linotype" w:hAnsi="Palatino Linotype" w:cs="Palatino Linotype"/>
          <w:b/>
          <w:bCs/>
        </w:rPr>
        <w:t xml:space="preserve"> veintinueve de mayo dos mil veinticinco, </w:t>
      </w:r>
      <w:r w:rsidRPr="004D091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D091F">
        <w:rPr>
          <w:rFonts w:ascii="Palatino Linotype" w:eastAsia="Palatino Linotype" w:hAnsi="Palatino Linotype" w:cs="Palatino Linotype"/>
          <w:b/>
          <w:bCs/>
        </w:rPr>
        <w:t xml:space="preserve">SUJETO OBLIGADO </w:t>
      </w:r>
      <w:r w:rsidRPr="004D091F">
        <w:rPr>
          <w:rFonts w:ascii="Palatino Linotype" w:eastAsia="Palatino Linotype" w:hAnsi="Palatino Linotype" w:cs="Palatino Linotype"/>
        </w:rPr>
        <w:t>presentara su informe justificado.</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color w:val="000000"/>
        </w:rPr>
        <w:lastRenderedPageBreak/>
        <w:t>El</w:t>
      </w:r>
      <w:r w:rsidRPr="004D091F">
        <w:rPr>
          <w:rFonts w:ascii="Palatino Linotype" w:eastAsia="Palatino Linotype" w:hAnsi="Palatino Linotype" w:cs="Palatino Linotype"/>
          <w:b/>
          <w:bCs/>
          <w:color w:val="000000"/>
        </w:rPr>
        <w:t xml:space="preserve"> SUJETO </w:t>
      </w:r>
      <w:r w:rsidRPr="004D091F">
        <w:rPr>
          <w:rFonts w:ascii="Palatino Linotype" w:eastAsia="Palatino Linotype" w:hAnsi="Palatino Linotype" w:cs="Palatino Linotype"/>
          <w:b/>
          <w:bCs/>
        </w:rPr>
        <w:t>OBLIGADO</w:t>
      </w:r>
      <w:r w:rsidRPr="004D091F">
        <w:rPr>
          <w:rFonts w:ascii="Palatino Linotype" w:eastAsia="Palatino Linotype" w:hAnsi="Palatino Linotype" w:cs="Palatino Linotype"/>
          <w:b/>
          <w:bCs/>
          <w:color w:val="000000"/>
        </w:rPr>
        <w:t xml:space="preserve"> </w:t>
      </w:r>
      <w:r w:rsidRPr="004D091F">
        <w:rPr>
          <w:rFonts w:ascii="Palatino Linotype" w:eastAsia="Palatino Linotype" w:hAnsi="Palatino Linotype" w:cs="Palatino Linotype"/>
          <w:color w:val="000000"/>
        </w:rPr>
        <w:t>en fecha</w:t>
      </w:r>
      <w:r w:rsidRPr="004D091F">
        <w:rPr>
          <w:rFonts w:ascii="Palatino Linotype" w:eastAsia="Palatino Linotype" w:hAnsi="Palatino Linotype" w:cs="Palatino Linotype"/>
          <w:b/>
          <w:bCs/>
          <w:color w:val="000000"/>
        </w:rPr>
        <w:t xml:space="preserve"> nueve de junio de dos mil veinticinco </w:t>
      </w:r>
      <w:r w:rsidRPr="004D091F">
        <w:rPr>
          <w:rFonts w:ascii="Palatino Linotype" w:eastAsia="Palatino Linotype" w:hAnsi="Palatino Linotype" w:cs="Palatino Linotype"/>
          <w:color w:val="000000"/>
        </w:rPr>
        <w:t xml:space="preserve">rindió </w:t>
      </w:r>
      <w:r w:rsidRPr="004D091F">
        <w:rPr>
          <w:rFonts w:ascii="Palatino Linotype" w:eastAsia="Palatino Linotype" w:hAnsi="Palatino Linotype" w:cs="Palatino Linotype"/>
        </w:rPr>
        <w:t>informe a través de los archivos denominados</w:t>
      </w:r>
      <w:r w:rsidRPr="004D091F">
        <w:rPr>
          <w:rFonts w:ascii="Palatino Linotype" w:eastAsia="Palatino Linotype" w:hAnsi="Palatino Linotype" w:cs="Palatino Linotype"/>
          <w:color w:val="000000"/>
        </w:rPr>
        <w:t xml:space="preserve"> </w:t>
      </w:r>
      <w:r w:rsidRPr="004D091F">
        <w:rPr>
          <w:rFonts w:ascii="Palatino Linotype" w:eastAsia="Palatino Linotype" w:hAnsi="Palatino Linotype" w:cs="Palatino Linotype"/>
          <w:i/>
          <w:iCs/>
          <w:color w:val="000000"/>
        </w:rPr>
        <w:t>justificado</w:t>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i/>
          <w:iCs/>
          <w:color w:val="000000"/>
        </w:rPr>
        <w:t>ANEXOS 06088-2025.pdf</w:t>
      </w:r>
      <w:r w:rsidRPr="004D091F">
        <w:rPr>
          <w:rFonts w:ascii="Palatino Linotype" w:eastAsia="Palatino Linotype" w:hAnsi="Palatino Linotype" w:cs="Palatino Linotype"/>
          <w:color w:val="000000"/>
        </w:rPr>
        <w:t xml:space="preserve"> y </w:t>
      </w:r>
      <w:r w:rsidRPr="004D091F">
        <w:rPr>
          <w:rFonts w:ascii="Palatino Linotype" w:eastAsia="Palatino Linotype" w:hAnsi="Palatino Linotype" w:cs="Palatino Linotype"/>
          <w:i/>
          <w:iCs/>
          <w:color w:val="000000"/>
        </w:rPr>
        <w:t>Ratificación 06088.pdf</w:t>
      </w:r>
      <w:r w:rsidRPr="004D091F">
        <w:rPr>
          <w:rFonts w:ascii="Palatino Linotype" w:eastAsia="Palatino Linotype" w:hAnsi="Palatino Linotype" w:cs="Palatino Linotype"/>
          <w:color w:val="000000"/>
        </w:rPr>
        <w:t>, cuyo objetivo fue la de confirmar la respuesta inicial sin aportar elementos novedosos.</w:t>
      </w:r>
      <w:r w:rsidRPr="004D091F">
        <w:rPr>
          <w:rFonts w:ascii="Palatino Linotype" w:eastAsia="Palatino Linotype" w:hAnsi="Palatino Linotype" w:cs="Palatino Linotype"/>
        </w:rPr>
        <w:t xml:space="preserve"> Por su parte el solicitante fue omiso en realizar manifestaciones que a su derecho conviniera y asistiera.</w:t>
      </w:r>
    </w:p>
    <w:p w:rsidR="00411E6C" w:rsidRPr="004D091F" w:rsidRDefault="00411E6C">
      <w:pPr>
        <w:pBdr>
          <w:top w:val="nil"/>
          <w:left w:val="nil"/>
          <w:bottom w:val="nil"/>
          <w:right w:val="nil"/>
          <w:between w:val="nil"/>
        </w:pBdr>
        <w:spacing w:line="360" w:lineRule="auto"/>
        <w:ind w:right="616"/>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color w:val="000000"/>
        </w:rPr>
        <w:t xml:space="preserve">Seguidamente, mediante Acuerdo de fecha </w:t>
      </w:r>
      <w:r w:rsidRPr="004D091F">
        <w:rPr>
          <w:rFonts w:ascii="Palatino Linotype" w:eastAsia="Palatino Linotype" w:hAnsi="Palatino Linotype" w:cs="Palatino Linotype"/>
          <w:b/>
          <w:bCs/>
          <w:color w:val="000000"/>
        </w:rPr>
        <w:t xml:space="preserve">tres de marzo del año en curso, </w:t>
      </w:r>
      <w:r w:rsidRPr="004D091F">
        <w:rPr>
          <w:rFonts w:ascii="Palatino Linotype" w:eastAsia="Palatino Linotype" w:hAnsi="Palatino Linotype" w:cs="Palatino Linotype"/>
          <w:color w:val="000000"/>
        </w:rPr>
        <w:t xml:space="preserve">se amplió el termino para resolver, consecutivamente se decretó el cierre de instrucción mediante Acuerdo de fecha </w:t>
      </w:r>
      <w:r w:rsidRPr="004D091F">
        <w:rPr>
          <w:rFonts w:ascii="Palatino Linotype" w:eastAsia="Palatino Linotype" w:hAnsi="Palatino Linotype" w:cs="Palatino Linotype"/>
          <w:b/>
          <w:bCs/>
          <w:color w:val="000000"/>
        </w:rPr>
        <w:t>nueve de marzo de dos mil veintiséis</w:t>
      </w:r>
      <w:r w:rsidRPr="004D091F">
        <w:rPr>
          <w:rFonts w:ascii="Palatino Linotype" w:eastAsia="Palatino Linotype" w:hAnsi="Palatino Linotype" w:cs="Palatino Linotype"/>
          <w:color w:val="000000"/>
        </w:rPr>
        <w:t>, por lo que no habiendo más que hacer constar, y</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b/>
          <w:bCs/>
          <w:color w:val="000000"/>
        </w:rPr>
      </w:pPr>
    </w:p>
    <w:p w:rsidR="00411E6C" w:rsidRPr="004D091F" w:rsidRDefault="008A43BF">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C O N S I D E R A N D O</w:t>
      </w:r>
    </w:p>
    <w:p w:rsidR="00411E6C" w:rsidRPr="004D091F" w:rsidRDefault="00411E6C">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rsidR="00411E6C" w:rsidRPr="004D091F" w:rsidRDefault="008A43BF">
      <w:pPr>
        <w:pStyle w:val="Ttulo2"/>
        <w:spacing w:before="0" w:line="360" w:lineRule="auto"/>
        <w:ind w:right="49"/>
        <w:rPr>
          <w:rFonts w:ascii="Palatino Linotype" w:eastAsia="Palatino Linotype" w:hAnsi="Palatino Linotype" w:cs="Palatino Linotype"/>
          <w:b/>
          <w:bCs/>
          <w:color w:val="000000"/>
          <w:sz w:val="24"/>
          <w:szCs w:val="24"/>
        </w:rPr>
      </w:pPr>
      <w:bookmarkStart w:id="3" w:name="_heading=h.3znysh7" w:colFirst="0" w:colLast="0"/>
      <w:bookmarkEnd w:id="3"/>
      <w:r w:rsidRPr="004D091F">
        <w:rPr>
          <w:rFonts w:ascii="Palatino Linotype" w:eastAsia="Palatino Linotype" w:hAnsi="Palatino Linotype" w:cs="Palatino Linotype"/>
          <w:b/>
          <w:bCs/>
          <w:color w:val="000000"/>
          <w:sz w:val="24"/>
          <w:szCs w:val="24"/>
        </w:rPr>
        <w:t>PRIMERO. Competencia</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Este Instituto de Transparencia, Acceso a la Información Pública y Protección de Datos </w:t>
      </w:r>
      <w:r w:rsidRPr="004D091F">
        <w:rPr>
          <w:rFonts w:ascii="Palatino Linotype" w:eastAsia="Palatino Linotype" w:hAnsi="Palatino Linotype" w:cs="Palatino Linotype"/>
        </w:rPr>
        <w:t>Personales</w:t>
      </w:r>
      <w:r w:rsidRPr="004D091F">
        <w:rPr>
          <w:rFonts w:ascii="Palatino Linotype" w:eastAsia="Palatino Linotype" w:hAnsi="Palatino Linotype" w:cs="Palatino Linotype"/>
          <w:color w:val="000000"/>
        </w:rPr>
        <w:t xml:space="preserve"> del Estado de México y Municipios es competente para conocer y </w:t>
      </w:r>
      <w:r w:rsidRPr="004D091F">
        <w:rPr>
          <w:rFonts w:ascii="Palatino Linotype" w:eastAsia="Palatino Linotype" w:hAnsi="Palatino Linotype" w:cs="Palatino Linotype"/>
        </w:rPr>
        <w:t>resolver</w:t>
      </w:r>
      <w:r w:rsidRPr="004D091F">
        <w:rPr>
          <w:rFonts w:ascii="Palatino Linotype" w:eastAsia="Palatino Linotype" w:hAnsi="Palatino Linotype" w:cs="Palatino Linotype"/>
          <w:color w:val="000000"/>
        </w:rPr>
        <w:t xml:space="preserve"> el presente Recurso de Revisión, conforme a lo dispuesto en los artículos 6, Apartado A de la 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411E6C" w:rsidRPr="004D091F" w:rsidRDefault="008A43BF">
      <w:pPr>
        <w:pStyle w:val="Ttulo2"/>
        <w:spacing w:before="0" w:line="360" w:lineRule="auto"/>
        <w:ind w:right="49"/>
        <w:rPr>
          <w:rFonts w:ascii="Palatino Linotype" w:eastAsia="Palatino Linotype" w:hAnsi="Palatino Linotype" w:cs="Palatino Linotype"/>
          <w:b/>
          <w:bCs/>
          <w:color w:val="000000"/>
          <w:sz w:val="24"/>
          <w:szCs w:val="24"/>
        </w:rPr>
      </w:pPr>
      <w:bookmarkStart w:id="4" w:name="_heading=h.2et92p0" w:colFirst="0" w:colLast="0"/>
      <w:bookmarkEnd w:id="4"/>
      <w:r w:rsidRPr="004D091F">
        <w:rPr>
          <w:rFonts w:ascii="Palatino Linotype" w:eastAsia="Palatino Linotype" w:hAnsi="Palatino Linotype" w:cs="Palatino Linotype"/>
          <w:b/>
          <w:bCs/>
          <w:color w:val="000000"/>
          <w:sz w:val="24"/>
          <w:szCs w:val="24"/>
        </w:rPr>
        <w:lastRenderedPageBreak/>
        <w:t>SEGUNDO. Procedencia.</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Este Órgano Garante considera que el medio de impugnación reúne los requisitos de </w:t>
      </w:r>
      <w:r w:rsidRPr="004D091F">
        <w:rPr>
          <w:rFonts w:ascii="Palatino Linotype" w:eastAsia="Palatino Linotype" w:hAnsi="Palatino Linotype" w:cs="Palatino Linotype"/>
          <w:color w:val="000000"/>
        </w:rPr>
        <w:t>procedencia</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Por otro lado, es de suma importancia señalar que la parte recurrente no proporciona un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11E6C" w:rsidRPr="004D091F" w:rsidRDefault="008A43BF">
      <w:pPr>
        <w:spacing w:line="360" w:lineRule="auto"/>
        <w:ind w:left="567" w:right="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Las solicitudes anónimas</w:t>
      </w:r>
      <w:r w:rsidRPr="004D091F">
        <w:rPr>
          <w:rFonts w:ascii="Palatino Linotype" w:eastAsia="Palatino Linotype" w:hAnsi="Palatino Linotype" w:cs="Palatino Linotype"/>
          <w:i/>
          <w:iCs/>
        </w:rPr>
        <w:t xml:space="preserve">, con nombre incompleto o seudónimo </w:t>
      </w:r>
      <w:r w:rsidRPr="004D091F">
        <w:rPr>
          <w:rFonts w:ascii="Palatino Linotype" w:eastAsia="Palatino Linotype" w:hAnsi="Palatino Linotype" w:cs="Palatino Linotype"/>
          <w:b/>
          <w:bCs/>
          <w:i/>
          <w:iCs/>
        </w:rPr>
        <w:t>serán procedentes para su trámite por parte del sujeto obligado ante quien se presente</w:t>
      </w:r>
      <w:r w:rsidRPr="004D091F">
        <w:rPr>
          <w:rFonts w:ascii="Palatino Linotype" w:eastAsia="Palatino Linotype" w:hAnsi="Palatino Linotype" w:cs="Palatino Linotype"/>
          <w:i/>
          <w:iCs/>
        </w:rPr>
        <w:t>. No podrá requerirse información adicional con motivo del nombre proporcionado por el solicitante."</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pStyle w:val="Ttulo2"/>
        <w:tabs>
          <w:tab w:val="left" w:pos="284"/>
          <w:tab w:val="left" w:pos="426"/>
        </w:tabs>
        <w:spacing w:before="0" w:line="360" w:lineRule="auto"/>
        <w:rPr>
          <w:rFonts w:ascii="Palatino Linotype" w:eastAsia="Palatino Linotype" w:hAnsi="Palatino Linotype" w:cs="Palatino Linotype"/>
          <w:b/>
          <w:bCs/>
          <w:color w:val="000000"/>
          <w:sz w:val="24"/>
          <w:szCs w:val="24"/>
        </w:rPr>
      </w:pPr>
      <w:bookmarkStart w:id="5" w:name="_heading=h.tyjcwt" w:colFirst="0" w:colLast="0"/>
      <w:bookmarkEnd w:id="5"/>
      <w:r w:rsidRPr="004D091F">
        <w:rPr>
          <w:rFonts w:ascii="Palatino Linotype" w:eastAsia="Palatino Linotype" w:hAnsi="Palatino Linotype" w:cs="Palatino Linotype"/>
          <w:b/>
          <w:bCs/>
          <w:color w:val="000000"/>
          <w:sz w:val="24"/>
          <w:szCs w:val="24"/>
        </w:rPr>
        <w:t xml:space="preserve">TERCERO. Del planteamiento de la </w:t>
      </w:r>
      <w:r w:rsidRPr="004D091F">
        <w:rPr>
          <w:rFonts w:ascii="Palatino Linotype" w:eastAsia="Palatino Linotype" w:hAnsi="Palatino Linotype" w:cs="Palatino Linotype"/>
          <w:b/>
          <w:bCs/>
          <w:i/>
          <w:iCs/>
          <w:color w:val="000000"/>
          <w:sz w:val="24"/>
          <w:szCs w:val="24"/>
        </w:rPr>
        <w:t>Litis.</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Se solicitó tener acceso, a la información que a continuación se simplifica:</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pBdr>
          <w:top w:val="nil"/>
          <w:left w:val="nil"/>
          <w:bottom w:val="nil"/>
          <w:right w:val="nil"/>
          <w:between w:val="nil"/>
        </w:pBdr>
        <w:spacing w:line="360" w:lineRule="auto"/>
        <w:ind w:left="1080"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lastRenderedPageBreak/>
        <w:t>De la Tercera Regiduría, en el año 2025:</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Las respuestas a las solicitudes recibidas en el Ejercicio Fiscal 2025</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La cantidad de personal adscrito</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La cantidad de personal adscrito al área, que se encuentre comisionada a la misma, y el nombre de la dirección del Ayuntamiento de la cual proviene.</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Presupuestal asignado por concepto de personal administrativo, desglosando los cargos de todo el personal adscrito con nombres y profesiones.</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 xml:space="preserve">Cuál es el techo presupuestal entregado al área por los conceptos de gasolina, vehículos, estacionamiento, papelería, etc., y el acta de cabildo en la cual se autorizó el presupuesto para esta regiduría. </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 xml:space="preserve">Cuantos vehículos automotores tiene adjudicados el área y quienes son los responsables de dichos vehículos. </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A que grupo parlamentario o partido político pertenece esta área.</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 xml:space="preserve">Propuestas realizadas en favor de los toluqueños y cuantas han sido aprobadas, la fecha y las determinaciones de las Actas de Cabildo. </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Número de horas al día de trabajo en oficina del Tercer Regidor.</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Número de horas al día de trabajo en campo del Tercer Regidor.</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Nombre completo del Tercer Regidor, ultimo grado de estudios, ingresos adicionales al salario ordinario de tercer regidor.</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lastRenderedPageBreak/>
        <w:t>Documento en que conste o se advierta, si el Tercer Regidor utiliza los servicios del personal administrativo como chofer o como acompañante en campo y el listado de esos servidores públicos.</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De la secretaria adscrita a la Tercer Regiduría, documento en que conste si se encuentra en nómina proveniente del techo presupuestal de la regiduría o de donde procede la adscripción de la secretaria; así como el nombre completo de dicha servidora pública.</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Número de computadoras, laptops, tablets, ipads, teléfonos celulares, sillas, sillones, impresoras, tiene adjudicada para el trabajo diario</w:t>
      </w:r>
    </w:p>
    <w:p w:rsidR="00411E6C" w:rsidRPr="004D091F" w:rsidRDefault="008A43BF">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Numero de hermanos, hijos, primos, novia, esposa, o familiares del Tercer Regidor, o familiares hasta el tercer grado trabajan en la administración pública municipal de Toluca.</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Inconforme con la respuesta, el solicitante interpuso recurso de revisión de manera general en contra de la entrega de información incompleta</w:t>
      </w:r>
      <w:r w:rsidRPr="004D091F">
        <w:rPr>
          <w:rFonts w:ascii="Palatino Linotype" w:eastAsia="Palatino Linotype" w:hAnsi="Palatino Linotype" w:cs="Palatino Linotype"/>
          <w:color w:val="000000"/>
        </w:rPr>
        <w:t xml:space="preserve">. </w:t>
      </w:r>
      <w:r w:rsidRPr="004D091F">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V, de la Ley de Transparencia y Acceso a la Información Pública del Estado de México y Municipios; fracción que determina la hipótesis relativa a la entrega de información incompleta; contexto del cual se dolió el Recurrente al momento de interponer su inconformidad. De modo tal que el presente recurso de revisión se abocará en determinar si el Sujeto Obligado con su respuesta ciertamente actualiza la causal de procedencia señalada. </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spacing w:line="360" w:lineRule="auto"/>
        <w:rPr>
          <w:rFonts w:ascii="Palatino Linotype" w:eastAsia="Palatino Linotype" w:hAnsi="Palatino Linotype" w:cs="Palatino Linotype"/>
          <w:b/>
          <w:bCs/>
        </w:rPr>
      </w:pPr>
      <w:r w:rsidRPr="004D091F">
        <w:rPr>
          <w:rFonts w:ascii="Palatino Linotype" w:eastAsia="Palatino Linotype" w:hAnsi="Palatino Linotype" w:cs="Palatino Linotype"/>
          <w:b/>
          <w:bCs/>
        </w:rPr>
        <w:lastRenderedPageBreak/>
        <w:t>CUARTO. Del estudio y resolución del asunto.</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11E6C" w:rsidRPr="004D091F" w:rsidRDefault="00411E6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4D091F">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411E6C" w:rsidRPr="004D091F" w:rsidRDefault="00411E6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6" w:name="_heading=h.fcnlnl3wam0z" w:colFirst="0" w:colLast="0"/>
      <w:bookmarkEnd w:id="6"/>
      <w:r w:rsidRPr="004D091F">
        <w:rPr>
          <w:rFonts w:ascii="Palatino Linotype" w:eastAsia="Palatino Linotype" w:hAnsi="Palatino Linotype" w:cs="Palatino Linotype"/>
        </w:rPr>
        <w:t>Dicho lo anterior, se procede al análisis de los puntos que integraron la solicitud de información a efecto de determinar aquellos que fueron no colmados o en su caso atendidos. En ese contexto sobreviene inicialmente las respuestas a las solicitudes recibidas en el Ejercicio Fiscal 2025, del cual no se advierte pronunciamiento en las constancias que integran el expediente electrónico en que se actúa.</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Al respecto si bien dicha solicitud se advierte ambigua, se colige que corresponde a las solicitudes ciudadanas realizadas al Tercer Regidor; es decir aquellas peticiones formales que los habitantes del Municipio le han presentado para que en el ámbito de sus facultades, atienda problemas específicos, realice gestiones o impulse mejoras en favor de la comunidad que le soliciten; toda vez que las solicitudes ciudadanas son el mecanismo por el cual la población puede solicitar a los regidores actúe como gestor o representante de sus intereses, como se los confiere la Ley Orgánica Municipal del Estado de México, como se observa:</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“Artículo 55.- Son atribuciones de los regidores, las siguientes:</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 Proponer al ayuntamiento, alternativas de solución para la debida atención de los diferentes sectores de la administración municipal;</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VI. Promover la participación ciudadana en apoyo a los programas que formule y apruebe el ayuntamiento;</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360" w:lineRule="auto"/>
        <w:ind w:left="502"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VIII. Las demás que les otorgue esta Ley y otras disposiciones aplicables.”</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Luego entonces lo dable es ordenar la búsqueda exhaustiva de lo solicitado en virtud que de las constancias que obran en el expediente electrónico, se advierte que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no turnó la solicitud de información  a las áreas competentes;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411E6C" w:rsidRPr="004D091F" w:rsidRDefault="00411E6C">
      <w:pPr>
        <w:spacing w:line="360" w:lineRule="auto"/>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Así y de lo plasmado en párrafos anteriores, se concluye que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cumplió con el procedimiento de búsqueda establecido en el artículo 162 de la Ley de Transparencia y Acceso a la Información Pública del Estado de México y Municipios, toda vez, que gestionó el requerimiento de información con las áreas competentes de conocer la información.</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Consecutivamente, sobreviene las solicitudes de información relativas a la cantidad de personal adscrito y la cantidad de personal adscrito al área, que se encuentre comisionada a la misma, y el nombre de la dirección del Ayuntamiento de la cual proviene, de las cuales no existe pronunciamiento, requerimientos que evidentemente tiene documentado el </w:t>
      </w:r>
      <w:r w:rsidRPr="004D091F">
        <w:rPr>
          <w:rFonts w:ascii="Palatino Linotype" w:eastAsia="Palatino Linotype" w:hAnsi="Palatino Linotype" w:cs="Palatino Linotype"/>
        </w:rPr>
        <w:lastRenderedPageBreak/>
        <w:t>Ayuntamiento, en razón que los ayuntamientos necesitan saber con exactitud el número de personal con que cuentan por razones fundamentales que afectan tanto al funcionamiento interno como a su relación y atención con los ciudadanos.</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t>Respecto de la parte especifica de la dirección del Ayuntamiento de la cual proviene el Código Reglamentarios del Ayuntamiento de Toluca, le otorga al caso concreto la siguiente función a la Dirección General de Administración:</w:t>
      </w:r>
    </w:p>
    <w:p w:rsidR="00411E6C" w:rsidRPr="004D091F" w:rsidRDefault="008A43BF">
      <w:pPr>
        <w:pBdr>
          <w:top w:val="nil"/>
          <w:left w:val="nil"/>
          <w:bottom w:val="nil"/>
          <w:right w:val="nil"/>
          <w:between w:val="nil"/>
        </w:pBdr>
        <w:spacing w:line="360" w:lineRule="auto"/>
        <w:ind w:left="284"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“Artículo 3.40. La o el titular de la Dirección General de Administración, tiene las siguientes atribuciones:</w:t>
      </w:r>
    </w:p>
    <w:p w:rsidR="00411E6C" w:rsidRPr="004D091F" w:rsidRDefault="008A43BF">
      <w:pPr>
        <w:pBdr>
          <w:top w:val="nil"/>
          <w:left w:val="nil"/>
          <w:bottom w:val="nil"/>
          <w:right w:val="nil"/>
          <w:between w:val="nil"/>
        </w:pBdr>
        <w:spacing w:line="360" w:lineRule="auto"/>
        <w:ind w:left="284"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360" w:lineRule="auto"/>
        <w:ind w:left="284"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III. Autorizar las altas, bajas, cambios, permisos, licencias, comisiones del personal, entre otras, para su trámite y efectos;</w:t>
      </w:r>
    </w:p>
    <w:p w:rsidR="00411E6C" w:rsidRPr="004D091F" w:rsidRDefault="008A43BF">
      <w:pPr>
        <w:pBdr>
          <w:top w:val="nil"/>
          <w:left w:val="nil"/>
          <w:bottom w:val="nil"/>
          <w:right w:val="nil"/>
          <w:between w:val="nil"/>
        </w:pBdr>
        <w:spacing w:line="360" w:lineRule="auto"/>
        <w:ind w:left="284"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t xml:space="preserve">Luego entonces, de ser el caso que alguno de los servidores públicos adscritos a la Tercera Regiduría sea proveniente te otra área administrativa, es información que ciertamente el Ayuntamiento conoce. No obstante, no pasa desapercibido que no necesariamente el personal adscrito a dicha área forzosamente provenga de áreas diversas, por lo que si luego de la búsqueda exhaustiva y razonable no se localizar dicho soporte documental, bastará que lo haga del conocimiento del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en términos del artículo 19 párrafo segundo de la Ley de la materia local, al momento de dar cumplimiento a la presente Resolución.</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lastRenderedPageBreak/>
        <w:t xml:space="preserve">Al respecto, el Manual para la Planeación, Programación y Presupuesto de Egresos Municipal, señala de manera textual que </w:t>
      </w:r>
      <w:r w:rsidRPr="004D091F">
        <w:rPr>
          <w:rFonts w:ascii="Palatino Linotype" w:eastAsia="Palatino Linotype" w:hAnsi="Palatino Linotype" w:cs="Palatino Linotype"/>
          <w:b/>
          <w:bCs/>
          <w:i/>
          <w:iCs/>
        </w:rPr>
        <w:t>“</w:t>
      </w:r>
      <w:r w:rsidRPr="004D091F">
        <w:rPr>
          <w:rFonts w:ascii="Palatino Linotype" w:eastAsia="Palatino Linotype" w:hAnsi="Palatino Linotype" w:cs="Palatino Linotype"/>
          <w:i/>
          <w:iCs/>
          <w:u w:val="single"/>
        </w:rPr>
        <w:t>la propuesta de presupuesto deberá integrarse en los formatos PbRM 03 al PbRM 07</w:t>
      </w:r>
      <w:r w:rsidRPr="004D091F">
        <w:rPr>
          <w:rFonts w:ascii="Palatino Linotype" w:eastAsia="Palatino Linotype" w:hAnsi="Palatino Linotype" w:cs="Palatino Linotype"/>
          <w:i/>
          <w:iCs/>
        </w:rPr>
        <w:t xml:space="preserve"> en todas sus series, </w:t>
      </w:r>
      <w:r w:rsidRPr="004D091F">
        <w:rPr>
          <w:rFonts w:ascii="Palatino Linotype" w:eastAsia="Palatino Linotype" w:hAnsi="Palatino Linotype" w:cs="Palatino Linotype"/>
          <w:i/>
          <w:iCs/>
          <w:u w:val="single"/>
        </w:rPr>
        <w:t>para ello, es necesario tener la plantilla de personal autorizada</w:t>
      </w:r>
      <w:r w:rsidRPr="004D091F">
        <w:rPr>
          <w:rFonts w:ascii="Palatino Linotype" w:eastAsia="Palatino Linotype" w:hAnsi="Palatino Linotype" w:cs="Palatino Linotype"/>
          <w:b/>
          <w:bCs/>
          <w:i/>
          <w:iCs/>
        </w:rPr>
        <w:t xml:space="preserve"> </w:t>
      </w:r>
      <w:r w:rsidRPr="004D091F">
        <w:rPr>
          <w:rFonts w:ascii="Palatino Linotype" w:eastAsia="Palatino Linotype" w:hAnsi="Palatino Linotype" w:cs="Palatino Linotype"/>
          <w:i/>
          <w:iCs/>
        </w:rPr>
        <w:t xml:space="preserve">y una propuesta de insumos y requerimientos </w:t>
      </w:r>
      <w:r w:rsidRPr="004D091F">
        <w:rPr>
          <w:rFonts w:ascii="Palatino Linotype" w:eastAsia="Palatino Linotype" w:hAnsi="Palatino Linotype" w:cs="Palatino Linotype"/>
          <w:i/>
          <w:iCs/>
          <w:u w:val="single"/>
        </w:rPr>
        <w:t>a nivel de cada una de las dependencias generales, auxiliares y organismos municipales,</w:t>
      </w:r>
      <w:r w:rsidRPr="004D091F">
        <w:rPr>
          <w:rFonts w:ascii="Palatino Linotype" w:eastAsia="Palatino Linotype" w:hAnsi="Palatino Linotype" w:cs="Palatino Linotype"/>
          <w:i/>
          <w:iCs/>
        </w:rPr>
        <w:t xml:space="preserve"> así como los catálogos y anexos que se presentan en este manual.”</w:t>
      </w:r>
    </w:p>
    <w:p w:rsidR="00411E6C" w:rsidRPr="004D091F" w:rsidRDefault="00411E6C">
      <w:pPr>
        <w:pBdr>
          <w:top w:val="nil"/>
          <w:left w:val="nil"/>
          <w:bottom w:val="nil"/>
          <w:right w:val="nil"/>
          <w:between w:val="nil"/>
        </w:pBdr>
        <w:spacing w:line="360" w:lineRule="auto"/>
        <w:ind w:left="502" w:right="-28"/>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Conforme a lo señalado, este Instituto advierte que las instituciones públicas deben elaborar la plantilla de personal, la cual formará parte de la propuesta de presupuesto de egresos de los Municipios y deberá integrase en los formatos </w:t>
      </w:r>
      <w:r w:rsidRPr="004D091F">
        <w:rPr>
          <w:rFonts w:ascii="Palatino Linotype" w:eastAsia="Palatino Linotype" w:hAnsi="Palatino Linotype" w:cs="Palatino Linotype"/>
          <w:i/>
          <w:iCs/>
        </w:rPr>
        <w:t>PbRM-03</w:t>
      </w:r>
      <w:r w:rsidRPr="004D091F">
        <w:rPr>
          <w:rFonts w:ascii="Palatino Linotype" w:eastAsia="Palatino Linotype" w:hAnsi="Palatino Linotype" w:cs="Palatino Linotype"/>
        </w:rPr>
        <w:t xml:space="preserve"> al </w:t>
      </w:r>
      <w:r w:rsidRPr="004D091F">
        <w:rPr>
          <w:rFonts w:ascii="Palatino Linotype" w:eastAsia="Palatino Linotype" w:hAnsi="Palatino Linotype" w:cs="Palatino Linotype"/>
          <w:i/>
          <w:iCs/>
        </w:rPr>
        <w:t>PbRM-07</w:t>
      </w:r>
      <w:r w:rsidRPr="004D091F">
        <w:rPr>
          <w:rFonts w:ascii="Palatino Linotype" w:eastAsia="Palatino Linotype" w:hAnsi="Palatino Linotype" w:cs="Palatino Linotype"/>
        </w:rPr>
        <w:t xml:space="preserve">; 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transparencia común de los Sujeto Obligados poner a disposición del público de manera permanente, actualizada, sencilla, precisa y entendible, las funciones de cada área y la normatividad aplicable. </w:t>
      </w:r>
    </w:p>
    <w:p w:rsidR="00411E6C" w:rsidRPr="004D091F" w:rsidRDefault="00411E6C">
      <w:pPr>
        <w:pBdr>
          <w:top w:val="nil"/>
          <w:left w:val="nil"/>
          <w:bottom w:val="nil"/>
          <w:right w:val="nil"/>
          <w:between w:val="nil"/>
        </w:pBdr>
        <w:spacing w:line="360" w:lineRule="auto"/>
        <w:ind w:left="502" w:right="-28"/>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este sentido, el artículo 98, fracción XV, de la Ley del Trabajo de los Servidores Públicos del Estado y Municipios dispone que las instituciones públicas,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En esa tesitura el Código Reglamentario Municipal de Toluca le otorga a la Dirección de Recursos Humanos, al caso concreto las siguientes:</w:t>
      </w:r>
    </w:p>
    <w:p w:rsidR="00411E6C" w:rsidRPr="004D091F" w:rsidRDefault="008A43BF">
      <w:pPr>
        <w:pBdr>
          <w:top w:val="nil"/>
          <w:left w:val="nil"/>
          <w:bottom w:val="nil"/>
          <w:right w:val="nil"/>
          <w:between w:val="nil"/>
        </w:pBdr>
        <w:spacing w:line="360" w:lineRule="auto"/>
        <w:ind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i/>
          <w:iCs/>
        </w:rPr>
        <w:t xml:space="preserve">“Artículo 3.33. La o el titular de la Dirección de Recursos Humanos cuenta con las siguientes atribuciones: </w:t>
      </w:r>
    </w:p>
    <w:p w:rsidR="00411E6C" w:rsidRPr="004D091F" w:rsidRDefault="008A43BF">
      <w:pPr>
        <w:pBdr>
          <w:top w:val="nil"/>
          <w:left w:val="nil"/>
          <w:bottom w:val="nil"/>
          <w:right w:val="nil"/>
          <w:between w:val="nil"/>
        </w:pBdr>
        <w:spacing w:line="360" w:lineRule="auto"/>
        <w:ind w:left="426"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 Elaborar, operar y mejorar los procedimientos administrativos para la selección, reclutamiento, contratación, escalafón, inducción, evaluación del desempeño, capacitación, baja, comisión, licencias prejubilatorias, y desarrollo del personal al servicio del Municipio de acuerdo a lo dispuesto en la normatividad aplicable; </w:t>
      </w:r>
    </w:p>
    <w:p w:rsidR="00411E6C" w:rsidRPr="004D091F" w:rsidRDefault="008A43BF">
      <w:pPr>
        <w:pBdr>
          <w:top w:val="nil"/>
          <w:left w:val="nil"/>
          <w:bottom w:val="nil"/>
          <w:right w:val="nil"/>
          <w:between w:val="nil"/>
        </w:pBdr>
        <w:spacing w:line="360" w:lineRule="auto"/>
        <w:ind w:left="426"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360" w:lineRule="auto"/>
        <w:ind w:left="426"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V. Registrar, controlar y dar seguimiento a los movimientos de personal como, altas, reingresos, bajas, remociones, renuncias, retiro, cambios de categoría y adscripción, promociones, comisiones, entre otras; </w:t>
      </w:r>
    </w:p>
    <w:p w:rsidR="00411E6C" w:rsidRPr="004D091F" w:rsidRDefault="008A43BF">
      <w:pPr>
        <w:pBdr>
          <w:top w:val="nil"/>
          <w:left w:val="nil"/>
          <w:bottom w:val="nil"/>
          <w:right w:val="nil"/>
          <w:between w:val="nil"/>
        </w:pBdr>
        <w:spacing w:line="360" w:lineRule="auto"/>
        <w:ind w:left="426" w:right="333"/>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De lo anterior se desprende que el Ayuntamiento conoce con certeza el número de servidores públicos con que cuenta y su área de adscripción; ya que adicionalmente, no pasa desapercibido que, la Ley de Transparencia y Acceso a la Información Pública del Estado de México y Municipios ha establecido que el </w:t>
      </w:r>
      <w:r w:rsidRPr="004D091F">
        <w:rPr>
          <w:rFonts w:ascii="Palatino Linotype" w:eastAsia="Palatino Linotype" w:hAnsi="Palatino Linotype" w:cs="Palatino Linotype"/>
          <w:b/>
          <w:bCs/>
        </w:rPr>
        <w:t>nombre completo</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cargo, fecha de alta en el cargo, área de adscripción y remuneración,</w:t>
      </w:r>
      <w:r w:rsidRPr="004D091F">
        <w:rPr>
          <w:rFonts w:ascii="Palatino Linotype" w:eastAsia="Palatino Linotype" w:hAnsi="Palatino Linotype" w:cs="Palatino Linotype"/>
        </w:rPr>
        <w:t xml:space="preserve"> constituyen una obligación de transparencia por parte de los sujetos obligados, por tanto es dable ordenar el soporte documental en que conste o se advierta dicha información </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Seguidamente, respecto del presupuesto asignado por concepto de personal administrativo, desglosando los cargos de todo el personal adscrito con nombres y </w:t>
      </w:r>
      <w:r w:rsidRPr="004D091F">
        <w:rPr>
          <w:rFonts w:ascii="Palatino Linotype" w:eastAsia="Palatino Linotype" w:hAnsi="Palatino Linotype" w:cs="Palatino Linotype"/>
        </w:rPr>
        <w:lastRenderedPageBreak/>
        <w:t xml:space="preserve">profesiones,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no emitió pronunciamiento respecto de los nombres y cargos; empero, dicho rubro se encuentra relacionado con el anteriormente analizado, por lo que resulta innecesario volver abordar. Respecto del presupuesto asignado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refirió en su respuesta que se remitía la Gaceta Municipal Semanal 08/2025, de fecha 24 de febrero de 2025, en la que se advierte el presupuesto de ingresos y egresos definitivo para el ejercicio fiscal 2025, de la que ciertamente se desprende documento del cual se desprenden las Caratulas del Presupuesto de Ingresos, del Presupuesto de Egresos y el Tabulador de Sueldos del Sistema Municipal para el Desarrollo Integral de la Familia de Toluca periodo 2025-2027, Presupuesto de Ingresos para el ejercicio fiscal 2025 (PbRM-03b), del Presupuesto de Egresos para el ejercicio fiscal 2025 (PbRM-04d), y el Tabulador de Sueldos y Salarios para el ejercicio fiscal 2025 (PbRM05), que si bien es información relacionada, no se logra conocer con puntualidad lo solicitado resultando insuficiente para tener por atendido el rubro de referencia.</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Luego entonces, es dable verificar el marco normativo que faculta al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para dotar de la información requerida por la persona solicitante, a saber: </w:t>
      </w:r>
    </w:p>
    <w:p w:rsidR="00411E6C" w:rsidRPr="004D091F" w:rsidRDefault="008A43B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LEY ORGÁNICA MUNICIPAL DEL ESTADO DE MÉXICO</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TITULO IV Régimen Administrativo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CAPITULO PRIMERO De las Dependencias Administrativas</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87.-</w:t>
      </w:r>
      <w:r w:rsidRPr="004D091F">
        <w:rPr>
          <w:rFonts w:ascii="Palatino Linotype" w:eastAsia="Palatino Linotype" w:hAnsi="Palatino Linotype" w:cs="Palatino Linotype"/>
          <w:i/>
          <w:iCs/>
        </w:rPr>
        <w:t xml:space="preserve"> Para el despacho, estudio y planeación de los diversos asuntos de la administración municipal, el ayuntamiento contará por lo menos con las siguientes Dependencias: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II. La tesorería municipal.</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 xml:space="preserve">CAPITULO SEGUNDO De la Tesorería Municipal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Artículo 93.- La tesorería municipal es el órgano encargado de la recaudación de los ingresos municipales y responsable de realizar las erogaciones que haga el ayuntamiento.</w:t>
      </w:r>
    </w:p>
    <w:p w:rsidR="00411E6C" w:rsidRPr="004D091F" w:rsidRDefault="00411E6C">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95.-</w:t>
      </w:r>
      <w:r w:rsidRPr="004D091F">
        <w:rPr>
          <w:rFonts w:ascii="Palatino Linotype" w:eastAsia="Palatino Linotype" w:hAnsi="Palatino Linotype" w:cs="Palatino Linotype"/>
          <w:i/>
          <w:iCs/>
        </w:rPr>
        <w:t xml:space="preserve"> Son atribuciones del </w:t>
      </w:r>
      <w:r w:rsidRPr="004D091F">
        <w:rPr>
          <w:rFonts w:ascii="Palatino Linotype" w:eastAsia="Palatino Linotype" w:hAnsi="Palatino Linotype" w:cs="Palatino Linotype"/>
          <w:b/>
          <w:bCs/>
          <w:i/>
          <w:iCs/>
        </w:rPr>
        <w:t>tesorero municipal</w:t>
      </w:r>
      <w:r w:rsidRPr="004D091F">
        <w:rPr>
          <w:rFonts w:ascii="Palatino Linotype" w:eastAsia="Palatino Linotype" w:hAnsi="Palatino Linotype" w:cs="Palatino Linotype"/>
          <w:i/>
          <w:iCs/>
        </w:rPr>
        <w:t xml:space="preserve">: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 xml:space="preserve">I. Administrar la hacienda pública municipal, de conformidad con las disposiciones legales aplicables;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IV. Llevar los registros contables, financieros y administrativos de los ingresos, egresos, e inventarios;</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p>
    <w:p w:rsidR="00411E6C" w:rsidRPr="004D091F" w:rsidRDefault="008A43B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BANDO MUNICIPAL DE IXTAPALUCA 2024</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CAPÍTULO II De la Administración Pública Municipal</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Sección Primera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De la Administración Pública Centralizada </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71.-</w:t>
      </w:r>
      <w:r w:rsidRPr="004D091F">
        <w:rPr>
          <w:rFonts w:ascii="Palatino Linotype" w:eastAsia="Palatino Linotype" w:hAnsi="Palatino Linotype" w:cs="Palatino Linotype"/>
          <w:i/>
          <w:iCs/>
        </w:rPr>
        <w:t xml:space="preserve"> Para el despacho de los asuntos de la Administración Pública Municipal, el Presidente Municipal, se auxiliará de las dependencias de la administración pública municipal centralizada, mismas que estarán subordinadas directamente a él, y son las siguientes:</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 Direcciones:</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d. La Tesorería Municipal;</w:t>
      </w:r>
      <w:r w:rsidRPr="004D091F">
        <w:rPr>
          <w:rFonts w:ascii="Palatino Linotype" w:eastAsia="Palatino Linotype" w:hAnsi="Palatino Linotype" w:cs="Palatino Linotype"/>
          <w:b/>
          <w:bCs/>
          <w:i/>
          <w:iCs/>
        </w:rPr>
        <w:br/>
      </w: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73.-</w:t>
      </w:r>
      <w:r w:rsidRPr="004D091F">
        <w:rPr>
          <w:rFonts w:ascii="Palatino Linotype" w:eastAsia="Palatino Linotype" w:hAnsi="Palatino Linotype" w:cs="Palatino Linotype"/>
          <w:i/>
          <w:iCs/>
        </w:rPr>
        <w:t xml:space="preserve"> De conformidad con los ordenamientos legales aplicables, la Tesorería Municipal es el órgano de la Administración Pública Municipal facultado para administrar la hacienda pública municipal, así como, la indicada para efectuar las erogaciones contraídas por el Gobierno Municipal.</w:t>
      </w:r>
    </w:p>
    <w:p w:rsidR="00411E6C" w:rsidRPr="004D091F" w:rsidRDefault="00411E6C">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Así mismo, para llevar a cabo la administración de los ingresos y egresos de la Administración Pública Municipal, la Tesorería coordinará sus actividades con las Dependencias Administrativas, estableciendo políticas y lineamientos, para el control eficiente de la recaudación, recursos materiales y servicios catastrales.</w:t>
      </w:r>
    </w:p>
    <w:p w:rsidR="00411E6C" w:rsidRPr="004D091F" w:rsidRDefault="008A43BF">
      <w:pPr>
        <w:pBdr>
          <w:top w:val="nil"/>
          <w:left w:val="nil"/>
          <w:bottom w:val="nil"/>
          <w:right w:val="nil"/>
          <w:between w:val="nil"/>
        </w:pBdr>
        <w:spacing w:line="276" w:lineRule="auto"/>
        <w:ind w:left="851" w:right="851"/>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ind w:left="851" w:right="851"/>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En esa inteligencia, es dable señalar que el Ayuntamiento de Toluca es competente para dar contestación a la solicitud de información impugnada, resaltando nuevamente que es importante señalar que para la atención de las solicitudes de acceso a la información, debe privilegiarse el principio</w:t>
      </w:r>
      <w:r w:rsidRPr="004D091F">
        <w:rPr>
          <w:rFonts w:ascii="Palatino Linotype" w:eastAsia="Palatino Linotype" w:hAnsi="Palatino Linotype" w:cs="Palatino Linotype"/>
          <w:b/>
          <w:bCs/>
        </w:rPr>
        <w:t xml:space="preserve"> </w:t>
      </w:r>
      <w:r w:rsidRPr="004D091F">
        <w:rPr>
          <w:rFonts w:ascii="Palatino Linotype" w:eastAsia="Palatino Linotype" w:hAnsi="Palatino Linotype" w:cs="Palatino Linotype"/>
        </w:rPr>
        <w:t>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en ese sentido se reitera deberá seguirse el procedimiento para atender la solicitud que ahora nos ocupa conforme a los términos anteriormente expuestos.</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En ese orden, respecto del techo presupuestal entregado al área por los conceptos de gasolina, vehículos, estacionamiento, papelería, etcétera, y el acta de cabildo en la cual se autorizó el presupuesto para esta regiduría; tampoco se logra colmar con la Gaceta remitida en calidad de respuesta.</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Al respecto, es necesario señalar que de conformidad con el artículo 293 del Código Financiero del Estado de México,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293.-</w:t>
      </w:r>
      <w:r w:rsidRPr="004D091F">
        <w:rPr>
          <w:rFonts w:ascii="Palatino Linotype" w:eastAsia="Palatino Linotype" w:hAnsi="Palatino Linotype" w:cs="Palatino Linotype"/>
          <w:i/>
          <w:iCs/>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rsidR="00411E6C" w:rsidRPr="004D091F" w:rsidRDefault="00411E6C">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p>
    <w:p w:rsidR="00411E6C" w:rsidRPr="004D091F" w:rsidRDefault="008A43B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En el caso de los municipios, corresponderá a su Tesorería emitir el Clasificador por Objeto del Gasto, el cual deberá guardar congruencia y homogeneidad con el señalado en el párrafo anterior.”</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Para tal efecto, el Manual para la Planeación, Programación y Presupuesto de Egresos Municipal,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w:t>
      </w:r>
      <w:r w:rsidRPr="004D091F">
        <w:rPr>
          <w:rFonts w:ascii="Palatino Linotype" w:eastAsia="Palatino Linotype" w:hAnsi="Palatino Linotype" w:cs="Palatino Linotype"/>
        </w:rPr>
        <w:lastRenderedPageBreak/>
        <w:t>de la gestión financiera gubernamental, por lo cual permite conocer en qué se gasta y cuantificar la demanda de bienes o servicios.</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económica–financiera, es por ello que la armonización se realiza a tercer digito que corresponde a la partida genérica, dejando en poder de las entidades federativas la desagregación e identificación de la partida específica, dando origen a la siguiente estructura:</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pBdr>
          <w:top w:val="nil"/>
          <w:left w:val="nil"/>
          <w:bottom w:val="nil"/>
          <w:right w:val="nil"/>
          <w:between w:val="nil"/>
        </w:pBdr>
        <w:spacing w:line="360" w:lineRule="auto"/>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drawing>
          <wp:inline distT="0" distB="0" distL="0" distR="0">
            <wp:extent cx="5324475" cy="962025"/>
            <wp:effectExtent l="0" t="0" r="0" b="0"/>
            <wp:docPr id="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24475" cy="962025"/>
                    </a:xfrm>
                    <a:prstGeom prst="rect">
                      <a:avLst/>
                    </a:prstGeom>
                    <a:ln/>
                  </pic:spPr>
                </pic:pic>
              </a:graphicData>
            </a:graphic>
          </wp:inline>
        </w:drawing>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Debiendo definir cada una de las partes que lo integran como sigue:</w:t>
      </w:r>
    </w:p>
    <w:p w:rsidR="00411E6C" w:rsidRPr="004D091F" w:rsidRDefault="008A43BF">
      <w:pPr>
        <w:pBdr>
          <w:top w:val="nil"/>
          <w:left w:val="nil"/>
          <w:bottom w:val="nil"/>
          <w:right w:val="nil"/>
          <w:between w:val="nil"/>
        </w:pBdr>
        <w:spacing w:line="360" w:lineRule="auto"/>
        <w:ind w:left="709" w:hanging="425"/>
        <w:jc w:val="both"/>
        <w:rPr>
          <w:rFonts w:ascii="Palatino Linotype" w:eastAsia="Palatino Linotype" w:hAnsi="Palatino Linotype" w:cs="Palatino Linotype"/>
        </w:rPr>
      </w:pPr>
      <w:r w:rsidRPr="004D091F">
        <w:rPr>
          <w:rFonts w:ascii="Palatino Linotype" w:eastAsia="Palatino Linotype" w:hAnsi="Palatino Linotype" w:cs="Palatino Linotype"/>
        </w:rPr>
        <w:t>●</w:t>
      </w:r>
      <w:r w:rsidRPr="004D091F">
        <w:rPr>
          <w:rFonts w:ascii="Palatino Linotype" w:eastAsia="Palatino Linotype" w:hAnsi="Palatino Linotype" w:cs="Palatino Linotype"/>
        </w:rPr>
        <w:tab/>
      </w:r>
      <w:r w:rsidRPr="004D091F">
        <w:rPr>
          <w:rFonts w:ascii="Palatino Linotype" w:eastAsia="Palatino Linotype" w:hAnsi="Palatino Linotype" w:cs="Palatino Linotype"/>
          <w:b/>
          <w:bCs/>
        </w:rPr>
        <w:t>Capítulo:</w:t>
      </w:r>
      <w:r w:rsidRPr="004D091F">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rsidR="00411E6C" w:rsidRPr="004D091F" w:rsidRDefault="008A43BF">
      <w:pPr>
        <w:pBdr>
          <w:top w:val="nil"/>
          <w:left w:val="nil"/>
          <w:bottom w:val="nil"/>
          <w:right w:val="nil"/>
          <w:between w:val="nil"/>
        </w:pBdr>
        <w:spacing w:line="360" w:lineRule="auto"/>
        <w:ind w:left="709" w:hanging="425"/>
        <w:jc w:val="both"/>
        <w:rPr>
          <w:rFonts w:ascii="Palatino Linotype" w:eastAsia="Palatino Linotype" w:hAnsi="Palatino Linotype" w:cs="Palatino Linotype"/>
        </w:rPr>
      </w:pPr>
      <w:r w:rsidRPr="004D091F">
        <w:rPr>
          <w:rFonts w:ascii="Palatino Linotype" w:eastAsia="Palatino Linotype" w:hAnsi="Palatino Linotype" w:cs="Palatino Linotype"/>
        </w:rPr>
        <w:t>●</w:t>
      </w:r>
      <w:r w:rsidRPr="004D091F">
        <w:rPr>
          <w:rFonts w:ascii="Palatino Linotype" w:eastAsia="Palatino Linotype" w:hAnsi="Palatino Linotype" w:cs="Palatino Linotype"/>
        </w:rPr>
        <w:tab/>
      </w:r>
      <w:r w:rsidRPr="004D091F">
        <w:rPr>
          <w:rFonts w:ascii="Palatino Linotype" w:eastAsia="Palatino Linotype" w:hAnsi="Palatino Linotype" w:cs="Palatino Linotype"/>
          <w:b/>
          <w:bCs/>
        </w:rPr>
        <w:t>Concepto:</w:t>
      </w:r>
      <w:r w:rsidRPr="004D091F">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rsidR="00411E6C" w:rsidRPr="004D091F" w:rsidRDefault="008A43BF">
      <w:pPr>
        <w:pBdr>
          <w:top w:val="nil"/>
          <w:left w:val="nil"/>
          <w:bottom w:val="nil"/>
          <w:right w:val="nil"/>
          <w:between w:val="nil"/>
        </w:pBdr>
        <w:spacing w:line="360" w:lineRule="auto"/>
        <w:ind w:left="709" w:hanging="425"/>
        <w:jc w:val="both"/>
        <w:rPr>
          <w:rFonts w:ascii="Palatino Linotype" w:eastAsia="Palatino Linotype" w:hAnsi="Palatino Linotype" w:cs="Palatino Linotype"/>
        </w:rPr>
      </w:pPr>
      <w:r w:rsidRPr="004D091F">
        <w:rPr>
          <w:rFonts w:ascii="Palatino Linotype" w:eastAsia="Palatino Linotype" w:hAnsi="Palatino Linotype" w:cs="Palatino Linotype"/>
        </w:rPr>
        <w:t>●</w:t>
      </w:r>
      <w:r w:rsidRPr="004D091F">
        <w:rPr>
          <w:rFonts w:ascii="Palatino Linotype" w:eastAsia="Palatino Linotype" w:hAnsi="Palatino Linotype" w:cs="Palatino Linotype"/>
        </w:rPr>
        <w:tab/>
      </w:r>
      <w:r w:rsidRPr="004D091F">
        <w:rPr>
          <w:rFonts w:ascii="Palatino Linotype" w:eastAsia="Palatino Linotype" w:hAnsi="Palatino Linotype" w:cs="Palatino Linotype"/>
          <w:b/>
          <w:bCs/>
        </w:rPr>
        <w:t>Partida:</w:t>
      </w:r>
      <w:r w:rsidRPr="004D091F">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rsidR="00411E6C" w:rsidRPr="004D091F" w:rsidRDefault="008A43BF">
      <w:pPr>
        <w:pBdr>
          <w:top w:val="nil"/>
          <w:left w:val="nil"/>
          <w:bottom w:val="nil"/>
          <w:right w:val="nil"/>
          <w:between w:val="nil"/>
        </w:pBdr>
        <w:spacing w:line="360" w:lineRule="auto"/>
        <w:ind w:left="709" w:hanging="567"/>
        <w:jc w:val="both"/>
        <w:rPr>
          <w:rFonts w:ascii="Palatino Linotype" w:eastAsia="Palatino Linotype" w:hAnsi="Palatino Linotype" w:cs="Palatino Linotype"/>
        </w:rPr>
      </w:pPr>
      <w:r w:rsidRPr="004D091F">
        <w:rPr>
          <w:rFonts w:ascii="Palatino Linotype" w:eastAsia="Palatino Linotype" w:hAnsi="Palatino Linotype" w:cs="Palatino Linotype"/>
        </w:rPr>
        <w:t>a)</w:t>
      </w:r>
      <w:r w:rsidRPr="004D091F">
        <w:rPr>
          <w:rFonts w:ascii="Palatino Linotype" w:eastAsia="Palatino Linotype" w:hAnsi="Palatino Linotype" w:cs="Palatino Linotype"/>
        </w:rPr>
        <w:tab/>
        <w:t>La Partida Genérica se refiere al tercer dígito, el cual logrará la armonización a todos los niveles de gobierno.</w:t>
      </w:r>
    </w:p>
    <w:p w:rsidR="00411E6C" w:rsidRPr="004D091F" w:rsidRDefault="008A43BF">
      <w:pPr>
        <w:pBdr>
          <w:top w:val="nil"/>
          <w:left w:val="nil"/>
          <w:bottom w:val="nil"/>
          <w:right w:val="nil"/>
          <w:between w:val="nil"/>
        </w:pBdr>
        <w:spacing w:line="360" w:lineRule="auto"/>
        <w:ind w:left="709" w:hanging="567"/>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b)</w:t>
      </w:r>
      <w:r w:rsidRPr="004D091F">
        <w:rPr>
          <w:rFonts w:ascii="Palatino Linotype" w:eastAsia="Palatino Linotype" w:hAnsi="Palatino Linotype" w:cs="Palatino Linotype"/>
        </w:rPr>
        <w:tab/>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411E6C" w:rsidRPr="004D091F" w:rsidRDefault="00411E6C">
      <w:pPr>
        <w:pBdr>
          <w:top w:val="nil"/>
          <w:left w:val="nil"/>
          <w:bottom w:val="nil"/>
          <w:right w:val="nil"/>
          <w:between w:val="nil"/>
        </w:pBdr>
        <w:spacing w:line="360" w:lineRule="auto"/>
        <w:ind w:left="709" w:hanging="567"/>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1000 SERVICIOS PERSONALES. </w:t>
      </w:r>
      <w:r w:rsidRPr="004D091F">
        <w:rPr>
          <w:rFonts w:ascii="Palatino Linotype" w:eastAsia="Palatino Linotype" w:hAnsi="Palatino Linotype" w:cs="Palatino Linotype"/>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2000 MATERIALES Y SUMINISTROS.</w:t>
      </w:r>
      <w:r w:rsidRPr="004D091F">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3000 SERVICIOS GENERALES. </w:t>
      </w:r>
      <w:r w:rsidRPr="004D091F">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4000 TRANSFERENCIAS, ASIGNACIONES, SUBSIDIOS Y OTRAS AYUDAS.</w:t>
      </w:r>
      <w:r w:rsidRPr="004D091F">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w:t>
      </w:r>
      <w:r w:rsidRPr="004D091F">
        <w:rPr>
          <w:rFonts w:ascii="Palatino Linotype" w:eastAsia="Palatino Linotype" w:hAnsi="Palatino Linotype" w:cs="Palatino Linotype"/>
        </w:rPr>
        <w:lastRenderedPageBreak/>
        <w:t>económica y social, de acuerdo a las estrategias y prioridades de desarrollo para el sostenimiento y desempeño de sus actividades.</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5000 BIENES MUEBLES, INMUEBLES E INTANGIBLES.</w:t>
      </w:r>
      <w:r w:rsidRPr="004D091F">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6000 INVERSIÓN PÚBLICA.</w:t>
      </w:r>
      <w:r w:rsidRPr="004D091F">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7000 INVERSIONES FINANCIERAS Y OTRAS PROVISIONES.</w:t>
      </w:r>
      <w:r w:rsidRPr="004D091F">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8000 PARTICIPACIONES Y APORTACIONES. </w:t>
      </w:r>
      <w:r w:rsidRPr="004D091F">
        <w:rPr>
          <w:rFonts w:ascii="Palatino Linotype" w:eastAsia="Palatino Linotype" w:hAnsi="Palatino Linotype" w:cs="Palatino Linotype"/>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411E6C" w:rsidRPr="004D091F" w:rsidRDefault="00411E6C">
      <w:pPr>
        <w:pBdr>
          <w:top w:val="nil"/>
          <w:left w:val="nil"/>
          <w:bottom w:val="nil"/>
          <w:right w:val="nil"/>
          <w:between w:val="nil"/>
        </w:pBdr>
        <w:spacing w:line="360" w:lineRule="auto"/>
        <w:ind w:left="709"/>
        <w:jc w:val="both"/>
        <w:rPr>
          <w:rFonts w:ascii="Palatino Linotype" w:eastAsia="Palatino Linotype" w:hAnsi="Palatino Linotype" w:cs="Palatino Linotype"/>
        </w:rPr>
      </w:pPr>
    </w:p>
    <w:p w:rsidR="00411E6C" w:rsidRPr="004D091F" w:rsidRDefault="008A43BF">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4D091F">
        <w:rPr>
          <w:rFonts w:ascii="Palatino Linotype" w:eastAsia="Palatino Linotype" w:hAnsi="Palatino Linotype" w:cs="Palatino Linotype"/>
          <w:b/>
          <w:bCs/>
        </w:rPr>
        <w:lastRenderedPageBreak/>
        <w:t xml:space="preserve">9000 DEUDA PÚBLICA. </w:t>
      </w:r>
      <w:r w:rsidRPr="004D091F">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 la estructura de codificación, se derivan subcapítulos, partidas genéricas y partidas específicas como se ejemplifica a continuación, para mejor referencia:</w:t>
      </w:r>
    </w:p>
    <w:p w:rsidR="00411E6C" w:rsidRPr="004D091F" w:rsidRDefault="008A43BF">
      <w:pPr>
        <w:pBdr>
          <w:top w:val="nil"/>
          <w:left w:val="nil"/>
          <w:bottom w:val="nil"/>
          <w:right w:val="nil"/>
          <w:between w:val="nil"/>
        </w:pBdr>
        <w:spacing w:line="360" w:lineRule="auto"/>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drawing>
          <wp:inline distT="0" distB="0" distL="0" distR="0">
            <wp:extent cx="5237783" cy="3783322"/>
            <wp:effectExtent l="0" t="0" r="0" b="0"/>
            <wp:docPr id="1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13318"/>
                    <a:stretch>
                      <a:fillRect/>
                    </a:stretch>
                  </pic:blipFill>
                  <pic:spPr>
                    <a:xfrm>
                      <a:off x="0" y="0"/>
                      <a:ext cx="5237783" cy="3783322"/>
                    </a:xfrm>
                    <a:prstGeom prst="rect">
                      <a:avLst/>
                    </a:prstGeom>
                    <a:ln/>
                  </pic:spPr>
                </pic:pic>
              </a:graphicData>
            </a:graphic>
          </wp:inline>
        </w:drawing>
      </w:r>
    </w:p>
    <w:p w:rsidR="00411E6C" w:rsidRPr="004D091F" w:rsidRDefault="008A43BF">
      <w:pPr>
        <w:pBdr>
          <w:top w:val="nil"/>
          <w:left w:val="nil"/>
          <w:bottom w:val="nil"/>
          <w:right w:val="nil"/>
          <w:between w:val="nil"/>
        </w:pBdr>
        <w:spacing w:line="360" w:lineRule="auto"/>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lastRenderedPageBreak/>
        <w:drawing>
          <wp:inline distT="0" distB="0" distL="0" distR="0">
            <wp:extent cx="5263470" cy="2845405"/>
            <wp:effectExtent l="0" t="0" r="0" b="0"/>
            <wp:docPr id="1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46875"/>
                    <a:stretch>
                      <a:fillRect/>
                    </a:stretch>
                  </pic:blipFill>
                  <pic:spPr>
                    <a:xfrm>
                      <a:off x="0" y="0"/>
                      <a:ext cx="5263470" cy="2845405"/>
                    </a:xfrm>
                    <a:prstGeom prst="rect">
                      <a:avLst/>
                    </a:prstGeom>
                    <a:ln/>
                  </pic:spPr>
                </pic:pic>
              </a:graphicData>
            </a:graphic>
          </wp:inline>
        </w:drawing>
      </w:r>
    </w:p>
    <w:p w:rsidR="00411E6C" w:rsidRPr="004D091F" w:rsidRDefault="008A43BF">
      <w:pPr>
        <w:pBdr>
          <w:top w:val="nil"/>
          <w:left w:val="nil"/>
          <w:bottom w:val="nil"/>
          <w:right w:val="nil"/>
          <w:between w:val="nil"/>
        </w:pBdr>
        <w:spacing w:line="360" w:lineRule="auto"/>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drawing>
          <wp:inline distT="0" distB="0" distL="0" distR="0">
            <wp:extent cx="5278987" cy="2155664"/>
            <wp:effectExtent l="0" t="0" r="0" b="0"/>
            <wp:docPr id="1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42552"/>
                    <a:stretch>
                      <a:fillRect/>
                    </a:stretch>
                  </pic:blipFill>
                  <pic:spPr>
                    <a:xfrm>
                      <a:off x="0" y="0"/>
                      <a:ext cx="5278987" cy="2155664"/>
                    </a:xfrm>
                    <a:prstGeom prst="rect">
                      <a:avLst/>
                    </a:prstGeom>
                    <a:ln/>
                  </pic:spPr>
                </pic:pic>
              </a:graphicData>
            </a:graphic>
          </wp:inline>
        </w:drawing>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A mayor abundamiento, conviene traer a contexto que los Lineamientos para la Integración y Entrega de los Informes Trimestrales Municipales, los cuales refieren que el Estado Analítico del Ejercicio del Presupuesto de Egresos Clasificación por Objeto del Gasto (Capítulo y Concepto), forma parte del Módulo 2 de la Información presupuestaria que se integra dentro de los Informes Trimestrales Municipales y cuya periodicidad de elaboración es mensual, tal y como a continuación se observa de la Matriz de documentos, firmas y archivos siguiente:</w:t>
      </w:r>
    </w:p>
    <w:p w:rsidR="00411E6C" w:rsidRPr="004D091F" w:rsidRDefault="008A43BF">
      <w:pPr>
        <w:pBdr>
          <w:top w:val="nil"/>
          <w:left w:val="nil"/>
          <w:bottom w:val="nil"/>
          <w:right w:val="nil"/>
          <w:between w:val="nil"/>
        </w:pBdr>
        <w:spacing w:line="360" w:lineRule="auto"/>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drawing>
          <wp:inline distT="0" distB="0" distL="0" distR="0">
            <wp:extent cx="4865669" cy="4557715"/>
            <wp:effectExtent l="0" t="0" r="0" b="0"/>
            <wp:docPr id="1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865669" cy="4557715"/>
                    </a:xfrm>
                    <a:prstGeom prst="rect">
                      <a:avLst/>
                    </a:prstGeom>
                    <a:ln/>
                  </pic:spPr>
                </pic:pic>
              </a:graphicData>
            </a:graphic>
          </wp:inline>
        </w:drawing>
      </w:r>
      <w:r w:rsidRPr="004D091F">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549412</wp:posOffset>
                </wp:positionH>
                <wp:positionV relativeFrom="paragraph">
                  <wp:posOffset>946300</wp:posOffset>
                </wp:positionV>
                <wp:extent cx="4513305" cy="251963"/>
                <wp:effectExtent l="0" t="0" r="0" b="0"/>
                <wp:wrapNone/>
                <wp:docPr id="165" name="Rectángulo 165"/>
                <wp:cNvGraphicFramePr/>
                <a:graphic xmlns:a="http://schemas.openxmlformats.org/drawingml/2006/main">
                  <a:graphicData uri="http://schemas.microsoft.com/office/word/2010/wordprocessingShape">
                    <wps:wsp>
                      <wps:cNvSpPr/>
                      <wps:spPr>
                        <a:xfrm>
                          <a:off x="3098873" y="3663544"/>
                          <a:ext cx="4494255" cy="232913"/>
                        </a:xfrm>
                        <a:prstGeom prst="rect">
                          <a:avLst/>
                        </a:prstGeom>
                        <a:noFill/>
                        <a:ln w="19050" cap="flat" cmpd="sng">
                          <a:solidFill>
                            <a:srgbClr val="FF0000"/>
                          </a:solidFill>
                          <a:prstDash val="solid"/>
                          <a:miter lim="800000"/>
                          <a:headEnd type="none" w="sm" len="sm"/>
                          <a:tailEnd type="none" w="sm" len="sm"/>
                        </a:ln>
                      </wps:spPr>
                      <wps:txbx>
                        <w:txbxContent>
                          <w:p w:rsidR="00411E6C" w:rsidRDefault="00411E6C">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165" o:spid="_x0000_s1026" style="position:absolute;left:0;text-align:left;margin-left:43.25pt;margin-top:74.5pt;width:355.4pt;height:19.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" filled="f" strokecolor="red" strokeweight="1.5pt">
                <v:stroke startarrowwidth="narrow" startarrowlength="short" endarrowwidth="narrow" endarrowlength="short"/>
                <v:textbox inset="2.53958mm,2.53958mm,2.53958mm,2.53958mm">
                  <w:txbxContent>
                    <w:p w:rsidR="00411E6C" w:rsidRDefault="00411E6C">
                      <w:pPr>
                        <w:jc w:val="center"/>
                        <w:textDirection w:val="btLr"/>
                      </w:pPr>
                    </w:p>
                  </w:txbxContent>
                </v:textbox>
              </v:rect>
            </w:pict>
          </mc:Fallback>
        </mc:AlternateConten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rPr>
      </w:pPr>
      <w:r w:rsidRPr="004D091F">
        <w:rPr>
          <w:rFonts w:ascii="Palatino Linotype" w:eastAsia="Palatino Linotype" w:hAnsi="Palatino Linotype" w:cs="Palatino Linotype"/>
        </w:rPr>
        <w:lastRenderedPageBreak/>
        <w:t>Aunado a ello, el Manual de Contabilidad Gubernamental en su numeral II, inciso b), referente al Estado Analítico del Ejercicio del Presupuesto de Egresos del Consejo Nacional de Armonización Contable (CONAC), establece como finalidad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La clasificación de la información presupuestaria a generar será al menos la siguiente:</w:t>
      </w:r>
    </w:p>
    <w:p w:rsidR="00411E6C" w:rsidRPr="004D091F" w:rsidRDefault="008A43BF">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rPr>
        <w:t>Clasificación por Objeto del Gasto (Capítulo y Concepto).</w:t>
      </w:r>
    </w:p>
    <w:p w:rsidR="00411E6C" w:rsidRPr="004D091F" w:rsidRDefault="008A43BF">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rPr>
        <w:t>Clasificación Económica (por Tipo de Gasto).</w:t>
      </w:r>
    </w:p>
    <w:p w:rsidR="00411E6C" w:rsidRPr="004D091F" w:rsidRDefault="008A43BF">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rPr>
        <w:t>Clasificación Administrativa.</w:t>
      </w:r>
    </w:p>
    <w:p w:rsidR="00411E6C" w:rsidRPr="004D091F" w:rsidRDefault="008A43BF">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rPr>
        <w:t>Clasificación Funcional (Finalidad y Función)</w:t>
      </w:r>
    </w:p>
    <w:p w:rsidR="00411E6C" w:rsidRPr="004D091F" w:rsidRDefault="00411E6C">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Luego entonces, de manera enunciativa más no limitativa la </w:t>
      </w:r>
      <w:r w:rsidRPr="004D091F">
        <w:rPr>
          <w:rFonts w:ascii="Palatino Linotype" w:eastAsia="Palatino Linotype" w:hAnsi="Palatino Linotype" w:cs="Palatino Linotype"/>
          <w:b/>
          <w:bCs/>
        </w:rPr>
        <w:t>Clasificación por Objeto del Gasto (Capítulo y Concepto)</w:t>
      </w:r>
      <w:r w:rsidRPr="004D091F">
        <w:rPr>
          <w:rFonts w:ascii="Palatino Linotype" w:eastAsia="Palatino Linotype" w:hAnsi="Palatino Linotype" w:cs="Palatino Linotype"/>
        </w:rPr>
        <w:t xml:space="preserve">, es el documento mensual armonizado que ordena e identifica en forma genérica, homogénea y coherente el registro del gasto por los conceptos de servicios personales, materiales y suministros, servicios generales, transferencias, </w:t>
      </w:r>
      <w:r w:rsidRPr="004D091F">
        <w:rPr>
          <w:rFonts w:ascii="Palatino Linotype" w:eastAsia="Palatino Linotype" w:hAnsi="Palatino Linotype" w:cs="Palatino Linotype"/>
        </w:rPr>
        <w:lastRenderedPageBreak/>
        <w:t xml:space="preserve">asignaciones subsidios y otras ayudas, bienes muebles, inmuebles e intangibles, inversión pública, inversiones financieras y otras provisiones, participaciones y aportaciones federales, y deuda pública, que requieren las dependencias, entidades públicas, así como </w:t>
      </w:r>
      <w:r w:rsidRPr="004D091F">
        <w:rPr>
          <w:rFonts w:ascii="Palatino Linotype" w:eastAsia="Palatino Linotype" w:hAnsi="Palatino Linotype" w:cs="Palatino Linotype"/>
          <w:u w:val="single"/>
        </w:rPr>
        <w:t>los Municipios</w:t>
      </w:r>
      <w:r w:rsidRPr="004D091F">
        <w:rPr>
          <w:rFonts w:ascii="Palatino Linotype" w:eastAsia="Palatino Linotype" w:hAnsi="Palatino Linotype" w:cs="Palatino Linotype"/>
        </w:rPr>
        <w:t xml:space="preserve">, para cumplir con los objetivos y programas señalados en el Plan de Desarrollo del Estado de México vigente y en el Plan de Desarrollo Municipal; por lo que, lo procedente es ordenar la entrega del documento donde conste el presupuesto autorizado de la Tercera Regiduría por capítulo, partida presupuestal y proyecto para el ejercicio fiscal dos mil cinco, toda vez que corresponden a las documentales en las que de manera enunciativa mas no limitativa se puede obtener la información solicitada y el ahora </w:t>
      </w:r>
      <w:r w:rsidRPr="004D091F">
        <w:rPr>
          <w:rFonts w:ascii="Palatino Linotype" w:eastAsia="Palatino Linotype" w:hAnsi="Palatino Linotype" w:cs="Palatino Linotype"/>
          <w:b/>
          <w:bCs/>
        </w:rPr>
        <w:t xml:space="preserve">RECURRENTE </w:t>
      </w:r>
      <w:r w:rsidRPr="004D091F">
        <w:rPr>
          <w:rFonts w:ascii="Palatino Linotype" w:eastAsia="Palatino Linotype" w:hAnsi="Palatino Linotype" w:cs="Palatino Linotype"/>
        </w:rPr>
        <w:t>obtenga la información de su interés.</w:t>
      </w:r>
    </w:p>
    <w:p w:rsidR="00411E6C" w:rsidRPr="004D091F" w:rsidRDefault="008A43B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 </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t xml:space="preserve">Respecto del acta de cabildo, tampoco existe pronunciamiento del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al respecto, siendo necesario traer a contexto </w:t>
      </w:r>
      <w:r w:rsidRPr="004D091F">
        <w:rPr>
          <w:rFonts w:ascii="Palatino Linotype" w:eastAsia="Palatino Linotype" w:hAnsi="Palatino Linotype" w:cs="Palatino Linotype"/>
          <w:color w:val="000000"/>
        </w:rPr>
        <w:t xml:space="preserve">el artículo 115 fracción IV, párrafo tercero de la Constitución Política de los Estados Unidos Mexicanos establece que: </w:t>
      </w:r>
    </w:p>
    <w:p w:rsidR="00411E6C" w:rsidRPr="004D091F" w:rsidRDefault="008A43BF">
      <w:pPr>
        <w:tabs>
          <w:tab w:val="left" w:pos="851"/>
        </w:tabs>
        <w:ind w:left="1134" w:right="90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r w:rsidRPr="004D091F">
        <w:rPr>
          <w:rFonts w:ascii="Palatino Linotype" w:eastAsia="Palatino Linotype" w:hAnsi="Palatino Linotype" w:cs="Palatino Linotype"/>
          <w:b/>
          <w:bCs/>
          <w:i/>
          <w:iCs/>
          <w:color w:val="000000"/>
        </w:rPr>
        <w:t>Artículo 115.</w:t>
      </w:r>
      <w:r w:rsidRPr="004D091F">
        <w:rPr>
          <w:rFonts w:ascii="Palatino Linotype" w:eastAsia="Palatino Linotype" w:hAnsi="Palatino Linotype" w:cs="Palatino Linotype"/>
          <w:i/>
          <w:iCs/>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411E6C" w:rsidRPr="004D091F" w:rsidRDefault="008A43BF">
      <w:pPr>
        <w:tabs>
          <w:tab w:val="left" w:pos="851"/>
        </w:tabs>
        <w:ind w:left="1134" w:right="90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p>
    <w:p w:rsidR="00411E6C" w:rsidRPr="004D091F" w:rsidRDefault="008A43BF">
      <w:pPr>
        <w:tabs>
          <w:tab w:val="left" w:pos="851"/>
        </w:tabs>
        <w:ind w:left="1134" w:right="90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IV.</w:t>
      </w:r>
    </w:p>
    <w:p w:rsidR="00411E6C" w:rsidRPr="004D091F" w:rsidRDefault="008A43BF">
      <w:pPr>
        <w:tabs>
          <w:tab w:val="left" w:pos="851"/>
        </w:tabs>
        <w:ind w:left="1134" w:right="90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p>
    <w:p w:rsidR="00411E6C" w:rsidRPr="004D091F" w:rsidRDefault="008A43BF">
      <w:pPr>
        <w:tabs>
          <w:tab w:val="left" w:pos="851"/>
        </w:tabs>
        <w:ind w:left="1134" w:right="900"/>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Las legislaturas de los Estados aprobarán las leyes de ingresos de los municipios, revisarán y fiscalizarán sus cuentas públicas. </w:t>
      </w:r>
      <w:r w:rsidRPr="004D091F">
        <w:rPr>
          <w:rFonts w:ascii="Palatino Linotype" w:eastAsia="Palatino Linotype" w:hAnsi="Palatino Linotype" w:cs="Palatino Linotype"/>
          <w:b/>
          <w:bCs/>
          <w:i/>
          <w:iCs/>
          <w:color w:val="000000"/>
        </w:rPr>
        <w:t>Los presupuestos de egresos serán aprobados por los ayuntamientos con base en sus ingresos disponibles, y deberán incluir en los mismos, los tabuladores desglosados de las remuneraciones que perciban los servidores públicos municipales</w:t>
      </w:r>
      <w:r w:rsidRPr="004D091F">
        <w:rPr>
          <w:rFonts w:ascii="Palatino Linotype" w:eastAsia="Palatino Linotype" w:hAnsi="Palatino Linotype" w:cs="Palatino Linotype"/>
          <w:i/>
          <w:iCs/>
          <w:color w:val="000000"/>
        </w:rPr>
        <w:t xml:space="preserve">, sujetándose a lo dispuesto en el artículo 127 de esta Constitución” </w:t>
      </w:r>
    </w:p>
    <w:p w:rsidR="00411E6C" w:rsidRPr="004D091F" w:rsidRDefault="008A43BF">
      <w:pPr>
        <w:tabs>
          <w:tab w:val="left" w:pos="851"/>
        </w:tabs>
        <w:ind w:left="1134" w:right="90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(Énfasis añadido)</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lastRenderedPageBreak/>
        <w:t xml:space="preserve">Asimismo, en </w:t>
      </w:r>
      <w:r w:rsidRPr="004D091F">
        <w:rPr>
          <w:rFonts w:ascii="Palatino Linotype" w:eastAsia="Palatino Linotype" w:hAnsi="Palatino Linotype" w:cs="Palatino Linotype"/>
        </w:rPr>
        <w:t>el</w:t>
      </w:r>
      <w:r w:rsidRPr="004D091F">
        <w:rPr>
          <w:rFonts w:ascii="Palatino Linotype" w:eastAsia="Palatino Linotype" w:hAnsi="Palatino Linotype" w:cs="Palatino Linotype"/>
          <w:color w:val="000000"/>
        </w:rPr>
        <w:t xml:space="preserve"> artículo 125 cuarto y quinto párrafos de la Constitución Política del Estado Libre y Soberano de México, dispone: </w:t>
      </w:r>
    </w:p>
    <w:p w:rsidR="00411E6C" w:rsidRPr="004D091F" w:rsidRDefault="008A43BF">
      <w:pPr>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r w:rsidRPr="004D091F">
        <w:rPr>
          <w:rFonts w:ascii="Palatino Linotype" w:eastAsia="Palatino Linotype" w:hAnsi="Palatino Linotype" w:cs="Palatino Linotype"/>
          <w:b/>
          <w:bCs/>
          <w:i/>
          <w:iCs/>
          <w:color w:val="000000"/>
        </w:rPr>
        <w:t>Artículo 125.-</w:t>
      </w:r>
      <w:r w:rsidRPr="004D091F">
        <w:rPr>
          <w:rFonts w:ascii="Palatino Linotype" w:eastAsia="Palatino Linotype" w:hAnsi="Palatino Linotype" w:cs="Palatino Linotype"/>
          <w:i/>
          <w:iCs/>
          <w:color w:val="000000"/>
        </w:rPr>
        <w:t xml:space="preserve"> Los municipios administrarán libremente su hacienda, la cual se formará de los rendimientos de los bienes que les pertenezcan, así como de las contribuciones y otros ingresos que la ley establezca, y en todo caso:</w:t>
      </w:r>
    </w:p>
    <w:p w:rsidR="00411E6C" w:rsidRPr="004D091F" w:rsidRDefault="008A43BF">
      <w:pPr>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p>
    <w:p w:rsidR="00411E6C" w:rsidRPr="004D091F" w:rsidRDefault="008A43BF">
      <w:pPr>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4D091F">
        <w:rPr>
          <w:rFonts w:ascii="Palatino Linotype" w:eastAsia="Palatino Linotype" w:hAnsi="Palatino Linotype" w:cs="Palatino Linotype"/>
          <w:b/>
          <w:bCs/>
          <w:i/>
          <w:iCs/>
          <w:color w:val="000000"/>
        </w:rPr>
        <w:t>La Presidenta o el Presidente Municipal, promulgará y publicará el Presupuesto de Egresos Municipal, a más tardar el día 25 de febrero de cada año debiendo enviarlo al Órgano Superior de Fiscalización en la misma fecha</w:t>
      </w:r>
      <w:r w:rsidRPr="004D091F">
        <w:rPr>
          <w:rFonts w:ascii="Palatino Linotype" w:eastAsia="Palatino Linotype" w:hAnsi="Palatino Linotype" w:cs="Palatino Linotype"/>
          <w:i/>
          <w:iCs/>
          <w:color w:val="000000"/>
        </w:rPr>
        <w:t xml:space="preserve">. </w:t>
      </w:r>
    </w:p>
    <w:p w:rsidR="00411E6C" w:rsidRPr="004D091F" w:rsidRDefault="008A43BF">
      <w:pPr>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El Presupuesto deberá incluir los tabuladores desglosados de las remuneraciones que perciban las y los servidores públicos municipales, sujetándose a lo dispuesto en el artículo 147 de esta Constitución.” </w:t>
      </w:r>
    </w:p>
    <w:p w:rsidR="00411E6C" w:rsidRPr="004D091F" w:rsidRDefault="008A43BF">
      <w:pPr>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(Énfasis añadido)</w:t>
      </w:r>
    </w:p>
    <w:p w:rsidR="00411E6C" w:rsidRPr="004D091F" w:rsidRDefault="00411E6C">
      <w:pPr>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Por su parte, el artículo 47 de la Ley de Fiscalización Superior del Estado de México indica que:</w:t>
      </w:r>
    </w:p>
    <w:p w:rsidR="00411E6C" w:rsidRPr="004D091F" w:rsidRDefault="008A43BF">
      <w:pPr>
        <w:tabs>
          <w:tab w:val="left" w:pos="1134"/>
        </w:tabs>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r w:rsidRPr="004D091F">
        <w:rPr>
          <w:rFonts w:ascii="Palatino Linotype" w:eastAsia="Palatino Linotype" w:hAnsi="Palatino Linotype" w:cs="Palatino Linotype"/>
          <w:b/>
          <w:bCs/>
          <w:i/>
          <w:iCs/>
          <w:color w:val="000000"/>
        </w:rPr>
        <w:t>Artículo 47.-</w:t>
      </w:r>
      <w:r w:rsidRPr="004D091F">
        <w:rPr>
          <w:rFonts w:ascii="Palatino Linotype" w:eastAsia="Palatino Linotype" w:hAnsi="Palatino Linotype" w:cs="Palatino Linotype"/>
          <w:i/>
          <w:iCs/>
          <w:color w:val="000000"/>
        </w:rPr>
        <w:t xml:space="preserve"> </w:t>
      </w:r>
      <w:r w:rsidRPr="004D091F">
        <w:rPr>
          <w:rFonts w:ascii="Palatino Linotype" w:eastAsia="Palatino Linotype" w:hAnsi="Palatino Linotype" w:cs="Palatino Linotype"/>
          <w:b/>
          <w:bCs/>
          <w:i/>
          <w:iCs/>
          <w:color w:val="000000"/>
        </w:rPr>
        <w:t>Los</w:t>
      </w:r>
      <w:r w:rsidRPr="004D091F">
        <w:rPr>
          <w:rFonts w:ascii="Palatino Linotype" w:eastAsia="Palatino Linotype" w:hAnsi="Palatino Linotype" w:cs="Palatino Linotype"/>
          <w:i/>
          <w:iCs/>
          <w:color w:val="000000"/>
        </w:rPr>
        <w:t xml:space="preserve"> </w:t>
      </w:r>
      <w:r w:rsidRPr="004D091F">
        <w:rPr>
          <w:rFonts w:ascii="Palatino Linotype" w:eastAsia="Palatino Linotype" w:hAnsi="Palatino Linotype" w:cs="Palatino Linotype"/>
          <w:b/>
          <w:bCs/>
          <w:i/>
          <w:iCs/>
          <w:color w:val="000000"/>
        </w:rPr>
        <w:t>Presidentes Municipales y los Síndicos estarán obligados a informar al Órgano Superior, a más tardar el 25 de febrero de cada año, el Presupuesto de Egresos Municipal que haya aprobado el Ayuntamiento correspondiente</w:t>
      </w:r>
      <w:r w:rsidRPr="004D091F">
        <w:rPr>
          <w:rFonts w:ascii="Palatino Linotype" w:eastAsia="Palatino Linotype" w:hAnsi="Palatino Linotype" w:cs="Palatino Linotype"/>
          <w:i/>
          <w:iCs/>
          <w:color w:val="000000"/>
        </w:rPr>
        <w:t xml:space="preserve">.” </w:t>
      </w:r>
    </w:p>
    <w:p w:rsidR="00411E6C" w:rsidRPr="004D091F" w:rsidRDefault="008A43BF">
      <w:pPr>
        <w:tabs>
          <w:tab w:val="left" w:pos="1134"/>
        </w:tabs>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(Énfasis añadido)</w:t>
      </w:r>
    </w:p>
    <w:p w:rsidR="00411E6C" w:rsidRPr="004D091F" w:rsidRDefault="00411E6C">
      <w:pPr>
        <w:tabs>
          <w:tab w:val="left" w:pos="851"/>
        </w:tabs>
        <w:ind w:right="901"/>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Aunado a lo anterior, el artículo 351 segundo párrafo del Código Financiero del Estado de México y Municipios establece que:</w:t>
      </w:r>
    </w:p>
    <w:p w:rsidR="00411E6C" w:rsidRPr="004D091F" w:rsidRDefault="008A43BF">
      <w:pPr>
        <w:tabs>
          <w:tab w:val="left" w:pos="1134"/>
        </w:tabs>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w:t>
      </w:r>
      <w:r w:rsidRPr="004D091F">
        <w:rPr>
          <w:rFonts w:ascii="Palatino Linotype" w:eastAsia="Palatino Linotype" w:hAnsi="Palatino Linotype" w:cs="Palatino Linotype"/>
          <w:b/>
          <w:bCs/>
          <w:i/>
          <w:iCs/>
          <w:color w:val="000000"/>
        </w:rPr>
        <w:t>Artículo 351.-</w:t>
      </w:r>
      <w:r w:rsidRPr="004D091F">
        <w:rPr>
          <w:rFonts w:ascii="Palatino Linotype" w:eastAsia="Palatino Linotype" w:hAnsi="Palatino Linotype" w:cs="Palatino Linotype"/>
          <w:i/>
          <w:iCs/>
          <w:color w:val="000000"/>
        </w:rPr>
        <w:t xml:space="preserve"> …</w:t>
      </w:r>
    </w:p>
    <w:p w:rsidR="00411E6C" w:rsidRPr="004D091F" w:rsidRDefault="008A43BF">
      <w:pPr>
        <w:tabs>
          <w:tab w:val="left" w:pos="1134"/>
        </w:tabs>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b/>
          <w:bCs/>
          <w:i/>
          <w:iCs/>
          <w:color w:val="000000"/>
        </w:rPr>
        <w:t xml:space="preserve">Los Ayuntamientos al aprobar en forma definitiva su presupuesto de egresos, deberán publicar en la "Gaceta Municipal" </w:t>
      </w:r>
      <w:r w:rsidRPr="004D091F">
        <w:rPr>
          <w:rFonts w:ascii="Palatino Linotype" w:eastAsia="Palatino Linotype" w:hAnsi="Palatino Linotype" w:cs="Palatino Linotype"/>
          <w:i/>
          <w:iCs/>
          <w:color w:val="000000"/>
        </w:rPr>
        <w:t xml:space="preserve">de manera clara y </w:t>
      </w:r>
      <w:r w:rsidRPr="004D091F">
        <w:rPr>
          <w:rFonts w:ascii="Palatino Linotype" w:eastAsia="Palatino Linotype" w:hAnsi="Palatino Linotype" w:cs="Palatino Linotype"/>
          <w:i/>
          <w:iCs/>
          <w:color w:val="000000"/>
        </w:rPr>
        <w:lastRenderedPageBreak/>
        <w:t xml:space="preserve">entendible, todas y cada una de las partidas que lo integran, las remuneraciones de todo tipo aprobadas para los miembros del ayuntamiento y para los servidores públicos en general, incluyendo mandos medios y superiores de la administración municipal, a más tardar </w:t>
      </w:r>
      <w:r w:rsidRPr="004D091F">
        <w:rPr>
          <w:rFonts w:ascii="Palatino Linotype" w:eastAsia="Palatino Linotype" w:hAnsi="Palatino Linotype" w:cs="Palatino Linotype"/>
          <w:b/>
          <w:bCs/>
          <w:i/>
          <w:iCs/>
          <w:color w:val="000000"/>
        </w:rPr>
        <w:t>el 25 de febrero del año</w:t>
      </w:r>
      <w:r w:rsidRPr="004D091F">
        <w:rPr>
          <w:rFonts w:ascii="Palatino Linotype" w:eastAsia="Palatino Linotype" w:hAnsi="Palatino Linotype" w:cs="Palatino Linotype"/>
          <w:i/>
          <w:iCs/>
          <w:color w:val="000000"/>
        </w:rPr>
        <w:t xml:space="preserve"> para el cual habrá de aplicar dicho presupuesto.” </w:t>
      </w:r>
    </w:p>
    <w:p w:rsidR="00411E6C" w:rsidRPr="004D091F" w:rsidRDefault="008A43BF">
      <w:pPr>
        <w:tabs>
          <w:tab w:val="left" w:pos="1134"/>
        </w:tabs>
        <w:ind w:left="1134" w:right="90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(Énfasis añadido)</w:t>
      </w:r>
    </w:p>
    <w:p w:rsidR="00411E6C" w:rsidRPr="004D091F" w:rsidRDefault="00411E6C">
      <w:pP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De lo anterior, se puede advertir que el presupuesto de egreso municipal será aprobado por los Ayuntamientos con base a los ingresos disponibles y corresponde a la Presidenta o Presidente Municipal promulgar y publicar el Presupuesto de Egresos Municipal a más tardar el veinticinco de febrero de cada año debiendo enviar el mismo al Órgano Superior de Fiscalización, el cual debe ser publicado en la Gaceta Municipal, por lo que tomando en consideración que la solicitud de mérito, se interpuso el siete de abril de dos mil veinticinco, ya se había materializado dicha aprobación.</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Por otro lado, </w:t>
      </w:r>
      <w:r w:rsidRPr="004D091F">
        <w:rPr>
          <w:rFonts w:ascii="Palatino Linotype" w:eastAsia="Palatino Linotype" w:hAnsi="Palatino Linotype" w:cs="Palatino Linotype"/>
          <w:color w:val="000000"/>
        </w:rPr>
        <w:t>respecto</w:t>
      </w:r>
      <w:r w:rsidRPr="004D091F">
        <w:rPr>
          <w:rFonts w:ascii="Palatino Linotype" w:eastAsia="Palatino Linotype" w:hAnsi="Palatino Linotype" w:cs="Palatino Linotype"/>
        </w:rPr>
        <w:t xml:space="preserve"> del número de vehículos automotores tiene adjudicados el área y quienes son los </w:t>
      </w:r>
      <w:r w:rsidRPr="004D091F">
        <w:rPr>
          <w:rFonts w:ascii="Palatino Linotype" w:eastAsia="Palatino Linotype" w:hAnsi="Palatino Linotype" w:cs="Palatino Linotype"/>
          <w:color w:val="000000"/>
        </w:rPr>
        <w:t>responsables</w:t>
      </w:r>
      <w:r w:rsidRPr="004D091F">
        <w:rPr>
          <w:rFonts w:ascii="Palatino Linotype" w:eastAsia="Palatino Linotype" w:hAnsi="Palatino Linotype" w:cs="Palatino Linotype"/>
        </w:rPr>
        <w:t xml:space="preserve"> de dichos vehículos, corresponde a un rubro del cual tampoco se advierte pronunciamiento en respuesta e informe justificado respectivamente. Por tanto, es dable traer a colación que la Dirección General de Administración, de conformidad con la codificación 206010000 del Manual de Organización de la Dirección General de Administración, el objetivo de la Dirección General de Administración, consiste en definir, establecer, difundir y aplicar la normatividad para la administración de personal, adquisición, uso y mantenimiento de bienes, contratación y prestación de servicios, que requieran las diferentes dependencias y órganos que integran la administración pública municipal, a fin de optimizar los recursos humanos, materiales, técnicos y tecnológicos, así como el adecuado control del parque vehicular y de bienes muebles e inmuebles, cuyas </w:t>
      </w:r>
      <w:r w:rsidRPr="004D091F">
        <w:rPr>
          <w:rFonts w:ascii="Palatino Linotype" w:eastAsia="Palatino Linotype" w:hAnsi="Palatino Linotype" w:cs="Palatino Linotype"/>
        </w:rPr>
        <w:lastRenderedPageBreak/>
        <w:t>atribuciones se encuentran definidas en el propio Manual, así como en el artículo 3.40 del Código Reglamentario Municipal de Toluca, entre las que destacan las siguiente respecto al tema que nos interesa:</w:t>
      </w:r>
    </w:p>
    <w:p w:rsidR="00411E6C" w:rsidRPr="004D091F" w:rsidRDefault="008A43BF">
      <w:pPr>
        <w:numPr>
          <w:ilvl w:val="0"/>
          <w:numId w:val="1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t>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rsidR="00411E6C" w:rsidRPr="004D091F" w:rsidRDefault="008A43BF">
      <w:pPr>
        <w:numPr>
          <w:ilvl w:val="0"/>
          <w:numId w:val="1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t>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Asimismo, es de mencionar que de conformidad con el artículo 3.41 del Código Reglamentario Municipal de Toluca, la Dirección General de Administración se auxilia de diversas áreas para el cumplimiento de sus atribuciones, entre las que se encuentra la </w:t>
      </w:r>
      <w:r w:rsidRPr="004D091F">
        <w:rPr>
          <w:rFonts w:ascii="Palatino Linotype" w:eastAsia="Palatino Linotype" w:hAnsi="Palatino Linotype" w:cs="Palatino Linotype"/>
          <w:b/>
          <w:bCs/>
        </w:rPr>
        <w:t>Dirección de Servicios Generales</w:t>
      </w:r>
      <w:r w:rsidRPr="004D091F">
        <w:rPr>
          <w:rFonts w:ascii="Palatino Linotype" w:eastAsia="Palatino Linotype" w:hAnsi="Palatino Linotype" w:cs="Palatino Linotype"/>
        </w:rPr>
        <w:t>, la cual tiene a su cargo, entre otras atribuciones las siguientes:</w:t>
      </w:r>
    </w:p>
    <w:p w:rsidR="00411E6C" w:rsidRPr="004D091F" w:rsidRDefault="008A43BF">
      <w:pPr>
        <w:ind w:left="851" w:right="567"/>
        <w:jc w:val="both"/>
        <w:rPr>
          <w:rFonts w:ascii="Palatino Linotype" w:eastAsia="Palatino Linotype" w:hAnsi="Palatino Linotype" w:cs="Palatino Linotype"/>
          <w:i/>
          <w:iCs/>
          <w:u w:val="single"/>
        </w:rPr>
      </w:pPr>
      <w:r w:rsidRPr="004D091F">
        <w:rPr>
          <w:rFonts w:ascii="Palatino Linotype" w:eastAsia="Palatino Linotype" w:hAnsi="Palatino Linotype" w:cs="Palatino Linotype"/>
          <w:b/>
          <w:bCs/>
          <w:i/>
          <w:iCs/>
        </w:rPr>
        <w:t xml:space="preserve">“Artículo 3.44. </w:t>
      </w:r>
      <w:r w:rsidRPr="004D091F">
        <w:rPr>
          <w:rFonts w:ascii="Palatino Linotype" w:eastAsia="Palatino Linotype" w:hAnsi="Palatino Linotype" w:cs="Palatino Linotype"/>
          <w:i/>
          <w:iCs/>
        </w:rPr>
        <w:t xml:space="preserve">La o el titular de la </w:t>
      </w:r>
      <w:r w:rsidRPr="004D091F">
        <w:rPr>
          <w:rFonts w:ascii="Palatino Linotype" w:eastAsia="Palatino Linotype" w:hAnsi="Palatino Linotype" w:cs="Palatino Linotype"/>
          <w:b/>
          <w:bCs/>
          <w:i/>
          <w:iCs/>
        </w:rPr>
        <w:t>Dirección de Servicios Generales</w:t>
      </w:r>
      <w:r w:rsidRPr="004D091F">
        <w:rPr>
          <w:rFonts w:ascii="Palatino Linotype" w:eastAsia="Palatino Linotype" w:hAnsi="Palatino Linotype" w:cs="Palatino Linotype"/>
          <w:i/>
          <w:iCs/>
        </w:rPr>
        <w:t xml:space="preserve"> cuenta con las siguientes atribuciones</w:t>
      </w:r>
      <w:r w:rsidRPr="004D091F">
        <w:rPr>
          <w:rFonts w:ascii="Palatino Linotype" w:eastAsia="Palatino Linotype" w:hAnsi="Palatino Linotype" w:cs="Palatino Linotype"/>
          <w:b/>
          <w:bCs/>
          <w:i/>
          <w:iCs/>
        </w:rPr>
        <w:t>:</w:t>
      </w:r>
    </w:p>
    <w:p w:rsidR="00411E6C" w:rsidRPr="004D091F" w:rsidRDefault="008A43BF">
      <w:pPr>
        <w:ind w:left="851" w:right="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ind w:left="851" w:right="567"/>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VI.</w:t>
      </w:r>
      <w:r w:rsidRPr="004D091F">
        <w:rPr>
          <w:rFonts w:ascii="Palatino Linotype" w:eastAsia="Palatino Linotype" w:hAnsi="Palatino Linotype" w:cs="Palatino Linotype"/>
          <w:i/>
          <w:iCs/>
        </w:rPr>
        <w:t xml:space="preserve"> Implementar, mantener y actualizar el inventario general de bienes muebles y vehículos del Ayuntamiento de Toluca; </w:t>
      </w:r>
    </w:p>
    <w:p w:rsidR="00411E6C" w:rsidRPr="004D091F" w:rsidRDefault="008A43BF">
      <w:pPr>
        <w:ind w:left="851" w:right="567"/>
        <w:jc w:val="both"/>
        <w:rPr>
          <w:rFonts w:ascii="Palatino Linotype" w:eastAsia="Palatino Linotype" w:hAnsi="Palatino Linotype" w:cs="Palatino Linotype"/>
          <w:i/>
          <w:iCs/>
          <w:u w:val="single"/>
        </w:rPr>
      </w:pPr>
      <w:r w:rsidRPr="004D091F">
        <w:rPr>
          <w:rFonts w:ascii="Palatino Linotype" w:eastAsia="Palatino Linotype" w:hAnsi="Palatino Linotype" w:cs="Palatino Linotype"/>
          <w:b/>
          <w:bCs/>
          <w:i/>
          <w:iCs/>
          <w:u w:val="single"/>
        </w:rPr>
        <w:t>VII</w:t>
      </w:r>
      <w:r w:rsidRPr="004D091F">
        <w:rPr>
          <w:rFonts w:ascii="Palatino Linotype" w:eastAsia="Palatino Linotype" w:hAnsi="Palatino Linotype" w:cs="Palatino Linotype"/>
          <w:i/>
          <w:iCs/>
          <w:u w:val="single"/>
        </w:rPr>
        <w:t xml:space="preserve">. </w:t>
      </w:r>
      <w:r w:rsidRPr="004D091F">
        <w:rPr>
          <w:rFonts w:ascii="Palatino Linotype" w:eastAsia="Palatino Linotype" w:hAnsi="Palatino Linotype" w:cs="Palatino Linotype"/>
          <w:b/>
          <w:bCs/>
          <w:i/>
          <w:iCs/>
          <w:u w:val="single"/>
        </w:rPr>
        <w:t>Elaborar y actualizar el resguardo de bienes muebles</w:t>
      </w:r>
      <w:r w:rsidRPr="004D091F">
        <w:rPr>
          <w:rFonts w:ascii="Palatino Linotype" w:eastAsia="Palatino Linotype" w:hAnsi="Palatino Linotype" w:cs="Palatino Linotype"/>
          <w:i/>
          <w:iCs/>
          <w:u w:val="single"/>
        </w:rPr>
        <w:t xml:space="preserve"> y </w:t>
      </w:r>
      <w:r w:rsidRPr="004D091F">
        <w:rPr>
          <w:rFonts w:ascii="Palatino Linotype" w:eastAsia="Palatino Linotype" w:hAnsi="Palatino Linotype" w:cs="Palatino Linotype"/>
          <w:b/>
          <w:bCs/>
          <w:i/>
          <w:iCs/>
          <w:u w:val="single"/>
        </w:rPr>
        <w:t>vehículos a cargo de los servidores públicos para el desempeño de sus funciones;</w:t>
      </w:r>
      <w:r w:rsidRPr="004D091F">
        <w:rPr>
          <w:rFonts w:ascii="Palatino Linotype" w:eastAsia="Palatino Linotype" w:hAnsi="Palatino Linotype" w:cs="Palatino Linotype"/>
          <w:i/>
          <w:iCs/>
          <w:u w:val="single"/>
        </w:rPr>
        <w:t xml:space="preserve"> </w:t>
      </w:r>
    </w:p>
    <w:p w:rsidR="00411E6C" w:rsidRPr="004D091F" w:rsidRDefault="008A43BF">
      <w:pPr>
        <w:ind w:left="851" w:right="567"/>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lastRenderedPageBreak/>
        <w:t>VIII</w:t>
      </w:r>
      <w:r w:rsidRPr="004D091F">
        <w:rPr>
          <w:rFonts w:ascii="Palatino Linotype" w:eastAsia="Palatino Linotype" w:hAnsi="Palatino Linotype" w:cs="Palatino Linotype"/>
          <w:i/>
          <w:iCs/>
        </w:rPr>
        <w:t>. Identificar los bienes muebles y vehículos que se encuentren en mal estado y obsoletos, para que, en su caso, se inicie el proceso de baja como activo, con el propósito de someter al Cabildo su enajenación, conforme a la normatividad respectiva; y”</w:t>
      </w:r>
    </w:p>
    <w:p w:rsidR="00411E6C" w:rsidRDefault="00411E6C">
      <w:pPr>
        <w:ind w:left="1134" w:right="567"/>
        <w:jc w:val="both"/>
        <w:rPr>
          <w:rFonts w:ascii="Palatino Linotype" w:eastAsia="Palatino Linotype" w:hAnsi="Palatino Linotype" w:cs="Palatino Linotype"/>
          <w:i/>
          <w:iCs/>
        </w:rPr>
      </w:pPr>
    </w:p>
    <w:p w:rsidR="004D091F" w:rsidRPr="004D091F" w:rsidRDefault="004D091F">
      <w:pPr>
        <w:ind w:left="1134" w:right="567"/>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Por otro lado, de conformidad con el Manual de Organización de la Dirección General de Administración, la Dirección de Servicios Generales, tiene bajo su adscripción al Departamento de Control Patrimonial, cuyo objetivo consiste en registrar y revisar los bienes muebles para mantener integrado y actualizado el Inventario General (bienes, activo biológico y vehículos) del Patrimonio del Ayuntamiento de Toluca por medio de los registros y controles administrativos apegados a la normatividad aplicable, para lo cual se le confieren entre otras atribuciones, las siguientes:</w:t>
      </w:r>
    </w:p>
    <w:p w:rsidR="00411E6C" w:rsidRPr="004D091F" w:rsidRDefault="008A43BF">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t>Registrar, ubicar e identificar, en el depósito correspondiente, los bienes muebles, maquinaria, equipo y vehículos propuestos para baja de las áreas de la administración pública municipal;</w:t>
      </w:r>
    </w:p>
    <w:p w:rsidR="00411E6C" w:rsidRPr="004D091F" w:rsidRDefault="008A43BF">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t>Registrar en el Padrón de Inventarios del Ayuntamiento los bienes muebles y vehículos de nueva adquisición o aquellos que sean donados o por nacencia de activo biológico mediante el formato denominado: “Movimiento de Alta”;</w:t>
      </w:r>
    </w:p>
    <w:p w:rsidR="00411E6C" w:rsidRPr="004D091F" w:rsidRDefault="008A43BF">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t>Planear, organizar y realizar obligatoriamente dos verificaciones al año para llevar a cabo el levantamiento físico de bienes muebles</w:t>
      </w:r>
      <w:r w:rsidRPr="004D091F">
        <w:rPr>
          <w:rFonts w:ascii="Palatino Linotype" w:eastAsia="Palatino Linotype" w:hAnsi="Palatino Linotype" w:cs="Palatino Linotype"/>
          <w:b/>
          <w:bCs/>
        </w:rPr>
        <w:t xml:space="preserve"> </w:t>
      </w:r>
      <w:r w:rsidRPr="004D091F">
        <w:rPr>
          <w:rFonts w:ascii="Palatino Linotype" w:eastAsia="Palatino Linotype" w:hAnsi="Palatino Linotype" w:cs="Palatino Linotype"/>
        </w:rPr>
        <w:t xml:space="preserve">con el propósito de </w:t>
      </w:r>
      <w:r w:rsidRPr="004D091F">
        <w:rPr>
          <w:rFonts w:ascii="Palatino Linotype" w:eastAsia="Palatino Linotype" w:hAnsi="Palatino Linotype" w:cs="Palatino Linotype"/>
          <w:b/>
          <w:bCs/>
        </w:rPr>
        <w:t xml:space="preserve">actualizar el inventario </w:t>
      </w:r>
      <w:r w:rsidRPr="004D091F">
        <w:rPr>
          <w:rFonts w:ascii="Palatino Linotype" w:eastAsia="Palatino Linotype" w:hAnsi="Palatino Linotype" w:cs="Palatino Linotype"/>
        </w:rPr>
        <w:t>de los mismos;</w:t>
      </w:r>
    </w:p>
    <w:p w:rsidR="00411E6C" w:rsidRPr="004D091F" w:rsidRDefault="008A43BF">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Proponer lineamientos, políticas y obligaciones para el adecuado y correcto cuidado de los bienes que se encuentran bajo resguardo y custodia de las y los servidores públicos municipales.</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rPr>
      </w:pPr>
      <w:r w:rsidRPr="004D091F">
        <w:rPr>
          <w:rFonts w:ascii="Palatino Linotype" w:eastAsia="Palatino Linotype" w:hAnsi="Palatino Linotype" w:cs="Palatino Linotype"/>
        </w:rPr>
        <w:t xml:space="preserve"> En ese sentido, resunta aplicable la búsqueda exhaustiva del soporte documental en comento, en las áreas administrativas competentes del Sujeto Obligado que cuenta o puede contar con la información requerida, la cual consiste en localizar toda aquella que atienda la solicitud, hasta agotar por completo las posibilidades de indagación.</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b/>
          <w:b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Consecutivamente, deviene la solicitud tocante a que grupo parlamentario o partido político pertenece la Tercera Regiduría, rubro del cual tampoco existe pronunciamiento; por tanto, es necesario señalar que ciertamente los integrantes del cabildo cuentan con un partido político de procedencia, debido a que su elección es mediante un sistema que combina la representación de la mayoría con la representación proporcional.</w:t>
      </w:r>
    </w:p>
    <w:p w:rsidR="00411E6C" w:rsidRPr="004D091F" w:rsidRDefault="00411E6C">
      <w:pPr>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En el caso de la mayoría relativa, la ciudadanía que vota por una planilla completa que incluye al candidato a Presidente Municipal y una lista de candidatos a regidores y la representación proporcional, corresponderá aquellos regidores que entran por esta vía son de los partidos de oposición (los que quedaron en segundo, tercer lugar, etcétera.). Lo anterior encuentra sustente en el artículo 16 fracciones I, II y III de la Ley Orgánica Municipal del Estado de México, a saber:</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Artículo 16.- Los Ayuntamientos se renovarán cada tres años, iniciarán su periodo el 1 de enero del año inmediato siguiente al de las elecciones municipales ordinarias y concluirán el 31 de diciembre del año de las elecciones para su renovación; y se integrarán por: </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 xml:space="preserve">I. 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En esa tesitura, el documento que pudiera colmar de manera enunciativa mas no limitativa la solicitud de información, es la Constancias de Mayoría es el Instituto Electoral del Estado de México, mismo que es la autoridad electoral de carácter permanente, y profesional que, en su desempeño, se regirá por los principios de certeza, imparcialidad, independencia, legalidad, máxima publicidad, objetividad y paridad.</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 conformidad con lo dispuesto por el artículo 168 del Código Electoral del Estado de México</w:t>
      </w:r>
      <w:r w:rsidRPr="004D091F">
        <w:rPr>
          <w:rFonts w:ascii="Palatino Linotype" w:eastAsia="Palatino Linotype" w:hAnsi="Palatino Linotype" w:cs="Palatino Linotype"/>
          <w:b/>
          <w:bCs/>
        </w:rPr>
        <w:t>,</w:t>
      </w:r>
      <w:r w:rsidRPr="004D091F">
        <w:rPr>
          <w:rFonts w:ascii="Palatino Linotype" w:eastAsia="Palatino Linotype" w:hAnsi="Palatino Linotype" w:cs="Palatino Linotype"/>
        </w:rPr>
        <w:t xml:space="preserve"> tendrá entre sus funciones, las siguientes: </w:t>
      </w:r>
    </w:p>
    <w:p w:rsidR="00411E6C" w:rsidRPr="004D091F" w:rsidRDefault="008A43BF">
      <w:pPr>
        <w:spacing w:line="360" w:lineRule="auto"/>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 Garantizar los derechos y el acceso a las prerrogativas de los partidos políticos y candidatos. </w:t>
      </w:r>
    </w:p>
    <w:p w:rsidR="00411E6C" w:rsidRPr="004D091F" w:rsidRDefault="008A43BF">
      <w:pPr>
        <w:spacing w:line="360" w:lineRule="auto"/>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 xml:space="preserve">II. Llevar a cabo las actividades necesarias para la preparación de la jornada electoral. </w:t>
      </w:r>
    </w:p>
    <w:p w:rsidR="00411E6C" w:rsidRPr="004D091F" w:rsidRDefault="008A43BF">
      <w:pPr>
        <w:spacing w:line="360" w:lineRule="auto"/>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III. Expedir las constancias de mayoría y declarar la validez de la elección a los candidatos que hubiesen obtenido la mayoría de votos,</w:t>
      </w:r>
      <w:r w:rsidRPr="004D091F">
        <w:rPr>
          <w:rFonts w:ascii="Palatino Linotype" w:eastAsia="Palatino Linotype" w:hAnsi="Palatino Linotype" w:cs="Palatino Linotype"/>
          <w:i/>
          <w:iCs/>
        </w:rPr>
        <w:t xml:space="preserve"> así como la constancia de asignación a las fórmulas de representación proporcional de la Legislatura, conforme al cómputo y declaración de validez que efectúe el Instituto.</w:t>
      </w:r>
    </w:p>
    <w:p w:rsidR="00411E6C" w:rsidRPr="004D091F" w:rsidRDefault="008A43BF">
      <w:pPr>
        <w:spacing w:line="360" w:lineRule="auto"/>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IV. Supervisar las actividades que realicen los órganos distritales y municipales, durante el proceso electoral de que se trate.”</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este sentido, se traen a colación los artículos 11 y 114 de la Constitución Política del Estado Libre y Soberano de México, así como los artículos 214, 220 fracción V y 221 fracción IV del Código Electoral del Estado de México, normatividad invocada que dispone a la literalidad: </w:t>
      </w:r>
    </w:p>
    <w:p w:rsidR="00411E6C" w:rsidRPr="004D091F" w:rsidRDefault="008A43BF">
      <w:pPr>
        <w:ind w:left="850" w:right="1004"/>
        <w:jc w:val="both"/>
        <w:rPr>
          <w:rFonts w:ascii="Palatino Linotype" w:eastAsia="Palatino Linotype" w:hAnsi="Palatino Linotype" w:cs="Palatino Linotype"/>
          <w:b/>
          <w:bCs/>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 xml:space="preserve">Constitución Política del Estado Libre y Soberano de México </w:t>
      </w:r>
    </w:p>
    <w:p w:rsidR="00411E6C" w:rsidRPr="004D091F" w:rsidRDefault="00411E6C">
      <w:pPr>
        <w:ind w:left="850" w:right="1004"/>
        <w:jc w:val="both"/>
        <w:rPr>
          <w:rFonts w:ascii="Palatino Linotype" w:eastAsia="Palatino Linotype" w:hAnsi="Palatino Linotype" w:cs="Palatino Linotype"/>
          <w:i/>
          <w:iCs/>
        </w:rPr>
      </w:pP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11.-</w:t>
      </w:r>
      <w:r w:rsidRPr="004D091F">
        <w:rPr>
          <w:rFonts w:ascii="Palatino Linotype" w:eastAsia="Palatino Linotype" w:hAnsi="Palatino Linotype" w:cs="Palatino Linotype"/>
          <w:i/>
          <w:iCs/>
        </w:rPr>
        <w:t xml:space="preserve"> (…) El Instituto Electoral del Estado de México contará con servidores públicos investidos de fe pública para actos de naturaleza electoral, cuyas atribuciones y funcionamiento serán reguladas por la ley de la materia.</w:t>
      </w:r>
    </w:p>
    <w:p w:rsidR="00411E6C" w:rsidRPr="004D091F" w:rsidRDefault="00411E6C">
      <w:pPr>
        <w:ind w:left="850" w:right="1004"/>
        <w:jc w:val="both"/>
        <w:rPr>
          <w:rFonts w:ascii="Palatino Linotype" w:eastAsia="Palatino Linotype" w:hAnsi="Palatino Linotype" w:cs="Palatino Linotype"/>
          <w:i/>
          <w:iCs/>
        </w:rPr>
      </w:pP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El Instituto Electoral del Estado de México tendrá a su cargo, además de las que determine la ley de la materia, las actividades relativas al desarrollo de la democracia y la cultura política, derecho y acceso a las prerrogativas de los candidatos y partidos políticos, educación cívica, preparación de la jornada electoral, impresión de documentos y la producción de materiales electorales, escrutinios y cómputos, declaración de validez y otorgamiento de constancias en las elecciones locales, resultados preliminares, encuestas o sondeos de opinión, observación electoral, tonteo rápido y sobre mecanismos de participación ciudadana, así como las que le delegue el Instituto Nacional Electoral. (…) </w:t>
      </w:r>
    </w:p>
    <w:p w:rsidR="00411E6C" w:rsidRPr="004D091F" w:rsidRDefault="00411E6C">
      <w:pPr>
        <w:ind w:left="850" w:right="1004"/>
        <w:jc w:val="both"/>
        <w:rPr>
          <w:rFonts w:ascii="Palatino Linotype" w:eastAsia="Palatino Linotype" w:hAnsi="Palatino Linotype" w:cs="Palatino Linotype"/>
          <w:i/>
          <w:iCs/>
        </w:rPr>
      </w:pP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lastRenderedPageBreak/>
        <w:t>Artículo 114.-</w:t>
      </w:r>
      <w:r w:rsidRPr="004D091F">
        <w:rPr>
          <w:rFonts w:ascii="Palatino Linotype" w:eastAsia="Palatino Linotype" w:hAnsi="Palatino Linotype" w:cs="Palatino Linotype"/>
          <w:i/>
          <w:iCs/>
        </w:rPr>
        <w:t xml:space="preserve"> Los ayuntamientos serán electos mediante sufragio universal, libre, secreto y directo. La ley de la materia determinará la fecha de la elección. </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Las elecciones de ayuntamientos serán computadas y declaradas válidas por el órgano electoral municipal, mismo que otorgará la constancia de mayoría de los integrantes de la planilla que hubiere obtenido el mayor número de votos en términos de la ley de la materia. (…)</w:t>
      </w:r>
    </w:p>
    <w:p w:rsidR="00411E6C" w:rsidRPr="004D091F" w:rsidRDefault="00411E6C">
      <w:pPr>
        <w:ind w:left="850" w:right="1004"/>
        <w:jc w:val="both"/>
        <w:rPr>
          <w:rFonts w:ascii="Palatino Linotype" w:eastAsia="Palatino Linotype" w:hAnsi="Palatino Linotype" w:cs="Palatino Linotype"/>
          <w:i/>
          <w:iCs/>
        </w:rPr>
      </w:pPr>
    </w:p>
    <w:p w:rsidR="00411E6C" w:rsidRPr="004D091F" w:rsidRDefault="008A43BF">
      <w:pPr>
        <w:ind w:left="850" w:right="1004"/>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 xml:space="preserve">Código Electoral del Estado de México </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214.</w:t>
      </w:r>
      <w:r w:rsidRPr="004D091F">
        <w:rPr>
          <w:rFonts w:ascii="Palatino Linotype" w:eastAsia="Palatino Linotype" w:hAnsi="Palatino Linotype" w:cs="Palatino Linotype"/>
          <w:i/>
          <w:iCs/>
        </w:rPr>
        <w:t xml:space="preserve"> En cada uno de los municipios de la entidad, el Instituto contará con los siguientes órganos: </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 La Junta Municipal. </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II. El Consejo Municipal Electoral. (…)</w:t>
      </w:r>
    </w:p>
    <w:p w:rsidR="00411E6C" w:rsidRPr="004D091F" w:rsidRDefault="00411E6C">
      <w:pPr>
        <w:ind w:left="850" w:right="1004"/>
        <w:jc w:val="both"/>
        <w:rPr>
          <w:rFonts w:ascii="Palatino Linotype" w:eastAsia="Palatino Linotype" w:hAnsi="Palatino Linotype" w:cs="Palatino Linotype"/>
          <w:i/>
          <w:iCs/>
        </w:rPr>
      </w:pP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 xml:space="preserve">Artículo 220. </w:t>
      </w:r>
      <w:r w:rsidRPr="004D091F">
        <w:rPr>
          <w:rFonts w:ascii="Palatino Linotype" w:eastAsia="Palatino Linotype" w:hAnsi="Palatino Linotype" w:cs="Palatino Linotype"/>
          <w:i/>
          <w:iCs/>
        </w:rPr>
        <w:t xml:space="preserve">Los consejos municipales electorales tienen las siguientes atribuciones: </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V. Expedir la declaratoria de validez y la constancia de mayoría a la planilla que obtenga el mayor número de votos, y las constancias de asignación de regidores y síndico, por el principio de representación proporcional. </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221.</w:t>
      </w:r>
      <w:r w:rsidRPr="004D091F">
        <w:rPr>
          <w:rFonts w:ascii="Palatino Linotype" w:eastAsia="Palatino Linotype" w:hAnsi="Palatino Linotype" w:cs="Palatino Linotype"/>
          <w:i/>
          <w:iCs/>
        </w:rPr>
        <w:t xml:space="preserve"> Corresponde al Presidente del Consejo Municipal Electoral:</w:t>
      </w:r>
    </w:p>
    <w:p w:rsidR="00411E6C" w:rsidRPr="004D091F"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III.Realizar el cómputo municipal de la elección de ayuntamientos por el principio de mayoría relativa y por el principio de representación proporcional. </w:t>
      </w:r>
    </w:p>
    <w:p w:rsidR="00411E6C" w:rsidRDefault="008A43BF">
      <w:pPr>
        <w:ind w:left="850" w:right="1004"/>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IV.Expedir la Constancia a la planilla de candidatos para el Ayuntamiento que haya obtenido mayoría de votos conforme al cómputo y declaración de validez del Consejo Municipal, así como las constancias de asignación por el principio de representación proporcional.</w:t>
      </w:r>
      <w:r w:rsidRPr="004D091F">
        <w:rPr>
          <w:rFonts w:ascii="Palatino Linotype" w:eastAsia="Palatino Linotype" w:hAnsi="Palatino Linotype" w:cs="Palatino Linotype"/>
          <w:i/>
          <w:iCs/>
        </w:rPr>
        <w:t xml:space="preserve">” </w:t>
      </w:r>
    </w:p>
    <w:p w:rsidR="004D091F" w:rsidRDefault="004D091F">
      <w:pPr>
        <w:ind w:left="850" w:right="1004"/>
        <w:jc w:val="both"/>
        <w:rPr>
          <w:rFonts w:ascii="Palatino Linotype" w:eastAsia="Palatino Linotype" w:hAnsi="Palatino Linotype" w:cs="Palatino Linotype"/>
          <w:i/>
          <w:iCs/>
        </w:rPr>
      </w:pPr>
    </w:p>
    <w:p w:rsidR="004D091F" w:rsidRPr="004D091F" w:rsidRDefault="004D091F">
      <w:pPr>
        <w:ind w:left="850" w:right="1004"/>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Derivado de lo anterior, se desprende que el Instituto Electoral del Estado de México entrega a los partidos y sus integrantes la Constancia de Mayoría que los acredita como representantes de la administración municipal entrante por el periodo comprendido de cada uno de los años que inician funciones, incluyendo al Presidente Municipal, Síndicos y Regidores. </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lastRenderedPageBreak/>
        <w:t xml:space="preserve">Por lo tanto,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puede de manera enunciativa más no limitativa hacer entrega de la constancia de mayoría del regidor de referencia en la solicitud de acceso a la información pública, ya que es de explorado derecho que el acceso a la información pública se colma con la entrega del soporte documental en que conste o se advierta lo solicitado sin la necesidad de elaborar documentos </w:t>
      </w:r>
      <w:r w:rsidRPr="004D091F">
        <w:rPr>
          <w:rFonts w:ascii="Palatino Linotype" w:eastAsia="Palatino Linotype" w:hAnsi="Palatino Linotype" w:cs="Palatino Linotype"/>
          <w:i/>
          <w:iCs/>
        </w:rPr>
        <w:t>ad hoc</w:t>
      </w:r>
      <w:r w:rsidRPr="004D091F">
        <w:rPr>
          <w:rFonts w:ascii="Palatino Linotype" w:eastAsia="Palatino Linotype" w:hAnsi="Palatino Linotype" w:cs="Palatino Linotype"/>
        </w:rPr>
        <w:t xml:space="preserve"> para atender las solicitudes de información de los </w:t>
      </w:r>
      <w:r w:rsidRPr="004D091F">
        <w:rPr>
          <w:rFonts w:ascii="Palatino Linotype" w:eastAsia="Palatino Linotype" w:hAnsi="Palatino Linotype" w:cs="Palatino Linotype"/>
          <w:color w:val="000000"/>
        </w:rPr>
        <w:t>particulares</w:t>
      </w:r>
      <w:r w:rsidRPr="004D091F">
        <w:rPr>
          <w:rFonts w:ascii="Palatino Linotype" w:eastAsia="Palatino Linotype" w:hAnsi="Palatino Linotype" w:cs="Palatino Linotype"/>
        </w:rPr>
        <w:t xml:space="preserve"> conforme a sus intereses particulares (como se advierte del caso concreto con el oficio remitido en respuesta), como apoyo a lo anterior, es aplicable por analogía el </w:t>
      </w:r>
      <w:r w:rsidRPr="004D091F">
        <w:rPr>
          <w:rFonts w:ascii="Palatino Linotype" w:eastAsia="Palatino Linotype" w:hAnsi="Palatino Linotype" w:cs="Palatino Linotype"/>
          <w:b/>
          <w:bCs/>
        </w:rPr>
        <w:t>Criterio 03/17</w:t>
      </w:r>
      <w:r w:rsidRPr="004D091F">
        <w:rPr>
          <w:rFonts w:ascii="Palatino Linotype" w:eastAsia="Palatino Linotype" w:hAnsi="Palatino Linotype" w:cs="Palatino Linotype"/>
        </w:rPr>
        <w:t>, emitido por el Pleno del Instituto Nacional de Transparencia, Acceso a la Información y Protección de Datos Personales (INAI), que a la letra dice:</w:t>
      </w:r>
    </w:p>
    <w:p w:rsidR="00411E6C" w:rsidRPr="004D091F" w:rsidRDefault="008A43BF">
      <w:pPr>
        <w:pBdr>
          <w:top w:val="nil"/>
          <w:left w:val="nil"/>
          <w:bottom w:val="nil"/>
          <w:right w:val="nil"/>
          <w:between w:val="nil"/>
        </w:pBdr>
        <w:ind w:left="567" w:right="618"/>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b/>
          <w:bCs/>
          <w:i/>
          <w:iCs/>
          <w:color w:val="000000"/>
        </w:rPr>
        <w:t xml:space="preserve">“No existe obligación de elaborar documentos ad hoc para atender las solicitudes de acceso a la información. </w:t>
      </w:r>
      <w:r w:rsidRPr="004D091F">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1E6C" w:rsidRPr="004D091F" w:rsidRDefault="00411E6C">
      <w:pPr>
        <w:pBdr>
          <w:top w:val="nil"/>
          <w:left w:val="nil"/>
          <w:bottom w:val="nil"/>
          <w:right w:val="nil"/>
          <w:between w:val="nil"/>
        </w:pBdr>
        <w:spacing w:line="360" w:lineRule="auto"/>
        <w:ind w:left="567" w:right="618"/>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color w:val="000000"/>
        </w:rPr>
        <w:t>También lo es que</w:t>
      </w:r>
      <w:r w:rsidRPr="004D091F">
        <w:rPr>
          <w:rFonts w:ascii="Palatino Linotype" w:eastAsia="Palatino Linotype" w:hAnsi="Palatino Linotype" w:cs="Palatino Linotype"/>
        </w:rPr>
        <w:t xml:space="preserve"> no existe normatividad o precepto legal </w:t>
      </w:r>
      <w:r w:rsidRPr="004D091F">
        <w:rPr>
          <w:rFonts w:ascii="Palatino Linotype" w:eastAsia="Palatino Linotype" w:hAnsi="Palatino Linotype" w:cs="Palatino Linotype"/>
          <w:b/>
          <w:bCs/>
        </w:rPr>
        <w:t>que lo impida</w:t>
      </w:r>
      <w:r w:rsidRPr="004D091F">
        <w:rPr>
          <w:rFonts w:ascii="Palatino Linotype" w:eastAsia="Palatino Linotype" w:hAnsi="Palatino Linotype" w:cs="Palatino Linotype"/>
        </w:rPr>
        <w:t>, e</w:t>
      </w:r>
      <w:r w:rsidRPr="004D091F">
        <w:rPr>
          <w:rFonts w:ascii="Palatino Linotype" w:eastAsia="Palatino Linotype" w:hAnsi="Palatino Linotype" w:cs="Palatino Linotype"/>
          <w:color w:val="000000"/>
        </w:rPr>
        <w:t xml:space="preserve">n síntesis, el derecho de acceso a la información pública se satisface en aquellos casos en </w:t>
      </w:r>
      <w:r w:rsidRPr="004D091F">
        <w:rPr>
          <w:rFonts w:ascii="Palatino Linotype" w:eastAsia="Palatino Linotype" w:hAnsi="Palatino Linotype" w:cs="Palatino Linotype"/>
        </w:rPr>
        <w:t>que</w:t>
      </w:r>
      <w:r w:rsidRPr="004D091F">
        <w:rPr>
          <w:rFonts w:ascii="Palatino Linotype" w:eastAsia="Palatino Linotype" w:hAnsi="Palatino Linotype" w:cs="Palatino Linotype"/>
          <w:color w:val="000000"/>
        </w:rPr>
        <w:t xml:space="preserve"> </w:t>
      </w:r>
      <w:r w:rsidRPr="004D091F">
        <w:rPr>
          <w:rFonts w:ascii="Palatino Linotype" w:eastAsia="Palatino Linotype" w:hAnsi="Palatino Linotype" w:cs="Palatino Linotype"/>
        </w:rPr>
        <w:t>se</w:t>
      </w:r>
      <w:r w:rsidRPr="004D091F">
        <w:rPr>
          <w:rFonts w:ascii="Palatino Linotype" w:eastAsia="Palatino Linotype" w:hAnsi="Palatino Linotype" w:cs="Palatino Linotype"/>
          <w:color w:val="000000"/>
        </w:rPr>
        <w:t xml:space="preserve"> entregue el soporte documental en que conste la información pública.</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 xml:space="preserve">Por otro lado, respecto de la solicitud </w:t>
      </w:r>
      <w:r w:rsidRPr="004D091F">
        <w:rPr>
          <w:rFonts w:ascii="Palatino Linotype" w:eastAsia="Palatino Linotype" w:hAnsi="Palatino Linotype" w:cs="Palatino Linotype"/>
          <w:color w:val="000000"/>
        </w:rPr>
        <w:t>relativa</w:t>
      </w:r>
      <w:r w:rsidRPr="004D091F">
        <w:rPr>
          <w:rFonts w:ascii="Palatino Linotype" w:eastAsia="Palatino Linotype" w:hAnsi="Palatino Linotype" w:cs="Palatino Linotype"/>
        </w:rPr>
        <w:t xml:space="preserve"> a las propuestas realizadas en favor de los toluqueños y cuantas han sido aprobadas, la fecha y las determinaciones de las Actas de Cabildo, rubro del cual no fue emitido pronunciamiento alguno.</w:t>
      </w:r>
    </w:p>
    <w:p w:rsidR="00411E6C" w:rsidRPr="004D091F" w:rsidRDefault="00411E6C">
      <w:pPr>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Al respecto, ciertamente los regidores tienen la facultad de presentar iniciativas y propuestas en una amplia variedad de temas, que normalmente se discuten en las comisiones de trabajo a las que pertenecen dentro del Cabildo, lo anterior encuentra sustento en el artículo 55 fracción de la Ley Orgánica Municipal del Estado de México:</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“Artículo 55.- Son atribuciones de los regidores, las siguientes:</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V. </w:t>
      </w:r>
      <w:r w:rsidRPr="004D091F">
        <w:rPr>
          <w:rFonts w:ascii="Palatino Linotype" w:eastAsia="Palatino Linotype" w:hAnsi="Palatino Linotype" w:cs="Palatino Linotype"/>
          <w:b/>
          <w:bCs/>
          <w:i/>
          <w:iCs/>
        </w:rPr>
        <w:t>Proponer al ayuntamiento</w:t>
      </w:r>
      <w:r w:rsidRPr="004D091F">
        <w:rPr>
          <w:rFonts w:ascii="Palatino Linotype" w:eastAsia="Palatino Linotype" w:hAnsi="Palatino Linotype" w:cs="Palatino Linotype"/>
          <w:i/>
          <w:iCs/>
        </w:rPr>
        <w:t>, alternativas de solución para la debida atención de los diferentes sectores de la administración municipal;</w:t>
      </w:r>
    </w:p>
    <w:p w:rsidR="00411E6C" w:rsidRPr="004D091F" w:rsidRDefault="008A43B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Como se aprecia, los regidores tienen de entre sus funciones la de proponer soluciones a los problemas y necesidades del Municipio, pues en esencia, los regidores son representantes de la ciudadanía elegidos para formar parte del Ayuntamiento y participar en la toma de decisiones, con la responsabilidad de atender las quejas y peticiones de la comunidad, por tanto, es dable que se realice dicha búsqueda y se entregue el soporte documental que dé cuenta de lo solicitado.</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t>Relativo a las actas de cabildo, e</w:t>
      </w:r>
      <w:r w:rsidRPr="004D091F">
        <w:rPr>
          <w:rFonts w:ascii="Palatino Linotype" w:eastAsia="Palatino Linotype" w:hAnsi="Palatino Linotype" w:cs="Palatino Linotype"/>
          <w:color w:val="000000"/>
        </w:rPr>
        <w:t xml:space="preserve">s transcendental mencionar que el Ayuntamiento, como </w:t>
      </w:r>
      <w:r w:rsidRPr="004D091F">
        <w:rPr>
          <w:rFonts w:ascii="Palatino Linotype" w:eastAsia="Palatino Linotype" w:hAnsi="Palatino Linotype" w:cs="Palatino Linotype"/>
        </w:rPr>
        <w:t>órgano</w:t>
      </w:r>
      <w:r w:rsidRPr="004D091F">
        <w:rPr>
          <w:rFonts w:ascii="Palatino Linotype" w:eastAsia="Palatino Linotype" w:hAnsi="Palatino Linotype" w:cs="Palatino Linotype"/>
          <w:color w:val="000000"/>
        </w:rPr>
        <w:t xml:space="preserve"> colegiado y deliberante, es la autoridad máxima en un municipio, y cuyas </w:t>
      </w:r>
      <w:r w:rsidRPr="004D091F">
        <w:rPr>
          <w:rFonts w:ascii="Palatino Linotype" w:eastAsia="Palatino Linotype" w:hAnsi="Palatino Linotype" w:cs="Palatino Linotype"/>
          <w:color w:val="000000"/>
        </w:rPr>
        <w:lastRenderedPageBreak/>
        <w:t>decisiones se establecen a través de las sesiones de cabildo que para tal efecto lleve a cabo, tal y como lo establece el artículo 30 de la misma Ley Orgánica que a la letra dice:</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30. Las sesiones del ayuntamiento serán presididas por el presidente municipal</w:t>
      </w:r>
      <w:r w:rsidRPr="004D091F">
        <w:rPr>
          <w:rFonts w:ascii="Palatino Linotype" w:eastAsia="Palatino Linotype" w:hAnsi="Palatino Linotype" w:cs="Palatino Linotype"/>
          <w:i/>
          <w:iCs/>
        </w:rPr>
        <w:t xml:space="preserve"> o por quien lo sustituya legalmente; </w:t>
      </w:r>
      <w:r w:rsidRPr="004D091F">
        <w:rPr>
          <w:rFonts w:ascii="Palatino Linotype" w:eastAsia="Palatino Linotype" w:hAnsi="Palatino Linotype" w:cs="Palatino Linotype"/>
          <w:b/>
          <w:bCs/>
          <w:i/>
          <w:iCs/>
          <w:u w:val="single"/>
        </w:rPr>
        <w:t>constarán en un libro que deberá contener las actas en las cuales deberán asentarse los extractos de los acuerdos y asuntos tratados y el resultado de la votación</w:t>
      </w:r>
      <w:r w:rsidRPr="004D091F">
        <w:rPr>
          <w:rFonts w:ascii="Palatino Linotype" w:eastAsia="Palatino Linotype" w:hAnsi="Palatino Linotype" w:cs="Palatino Linotype"/>
          <w:i/>
          <w:iCs/>
        </w:rPr>
        <w:t xml:space="preserve">. </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De las actas, se les entregará copia certificada en formato físico o electrónico a los integrantes del Ayuntamiento que lo soliciten en un plazo no mayor de ocho días hábiles. </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Los documentos electrónicos en el que consten las firmas electrónicas avanzadas o el sello electrónico de los integrantes del Ayuntamiento tendrá el carácter de copia certificada. </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rsidR="00411E6C" w:rsidRPr="004D091F" w:rsidRDefault="00411E6C">
      <w:pPr>
        <w:spacing w:line="360" w:lineRule="auto"/>
        <w:ind w:left="426" w:right="616"/>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t>De igual forma, el artículo 91 de dicho ordenamiento señala:</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91.- La Secretaría del Ayuntamiento estará a cargo de un Secretario</w:t>
      </w:r>
      <w:r w:rsidRPr="004D091F">
        <w:rPr>
          <w:rFonts w:ascii="Palatino Linotype" w:eastAsia="Palatino Linotype" w:hAnsi="Palatino Linotype" w:cs="Palatino Linotype"/>
          <w:i/>
          <w:iCs/>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411E6C" w:rsidRPr="004D091F" w:rsidRDefault="008A43BF">
      <w:pPr>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lastRenderedPageBreak/>
        <w:t>I. Asistir a las sesiones del ayuntamiento y levantar las actas correspondientes;</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IV. Llevar y conservar los libros de actas de cabildo, obteniendo las firmas de los asistentes a las sesiones…”</w:t>
      </w:r>
    </w:p>
    <w:p w:rsidR="00411E6C" w:rsidRPr="004D091F" w:rsidRDefault="00411E6C">
      <w:pPr>
        <w:spacing w:line="360" w:lineRule="auto"/>
        <w:ind w:right="-567"/>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Con base en lo anterior, se acredita que el Ayuntamiento de Toluca, como órgano colegiado, tuvo que sesionar cuando menos una vez cada ocho días, cuantas veces sea necesario en asunto de urgente resolución, bimestralmente y anual, respectivamente,</w:t>
      </w:r>
      <w:r w:rsidRPr="004D091F">
        <w:rPr>
          <w:rFonts w:ascii="Palatino Linotype" w:eastAsia="Palatino Linotype" w:hAnsi="Palatino Linotype" w:cs="Palatino Linotype"/>
          <w:color w:val="000000"/>
        </w:rPr>
        <w:t xml:space="preserve"> con la mayoría de sus integrantes y que toda </w:t>
      </w:r>
      <w:r w:rsidRPr="004D091F">
        <w:rPr>
          <w:rFonts w:ascii="Palatino Linotype" w:eastAsia="Palatino Linotype" w:hAnsi="Palatino Linotype" w:cs="Palatino Linotype"/>
        </w:rPr>
        <w:t xml:space="preserve">sesión constará en un libro de Actas, sesiones que presidirá el Presidente Municipal de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documento que deberá publicarse en la gaceta municipal y en los estrados de la Secretaría del Ayuntamiento, para el conocimiento de los habitantes del municipio, sólo en los casos de que las sesiones que no contengan información clasificada, así como los datos de identificación de las actas que contengan información clasificada, incluyendo en cada caso, el fundamento legal que clasifica la información, en donde también deberán estar disponibles en la página de internet del Ayuntamiento y en las oficinas de la Secretaría del Ayuntamiento y en donde el Secretario del Ayuntamiento de Toluca se debió cerciorar la correcta identificación de los miembros del Ayuntamiento, sus intervenciones y el sentido de las votación, de la cual debió guardar una copia íntegra de la sesión en el libro de actas de cabildo, por lo que deberá de realizarse la búsqueda de aquellas actas en donde se hayan aprobado las propuesta realizadas.</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Con relación a lo anterior, se localizó la siguiente nota periodística:</w:t>
      </w:r>
    </w:p>
    <w:p w:rsidR="00411E6C" w:rsidRPr="004D091F" w:rsidRDefault="008A43BF">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lastRenderedPageBreak/>
        <w:drawing>
          <wp:inline distT="0" distB="0" distL="0" distR="0">
            <wp:extent cx="4566652" cy="3558557"/>
            <wp:effectExtent l="0" t="0" r="0" b="0"/>
            <wp:docPr id="1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66652" cy="3558557"/>
                    </a:xfrm>
                    <a:prstGeom prst="rect">
                      <a:avLst/>
                    </a:prstGeom>
                    <a:ln/>
                  </pic:spPr>
                </pic:pic>
              </a:graphicData>
            </a:graphic>
          </wp:inline>
        </w:drawing>
      </w:r>
    </w:p>
    <w:p w:rsidR="00411E6C" w:rsidRPr="004D091F" w:rsidRDefault="008A43BF">
      <w:pPr>
        <w:pBdr>
          <w:top w:val="nil"/>
          <w:left w:val="nil"/>
          <w:bottom w:val="nil"/>
          <w:right w:val="nil"/>
          <w:between w:val="nil"/>
        </w:pBdr>
        <w:spacing w:line="360" w:lineRule="auto"/>
        <w:ind w:right="49"/>
        <w:jc w:val="center"/>
        <w:rPr>
          <w:rFonts w:ascii="Palatino Linotype" w:eastAsia="Palatino Linotype" w:hAnsi="Palatino Linotype" w:cs="Palatino Linotype"/>
          <w:i/>
          <w:iCs/>
        </w:rPr>
      </w:pPr>
      <w:r w:rsidRPr="004D091F">
        <w:rPr>
          <w:rFonts w:ascii="Palatino Linotype" w:eastAsia="Palatino Linotype" w:hAnsi="Palatino Linotype" w:cs="Palatino Linotype"/>
          <w:i/>
          <w:iCs/>
        </w:rPr>
        <w:t>https://diarioportal.com/toluca/buscan-mayor-contundencia-en-acciones-de-proteccion-animal-en-toluca</w:t>
      </w:r>
    </w:p>
    <w:p w:rsidR="00411E6C" w:rsidRPr="004D091F" w:rsidRDefault="00411E6C">
      <w:pPr>
        <w:pBdr>
          <w:top w:val="nil"/>
          <w:left w:val="nil"/>
          <w:bottom w:val="nil"/>
          <w:right w:val="nil"/>
          <w:between w:val="nil"/>
        </w:pBdr>
        <w:spacing w:line="360" w:lineRule="auto"/>
        <w:ind w:right="49"/>
        <w:jc w:val="center"/>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Por tanto, se concluye que existen hechos notorios que permiten presumir que lo solicitado se generó, posee y administra. Sirven de </w:t>
      </w:r>
      <w:r w:rsidRPr="004D091F">
        <w:rPr>
          <w:rFonts w:ascii="Palatino Linotype" w:eastAsia="Palatino Linotype" w:hAnsi="Palatino Linotype" w:cs="Palatino Linotype"/>
          <w:color w:val="000000"/>
        </w:rPr>
        <w:t>criterios</w:t>
      </w:r>
      <w:r w:rsidRPr="004D091F">
        <w:rPr>
          <w:rFonts w:ascii="Palatino Linotype" w:eastAsia="Palatino Linotype" w:hAnsi="Palatino Linotype" w:cs="Palatino Linotype"/>
        </w:rPr>
        <w:t xml:space="preserve"> orientadores las Tesis P./J. 74/2006 y I.3o.C.102 K, emitidas por el más alto tribunal de este país, y que son del tenor literal siguiente:</w:t>
      </w:r>
    </w:p>
    <w:p w:rsidR="00411E6C" w:rsidRPr="004D091F" w:rsidRDefault="008A43BF">
      <w:pPr>
        <w:spacing w:line="360" w:lineRule="auto"/>
        <w:ind w:left="426" w:right="474"/>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b/>
          <w:bCs/>
          <w:color w:val="000000"/>
        </w:rPr>
        <w:t>HECHOS NOTORIOS. CONCEPTOS GENERAL Y JURÍDICO.</w:t>
      </w:r>
    </w:p>
    <w:p w:rsidR="00411E6C" w:rsidRPr="004D091F" w:rsidRDefault="008A43BF">
      <w:pPr>
        <w:spacing w:line="360" w:lineRule="auto"/>
        <w:ind w:left="426" w:right="474"/>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Conforme al artículo </w:t>
      </w:r>
      <w:r w:rsidRPr="004D091F">
        <w:rPr>
          <w:rFonts w:ascii="Palatino Linotype" w:eastAsia="Palatino Linotype" w:hAnsi="Palatino Linotype" w:cs="Palatino Linotype"/>
          <w:i/>
          <w:iCs/>
          <w:color w:val="000000"/>
          <w:u w:val="single"/>
        </w:rPr>
        <w:t>88 del Código Federal de Procedimientos Civiles</w:t>
      </w:r>
      <w:r w:rsidRPr="004D091F">
        <w:rPr>
          <w:rFonts w:ascii="Palatino Linotype" w:eastAsia="Palatino Linotype" w:hAnsi="Palatino Linotype" w:cs="Palatino Linotype"/>
          <w:i/>
          <w:iCs/>
          <w:color w:val="000000"/>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w:t>
      </w:r>
      <w:r w:rsidRPr="004D091F">
        <w:rPr>
          <w:rFonts w:ascii="Palatino Linotype" w:eastAsia="Palatino Linotype" w:hAnsi="Palatino Linotype" w:cs="Palatino Linotype"/>
          <w:i/>
          <w:iCs/>
          <w:color w:val="000000"/>
        </w:rPr>
        <w:lastRenderedPageBreak/>
        <w:t>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411E6C" w:rsidRPr="004D091F" w:rsidRDefault="00411E6C">
      <w:pPr>
        <w:spacing w:line="360" w:lineRule="auto"/>
        <w:ind w:left="426" w:right="474"/>
        <w:jc w:val="both"/>
        <w:rPr>
          <w:rFonts w:ascii="Palatino Linotype" w:eastAsia="Palatino Linotype" w:hAnsi="Palatino Linotype" w:cs="Palatino Linotype"/>
          <w:i/>
          <w:iCs/>
          <w:color w:val="000000"/>
        </w:rPr>
      </w:pPr>
    </w:p>
    <w:p w:rsidR="00411E6C" w:rsidRPr="004D091F" w:rsidRDefault="008A43BF">
      <w:pPr>
        <w:spacing w:line="360" w:lineRule="auto"/>
        <w:ind w:left="426" w:right="474"/>
        <w:jc w:val="both"/>
        <w:rPr>
          <w:rFonts w:ascii="Palatino Linotype" w:eastAsia="Palatino Linotype" w:hAnsi="Palatino Linotype" w:cs="Palatino Linotype"/>
          <w:b/>
          <w:bCs/>
          <w:i/>
          <w:iCs/>
          <w:color w:val="000000"/>
        </w:rPr>
      </w:pPr>
      <w:r w:rsidRPr="004D091F">
        <w:rPr>
          <w:rFonts w:ascii="Palatino Linotype" w:eastAsia="Palatino Linotype" w:hAnsi="Palatino Linotype" w:cs="Palatino Linotype"/>
          <w:b/>
          <w:bCs/>
          <w:i/>
          <w:iCs/>
          <w:color w:val="000000"/>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rsidR="00411E6C" w:rsidRPr="004D091F" w:rsidRDefault="008A43BF">
      <w:pPr>
        <w:spacing w:line="360" w:lineRule="auto"/>
        <w:ind w:left="426" w:right="333"/>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Conforme a lo establecido por la Suprema Corte de Justicia de la Nación, en relación a lo dispuesto en el artículo </w:t>
      </w:r>
      <w:hyperlink r:id="rId14">
        <w:r w:rsidRPr="004D091F">
          <w:rPr>
            <w:rFonts w:ascii="Palatino Linotype" w:eastAsia="Palatino Linotype" w:hAnsi="Palatino Linotype" w:cs="Palatino Linotype"/>
            <w:i/>
            <w:iCs/>
            <w:color w:val="000000"/>
          </w:rPr>
          <w:t>88 del Código Federal de Procedimientos Civiles</w:t>
        </w:r>
      </w:hyperlink>
      <w:r w:rsidRPr="004D091F">
        <w:rPr>
          <w:rFonts w:ascii="Palatino Linotype" w:eastAsia="Palatino Linotype" w:hAnsi="Palatino Linotype" w:cs="Palatino Linotype"/>
          <w:i/>
          <w:iCs/>
          <w:color w:val="000000"/>
        </w:rPr>
        <w:t xml:space="preserve">,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78 de la Ley de Amparo, que consiste en analizar el acto reclamado tal como aparezca probado ante la autoridad responsable, cuando la quejosa intervino como parte y estuvo en aptitud legal de ofrecer todos aquellos medios de prueba que a su interés conviniera en el juicio de origen y el </w:t>
      </w:r>
      <w:r w:rsidRPr="004D091F">
        <w:rPr>
          <w:rFonts w:ascii="Palatino Linotype" w:eastAsia="Palatino Linotype" w:hAnsi="Palatino Linotype" w:cs="Palatino Linotype"/>
          <w:i/>
          <w:iCs/>
          <w:color w:val="000000"/>
        </w:rPr>
        <w:lastRenderedPageBreak/>
        <w:t>hecho notorio respecto del cual se alegue, ya sea en el juicio de amparo biinstancial o en la revisión de la sentencia ahí dictada que en su caso se recurra, que debió ser invocado por el Juez de Distrito, tiene por objeto probar la legalidad de la referida sentencia o aspectos que debieron formar parte de la litis del juicio natural y probarse en esa oportunidad con las actuaciones y sentencias que se hayan dictado en los diversos juicios de amparo relacionados con el juicio principal en el que se emitió la resolución reclamada. La controversia de origen 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aún cuando las pruebas de que se trate el recurrente las exhiba hasta la revisión sin haberlas ofrecido en la audiencia constitucional.</w:t>
      </w:r>
    </w:p>
    <w:p w:rsidR="00411E6C" w:rsidRPr="004D091F" w:rsidRDefault="00411E6C">
      <w:pPr>
        <w:spacing w:line="360" w:lineRule="auto"/>
        <w:ind w:left="426" w:right="333"/>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Asimismo, cabe traer a colación por analogía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D091F">
        <w:rPr>
          <w:rFonts w:ascii="Palatino Linotype" w:eastAsia="Palatino Linotype" w:hAnsi="Palatino Linotype" w:cs="Palatino Linotype"/>
          <w:b/>
          <w:bCs/>
          <w:i/>
          <w:iCs/>
        </w:rPr>
        <w:t xml:space="preserve">“NOTAS PERIODISTICAS, EL CONOCIMIENTO QUE DE ELLAS SE OBTIENE NO CONSTITUYE </w:t>
      </w:r>
      <w:r w:rsidRPr="004D091F">
        <w:rPr>
          <w:rFonts w:ascii="Palatino Linotype" w:eastAsia="Palatino Linotype" w:hAnsi="Palatino Linotype" w:cs="Palatino Linotype"/>
          <w:b/>
          <w:bCs/>
          <w:i/>
          <w:iCs/>
        </w:rPr>
        <w:lastRenderedPageBreak/>
        <w:t>‘UN HECHO PUBLICO Y NOTORIO’”</w:t>
      </w:r>
      <w:r w:rsidRPr="004D091F">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w:t>
      </w:r>
      <w:r w:rsidR="00AC33A2" w:rsidRPr="004D091F">
        <w:rPr>
          <w:rFonts w:ascii="Palatino Linotype" w:eastAsia="Palatino Linotype" w:hAnsi="Palatino Linotype" w:cs="Palatino Linotype"/>
        </w:rPr>
        <w:t xml:space="preserve">; empero también lo es que no resulta motivo suficiente para determinar que en el periodo que se ordena la información si se haya generado, poseído o administrado propuesta. Por lo que de ser el caso que luego de la búsqueda exhaustiva y razonable, no se localizara soporte documental al respecto, bastara con que lo haga del conocimiento del </w:t>
      </w:r>
      <w:r w:rsidR="00AC33A2" w:rsidRPr="004D091F">
        <w:rPr>
          <w:rFonts w:ascii="Palatino Linotype" w:eastAsia="Palatino Linotype" w:hAnsi="Palatino Linotype" w:cs="Palatino Linotype"/>
          <w:b/>
        </w:rPr>
        <w:t>RECURRENTE</w:t>
      </w:r>
      <w:r w:rsidR="00AC33A2" w:rsidRPr="004D091F">
        <w:rPr>
          <w:rFonts w:ascii="Palatino Linotype" w:eastAsia="Palatino Linotype" w:hAnsi="Palatino Linotype" w:cs="Palatino Linotype"/>
        </w:rPr>
        <w:t xml:space="preserve"> al momento de dar cumplimiento a la presente Resolución.</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color w:val="000000"/>
        </w:rPr>
        <w:t>Finalmente, a este respecto, es menester señalar que</w:t>
      </w:r>
      <w:r w:rsidRPr="004D091F">
        <w:rPr>
          <w:rFonts w:ascii="Palatino Linotype" w:eastAsia="Palatino Linotype" w:hAnsi="Palatino Linotype" w:cs="Palatino Linotype"/>
        </w:rPr>
        <w:t xml:space="preserve"> las actas de cabildo constituyen una obligación de transparencia común, que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genera, administra y posee en sus archivos, ello conforme a lo previsto por el artículo 92 fracción L de la Ley de Transparencia y Acceso a la Información Pública del Estado de México y Municipios; que a la letra cita:</w:t>
      </w:r>
    </w:p>
    <w:p w:rsidR="00411E6C" w:rsidRPr="004D091F" w:rsidRDefault="008A43BF">
      <w:pPr>
        <w:tabs>
          <w:tab w:val="left" w:pos="567"/>
        </w:tabs>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92</w:t>
      </w:r>
      <w:r w:rsidRPr="004D091F">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numPr>
          <w:ilvl w:val="0"/>
          <w:numId w:val="3"/>
        </w:numPr>
        <w:ind w:left="851" w:right="616"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u w:val="single"/>
        </w:rPr>
        <w:t>Las actas de sesiones ordinarias y extraordinarias</w:t>
      </w:r>
      <w:r w:rsidRPr="004D091F">
        <w:rPr>
          <w:rFonts w:ascii="Palatino Linotype" w:eastAsia="Palatino Linotype" w:hAnsi="Palatino Linotype" w:cs="Palatino Linotype"/>
          <w:b/>
          <w:bCs/>
          <w:i/>
          <w:iCs/>
        </w:rPr>
        <w:t xml:space="preserve">, </w:t>
      </w:r>
      <w:r w:rsidRPr="004D091F">
        <w:rPr>
          <w:rFonts w:ascii="Palatino Linotype" w:eastAsia="Palatino Linotype" w:hAnsi="Palatino Linotype" w:cs="Palatino Linotype"/>
          <w:i/>
          <w:iCs/>
        </w:rPr>
        <w:t>así como las opiniones y recomendaciones de los consejos consultivos;</w:t>
      </w:r>
    </w:p>
    <w:p w:rsidR="00411E6C" w:rsidRPr="004D091F" w:rsidRDefault="00411E6C">
      <w:pPr>
        <w:ind w:left="1571" w:right="616"/>
        <w:jc w:val="both"/>
        <w:rPr>
          <w:rFonts w:ascii="Palatino Linotype" w:eastAsia="Palatino Linotype" w:hAnsi="Palatino Linotype" w:cs="Palatino Linotype"/>
          <w:b/>
          <w:bCs/>
          <w:i/>
          <w:iCs/>
        </w:rPr>
      </w:pP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94.</w:t>
      </w:r>
      <w:r w:rsidRPr="004D091F">
        <w:rPr>
          <w:rFonts w:ascii="Palatino Linotype" w:eastAsia="Palatino Linotype" w:hAnsi="Palatino Linotype" w:cs="Palatino Linotype"/>
          <w:i/>
          <w:iCs/>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411E6C" w:rsidRPr="004D091F" w:rsidRDefault="008A43BF">
      <w:pPr>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II. Adicionalmente en el caso de los municipios:</w:t>
      </w:r>
    </w:p>
    <w:p w:rsidR="00411E6C" w:rsidRPr="004D091F" w:rsidRDefault="008A43BF">
      <w:pPr>
        <w:ind w:left="851" w:right="616"/>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a) El contenido de las gacetas municipales, las cuales deberán comprender los resolutivos y acuerdos aprobados por los ayuntamientos;</w:t>
      </w:r>
    </w:p>
    <w:p w:rsidR="00411E6C" w:rsidRPr="004D091F" w:rsidRDefault="008A43BF">
      <w:pPr>
        <w:ind w:left="851" w:right="616"/>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 xml:space="preserve">b) </w:t>
      </w:r>
      <w:r w:rsidRPr="004D091F">
        <w:rPr>
          <w:rFonts w:ascii="Palatino Linotype" w:eastAsia="Palatino Linotype" w:hAnsi="Palatino Linotype" w:cs="Palatino Linotype"/>
          <w:b/>
          <w:bCs/>
          <w:i/>
          <w:iCs/>
          <w:u w:val="single"/>
        </w:rPr>
        <w:t>Las actas de sesiones de cabildo</w:t>
      </w:r>
      <w:r w:rsidRPr="004D091F">
        <w:rPr>
          <w:rFonts w:ascii="Palatino Linotype" w:eastAsia="Palatino Linotype" w:hAnsi="Palatino Linotype" w:cs="Palatino Linotype"/>
          <w:b/>
          <w:bCs/>
          <w:i/>
          <w:iCs/>
        </w:rPr>
        <w:t xml:space="preserve">, </w:t>
      </w:r>
      <w:r w:rsidRPr="004D091F">
        <w:rPr>
          <w:rFonts w:ascii="Palatino Linotype" w:eastAsia="Palatino Linotype" w:hAnsi="Palatino Linotype" w:cs="Palatino Linotype"/>
          <w:b/>
          <w:bCs/>
          <w:i/>
          <w:iCs/>
          <w:u w:val="single"/>
        </w:rPr>
        <w:t>los controles de asistencia de los integrantes del Ayuntamiento a las sesiones de cabildo y el sentido de votación de los miembros de cabildo sobre las iniciativas o acuerdos</w:t>
      </w:r>
      <w:r w:rsidRPr="004D091F">
        <w:rPr>
          <w:rFonts w:ascii="Palatino Linotype" w:eastAsia="Palatino Linotype" w:hAnsi="Palatino Linotype" w:cs="Palatino Linotype"/>
          <w:i/>
          <w:iCs/>
        </w:rPr>
        <w:t>…”</w:t>
      </w:r>
    </w:p>
    <w:p w:rsidR="00411E6C" w:rsidRPr="004D091F" w:rsidRDefault="00411E6C">
      <w:pPr>
        <w:spacing w:line="360" w:lineRule="auto"/>
        <w:ind w:right="616"/>
        <w:jc w:val="both"/>
        <w:rPr>
          <w:rFonts w:ascii="Palatino Linotype" w:eastAsia="Palatino Linotype" w:hAnsi="Palatino Linotype" w:cs="Palatino Linotype"/>
          <w:b/>
          <w:bCs/>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Ahora bien, respecto del número de horas al día de trabajo en oficina y del número de horas al día de trabajo en campo del Tercer Regidor, se debe establecer con puntualidad que no existe un marco normativo que establezca un horario fijo u obligatorio para los regidores en oficina y en campo, tampoco una fuente obligacional que constriña a computar el tiempo que disponga en oficina o en campo; toda vez que su tiempo de dedicación depende de los acuerdos internos de los ayuntamientos y de la disponibilidad del Regidor en cuestión, ya que son cargos de elección popular quienes deben organizar su tiempo para cumplir con las sesiones de Cabildo, las comisiones y la atención a los ciudadanos, pero los horarios específicos de estas actividades son definidos por cada ayuntamiento, no por una ley, reglamento o manual, como se desprende de las atribuciones contenidas en la Ley Orgánica Municipal del Estado de México, a saber:</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“Artículo 55.- Son atribuciones de los regidores, las siguientes: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I. Asistir puntualmente a las sesiones que celebre el ayuntamiento;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II. Suplir al presidente municipal en sus faltas temporales, en los términos establecidos por este ordenamiento;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III. Vigilar y atender el sector de la administración municipal que les sea encomendado por el ayuntamiento;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IV. Participar responsablemente en las comisiones conferidas por el ayuntamiento y aquéllas que le designe en forma concreta el presidente municipal;</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lastRenderedPageBreak/>
        <w:t xml:space="preserve">V. Proponer al ayuntamiento, alternativas de solución para la debida atención de los diferentes sectores de la administración municipal;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VI. Promover la participación ciudadana en apoyo a los programas que formule y apruebe el ayuntamiento;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VII. Firmar las Actas de Cabildo, y </w:t>
      </w:r>
    </w:p>
    <w:p w:rsidR="00411E6C" w:rsidRPr="004D091F" w:rsidRDefault="008A43BF">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VIII. Las demás que les otorgue esta Ley y otras disposiciones aplicables.”</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Sin embargo, ante la falta de pronunciamiento al respecto, este Órgano Garante no tiene certeza de que eventualmente si se haya generado, poseído o administrado lo solicitado. Por tanto, lo dable es ordenar una búsqueda exhaustiva y razonable de lo solicitado a efecto que sea entregado y, para el caso de no localizar soporte documental relacionado, bastará que lo haga del conocimiento del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al momento de dar cumplimiento al presente proveído en términos del artículo 19 párrafo segundo de la Ley de la materia local.</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222222"/>
        </w:rPr>
      </w:pPr>
      <w:r w:rsidRPr="004D091F">
        <w:rPr>
          <w:rFonts w:ascii="Palatino Linotype" w:eastAsia="Palatino Linotype" w:hAnsi="Palatino Linotype" w:cs="Palatino Linotype"/>
        </w:rPr>
        <w:t xml:space="preserve">Respecto del nombre completo del Tercer Regidor, ultimo grado de estudios, ingresos adicionales al salario ordinario de tercer regidor, tampoco se advierte pronunciamiento al respecto por tanto es necesario </w:t>
      </w:r>
      <w:r w:rsidRPr="004D091F">
        <w:rPr>
          <w:rFonts w:ascii="Palatino Linotype" w:eastAsia="Palatino Linotype" w:hAnsi="Palatino Linotype" w:cs="Palatino Linotype"/>
          <w:color w:val="222222"/>
        </w:rPr>
        <w:t>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 xml:space="preserve">En </w:t>
      </w:r>
      <w:r w:rsidRPr="004D091F">
        <w:rPr>
          <w:rFonts w:ascii="Palatino Linotype" w:eastAsia="Palatino Linotype" w:hAnsi="Palatino Linotype" w:cs="Palatino Linotype"/>
          <w:color w:val="000000"/>
        </w:rPr>
        <w:t>este</w:t>
      </w:r>
      <w:r w:rsidRPr="004D091F">
        <w:rPr>
          <w:rFonts w:ascii="Palatino Linotype" w:eastAsia="Palatino Linotype" w:hAnsi="Palatino Linotype" w:cs="Palatino Linotype"/>
        </w:rPr>
        <w:t xml:space="preserve"> sentido, las políticas aplicables para el reclutamiento de personal que establecen el Manual de Procedimientos previamente citado establece entre otras que, se contratará al aspirante que reúna todos los requisitos de acuerdo con el artículo 47 de </w:t>
      </w:r>
      <w:r w:rsidRPr="004D091F">
        <w:rPr>
          <w:rFonts w:ascii="Palatino Linotype" w:eastAsia="Palatino Linotype" w:hAnsi="Palatino Linotype" w:cs="Palatino Linotype"/>
          <w:color w:val="000000"/>
        </w:rPr>
        <w:t>l</w:t>
      </w:r>
      <w:r w:rsidRPr="004D091F">
        <w:rPr>
          <w:rFonts w:ascii="Palatino Linotype" w:eastAsia="Palatino Linotype" w:hAnsi="Palatino Linotype" w:cs="Palatino Linotype"/>
        </w:rPr>
        <w:t>a Ley del Trabajo de los Servidores Públicos del Estado y Municipio, así como el artículo 11.11 del Código Reglamentario Municipal de Toluca, los cuales son:</w:t>
      </w:r>
    </w:p>
    <w:p w:rsidR="00411E6C" w:rsidRPr="004D091F" w:rsidRDefault="008A43BF">
      <w:pPr>
        <w:spacing w:line="360" w:lineRule="auto"/>
        <w:ind w:right="49"/>
        <w:jc w:val="both"/>
        <w:rPr>
          <w:rFonts w:ascii="Palatino Linotype" w:eastAsia="Palatino Linotype" w:hAnsi="Palatino Linotype" w:cs="Palatino Linotype"/>
          <w:i/>
          <w:iCs/>
        </w:rPr>
      </w:pP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i/>
          <w:iCs/>
        </w:rPr>
        <w:t xml:space="preserve">Nombre del procedimiento: Alta de personal. </w:t>
      </w:r>
    </w:p>
    <w:p w:rsidR="00411E6C" w:rsidRPr="004D091F" w:rsidRDefault="008A43BF">
      <w:pPr>
        <w:tabs>
          <w:tab w:val="left" w:pos="851"/>
        </w:tabs>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Objetivo: Contratar al personal para ocupar las plazas vacantes disponibles en las áreas de la Dependencia, con el propósito de establecer la relación laboral entre la o el servidor público y el ayuntamiento.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Cédula del R.F.C</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Cédula de la CURP</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Solicitud de empleo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Currículum vitae</w:t>
      </w:r>
    </w:p>
    <w:p w:rsidR="00411E6C" w:rsidRPr="004D091F" w:rsidRDefault="008A43BF" w:rsidP="00AC33A2">
      <w:pPr>
        <w:tabs>
          <w:tab w:val="left" w:pos="851"/>
        </w:tabs>
        <w:ind w:left="993" w:right="900" w:hanging="567"/>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         Copia del comprobante del grado máximo de estudios</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Copia del comprobante de domicilio (Luz, agua, constancia domiciliaria)</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Copia del Servicio Militar Nacional con liberación (para personal masculino)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Original del certificado médico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Cédula de afiliación al ISSEMyM</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Copia del acta de nacimiento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Copia de identificación oficial vigente con fotografía (credencial para votar o pasaporte)</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Copia del documento que acredite la clave ISSEMyM, en caso de haber cotizado anteriormente (movimiento de alta, baja, credencial del ISSEMyM, recibo de pago)</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Certificado expedido por la Unidad de Registro de Deudores Alimentarios Morosos.</w:t>
      </w:r>
    </w:p>
    <w:p w:rsidR="00411E6C" w:rsidRPr="004D091F" w:rsidRDefault="008A43BF" w:rsidP="00AC33A2">
      <w:pPr>
        <w:tabs>
          <w:tab w:val="left" w:pos="851"/>
        </w:tabs>
        <w:ind w:left="993" w:right="900" w:hanging="567"/>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Constancia de no inhabilitación, emitida por la Secretaría de la Contraloría del Gobierno del Estado de México</w:t>
      </w:r>
    </w:p>
    <w:p w:rsidR="00AC33A2" w:rsidRPr="004D091F" w:rsidRDefault="00AC33A2">
      <w:pPr>
        <w:tabs>
          <w:tab w:val="left" w:pos="851"/>
        </w:tabs>
        <w:ind w:left="1276" w:right="900" w:hanging="567"/>
        <w:jc w:val="both"/>
        <w:rPr>
          <w:rFonts w:ascii="Palatino Linotype" w:eastAsia="Palatino Linotype" w:hAnsi="Palatino Linotype" w:cs="Palatino Linotype"/>
          <w:i/>
          <w:iCs/>
        </w:rPr>
      </w:pPr>
    </w:p>
    <w:p w:rsidR="00411E6C"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A mayor abundamiento, resulta oportuno referir que el </w:t>
      </w:r>
      <w:r w:rsidRPr="004D091F">
        <w:rPr>
          <w:rFonts w:ascii="Palatino Linotype" w:eastAsia="Palatino Linotype" w:hAnsi="Palatino Linotype" w:cs="Palatino Linotype"/>
          <w:b/>
          <w:bCs/>
        </w:rPr>
        <w:t>título profesional</w:t>
      </w:r>
      <w:r w:rsidRPr="004D091F">
        <w:rPr>
          <w:rFonts w:ascii="Palatino Linotype" w:eastAsia="Palatino Linotype" w:hAnsi="Palatino Linotype" w:cs="Palatino Linotype"/>
        </w:rPr>
        <w:t xml:space="preserve"> es el </w:t>
      </w:r>
      <w:r w:rsidRPr="004D091F">
        <w:rPr>
          <w:rFonts w:ascii="Palatino Linotype" w:eastAsia="Palatino Linotype" w:hAnsi="Palatino Linotype" w:cs="Palatino Linotype"/>
          <w:color w:val="000000"/>
        </w:rPr>
        <w:t>documento</w:t>
      </w:r>
      <w:r w:rsidRPr="004D091F">
        <w:rPr>
          <w:rFonts w:ascii="Palatino Linotype" w:eastAsia="Palatino Linotype" w:hAnsi="Palatino Linotype" w:cs="Palatino Linotype"/>
        </w:rPr>
        <w:t xml:space="preserve"> expedido por instituciones del Estado o descentralizadas, y por instituciones particulares que tengan reconocimiento de validez oficial de estudios, a favor de la persona </w:t>
      </w:r>
      <w:r w:rsidRPr="004D091F">
        <w:rPr>
          <w:rFonts w:ascii="Palatino Linotype" w:eastAsia="Palatino Linotype" w:hAnsi="Palatino Linotype" w:cs="Palatino Linotype"/>
        </w:rPr>
        <w:lastRenderedPageBreak/>
        <w:t xml:space="preserve">que haya concluido los estudios correspondientes o, demostrado tener los conocimientos necesarios de conformidad con la normatividad aplicable. </w:t>
      </w:r>
    </w:p>
    <w:p w:rsidR="004D091F" w:rsidRPr="004D091F" w:rsidRDefault="004D091F" w:rsidP="004D091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contraste, la </w:t>
      </w:r>
      <w:r w:rsidRPr="004D091F">
        <w:rPr>
          <w:rFonts w:ascii="Palatino Linotype" w:eastAsia="Palatino Linotype" w:hAnsi="Palatino Linotype" w:cs="Palatino Linotype"/>
          <w:b/>
          <w:bCs/>
        </w:rPr>
        <w:t>cédula profesional</w:t>
      </w:r>
      <w:r w:rsidRPr="004D091F">
        <w:rPr>
          <w:rFonts w:ascii="Palatino Linotype" w:eastAsia="Palatino Linotype" w:hAnsi="Palatino Linotype" w:cs="Palatino Linotype"/>
        </w:rPr>
        <w:t xml:space="preserve"> es un documento que tiene por objeto sustentar que una </w:t>
      </w:r>
      <w:r w:rsidRPr="004D091F">
        <w:rPr>
          <w:rFonts w:ascii="Palatino Linotype" w:eastAsia="Palatino Linotype" w:hAnsi="Palatino Linotype" w:cs="Palatino Linotype"/>
          <w:color w:val="000000"/>
        </w:rPr>
        <w:t>pers</w:t>
      </w:r>
      <w:r w:rsidRPr="004D091F">
        <w:rPr>
          <w:rFonts w:ascii="Palatino Linotype" w:eastAsia="Palatino Linotype" w:hAnsi="Palatino Linotype" w:cs="Palatino Linotype"/>
        </w:rPr>
        <w:t xml:space="preserve">ona cuenta con la acreditación para ejercer la profesión indicada en la misma; a través del conocimiento de algunos de los datos ahí contenidos se puede corroborar la idoneidad de la persona para ocupar el empleo, cargo o comisión encomendado. </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este </w:t>
      </w:r>
      <w:r w:rsidRPr="004D091F">
        <w:rPr>
          <w:rFonts w:ascii="Palatino Linotype" w:eastAsia="Palatino Linotype" w:hAnsi="Palatino Linotype" w:cs="Palatino Linotype"/>
          <w:color w:val="000000"/>
        </w:rPr>
        <w:t>sentido</w:t>
      </w:r>
      <w:r w:rsidRPr="004D091F">
        <w:rPr>
          <w:rFonts w:ascii="Palatino Linotype" w:eastAsia="Palatino Linotype" w:hAnsi="Palatino Linotype" w:cs="Palatino Linotype"/>
        </w:rPr>
        <w:t>, los documentos en cita son susceptibles de reflejar algunos de los siguientes atributos:</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este sentido, los documentos en cita son susceptibles de reflejar algunos de los </w:t>
      </w:r>
      <w:r w:rsidRPr="004D091F">
        <w:rPr>
          <w:rFonts w:ascii="Palatino Linotype" w:eastAsia="Palatino Linotype" w:hAnsi="Palatino Linotype" w:cs="Palatino Linotype"/>
          <w:color w:val="000000"/>
        </w:rPr>
        <w:t>siguientes</w:t>
      </w:r>
      <w:r w:rsidRPr="004D091F">
        <w:rPr>
          <w:rFonts w:ascii="Palatino Linotype" w:eastAsia="Palatino Linotype" w:hAnsi="Palatino Linotype" w:cs="Palatino Linotype"/>
        </w:rPr>
        <w:t xml:space="preserve"> atributos:</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b/>
          <w:bCs/>
          <w:color w:val="000000"/>
        </w:rPr>
        <w:t>Número de cédula profesional:</w:t>
      </w:r>
      <w:r w:rsidRPr="004D091F">
        <w:rPr>
          <w:rFonts w:ascii="Palatino Linotype" w:eastAsia="Palatino Linotype" w:hAnsi="Palatino Linotype" w:cs="Palatino Linotype"/>
          <w:color w:val="000000"/>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b/>
          <w:bCs/>
          <w:color w:val="000000"/>
        </w:rPr>
        <w:t xml:space="preserve">Nombre del titular: </w:t>
      </w:r>
      <w:r w:rsidRPr="004D091F">
        <w:rPr>
          <w:rFonts w:ascii="Palatino Linotype" w:eastAsia="Palatino Linotype" w:hAnsi="Palatino Linotype" w:cs="Palatino Linotype"/>
          <w:color w:val="000000"/>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b/>
          <w:bCs/>
          <w:color w:val="000000"/>
        </w:rPr>
        <w:lastRenderedPageBreak/>
        <w:t>Clave Única de Registro de Población:</w:t>
      </w:r>
      <w:r w:rsidRPr="004D091F">
        <w:rPr>
          <w:rFonts w:ascii="Palatino Linotype" w:eastAsia="Palatino Linotype" w:hAnsi="Palatino Linotype" w:cs="Palatino Linotype"/>
          <w:color w:val="000000"/>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b/>
          <w:bCs/>
          <w:color w:val="000000"/>
        </w:rPr>
        <w:t>Nombre y firma del Director General de Profesiones de la Secretaría de Educación Pública y del Rector:</w:t>
      </w:r>
      <w:r w:rsidRPr="004D091F">
        <w:rPr>
          <w:rFonts w:ascii="Palatino Linotype" w:eastAsia="Palatino Linotype" w:hAnsi="Palatino Linotype" w:cs="Palatino Linotype"/>
          <w:color w:val="000000"/>
        </w:rPr>
        <w:t xml:space="preserve"> Se estima como un dato de carácter público, al dar fe de que la expedición del Título profesional fue en ejercicio de las facultades conferidas.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b/>
          <w:bCs/>
          <w:color w:val="000000"/>
        </w:rPr>
        <w:t>Calificación:</w:t>
      </w:r>
      <w:r w:rsidRPr="004D091F">
        <w:rPr>
          <w:rFonts w:ascii="Palatino Linotype" w:eastAsia="Palatino Linotype" w:hAnsi="Palatino Linotype" w:cs="Palatino Linotype"/>
          <w:color w:val="000000"/>
        </w:rPr>
        <w:t xml:space="preserve"> Grado de una escala establecida, expresado mediante una denominación o una puntuación que se asigna a una persona para valorar el nivel de suficiencia o insuficiencia de los conocimientos o formación mostrados en un examen, un ejercicio o una prueba, </w:t>
      </w:r>
      <w:r w:rsidRPr="004D091F">
        <w:rPr>
          <w:rFonts w:ascii="Palatino Linotype" w:eastAsia="Palatino Linotype" w:hAnsi="Palatino Linotype" w:cs="Palatino Linotype"/>
          <w:color w:val="000000"/>
          <w:u w:val="single"/>
        </w:rPr>
        <w:t>es información clasificada como confidencial.</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u w:val="single"/>
        </w:rPr>
      </w:pPr>
      <w:r w:rsidRPr="004D091F">
        <w:rPr>
          <w:rFonts w:ascii="Palatino Linotype" w:eastAsia="Palatino Linotype" w:hAnsi="Palatino Linotype" w:cs="Palatino Linotype"/>
          <w:b/>
          <w:bCs/>
          <w:color w:val="000000"/>
        </w:rPr>
        <w:t xml:space="preserve">Firma del titular: </w:t>
      </w:r>
      <w:r w:rsidRPr="004D091F">
        <w:rPr>
          <w:rFonts w:ascii="Palatino Linotype" w:eastAsia="Palatino Linotype" w:hAnsi="Palatino Linotype" w:cs="Palatino Linotype"/>
          <w:color w:val="000000"/>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w:t>
      </w:r>
      <w:r w:rsidRPr="004D091F">
        <w:rPr>
          <w:rFonts w:ascii="Palatino Linotype" w:eastAsia="Palatino Linotype" w:hAnsi="Palatino Linotype" w:cs="Palatino Linotype"/>
          <w:color w:val="000000"/>
          <w:u w:val="single"/>
        </w:rPr>
        <w:t xml:space="preserve">es información clasificada como confidencial.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En contraste, tratándose de servidores públicos cuando se emite un acto de autoridad en ejercicio de las atribuciones que tiene conferidas, la firma mediante la cual valida dicho acto jurídico es pública. Lo anterior, en virtud de que </w:t>
      </w:r>
      <w:r w:rsidRPr="004D091F">
        <w:rPr>
          <w:rFonts w:ascii="Palatino Linotype" w:eastAsia="Palatino Linotype" w:hAnsi="Palatino Linotype" w:cs="Palatino Linotype"/>
          <w:b/>
          <w:bCs/>
          <w:color w:val="000000"/>
          <w:u w:val="single"/>
        </w:rPr>
        <w:t>la firma se plasmó en cumplimiento de las obligaciones que le corresponden en términos de las disposiciones jurídicas aplicables, estribando entonces en un requisito de validez.</w:t>
      </w:r>
      <w:r w:rsidRPr="004D091F">
        <w:rPr>
          <w:rFonts w:ascii="Palatino Linotype" w:eastAsia="Palatino Linotype" w:hAnsi="Palatino Linotype" w:cs="Palatino Linotype"/>
          <w:color w:val="000000"/>
        </w:rPr>
        <w:t xml:space="preserve"> Por tanto, la firma de los servidores públicos vinculada al ejercicio de la función </w:t>
      </w:r>
      <w:r w:rsidRPr="004D091F">
        <w:rPr>
          <w:rFonts w:ascii="Palatino Linotype" w:eastAsia="Palatino Linotype" w:hAnsi="Palatino Linotype" w:cs="Palatino Linotype"/>
          <w:color w:val="000000"/>
        </w:rPr>
        <w:lastRenderedPageBreak/>
        <w:t xml:space="preserve">pública es información pública, dado que documenta y rinde cuentas sobre el debido ejercicio de sus atribuciones con motivo del empleo, cargo o comisión que le han sido encomendados. </w:t>
      </w:r>
    </w:p>
    <w:p w:rsidR="00411E6C" w:rsidRPr="004D091F" w:rsidRDefault="008A43BF">
      <w:pPr>
        <w:numPr>
          <w:ilvl w:val="0"/>
          <w:numId w:val="4"/>
        </w:numPr>
        <w:pBdr>
          <w:top w:val="nil"/>
          <w:left w:val="nil"/>
          <w:bottom w:val="nil"/>
          <w:right w:val="nil"/>
          <w:between w:val="nil"/>
        </w:pBdr>
        <w:tabs>
          <w:tab w:val="center" w:pos="4252"/>
          <w:tab w:val="right" w:pos="8504"/>
          <w:tab w:val="left" w:pos="7770"/>
        </w:tabs>
        <w:spacing w:line="360" w:lineRule="auto"/>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411E6C" w:rsidRPr="004D091F" w:rsidRDefault="00411E6C">
      <w:pPr>
        <w:spacing w:line="360" w:lineRule="auto"/>
        <w:ind w:right="49"/>
        <w:jc w:val="both"/>
        <w:rPr>
          <w:rFonts w:ascii="Palatino Linotype" w:eastAsia="Palatino Linotype" w:hAnsi="Palatino Linotype" w:cs="Palatino Linotype"/>
        </w:rPr>
      </w:pPr>
    </w:p>
    <w:p w:rsidR="00411E6C"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w:t>
      </w:r>
      <w:r w:rsidRPr="004D091F">
        <w:rPr>
          <w:rFonts w:ascii="Palatino Linotype" w:eastAsia="Palatino Linotype" w:hAnsi="Palatino Linotype" w:cs="Palatino Linotype"/>
          <w:color w:val="000000"/>
        </w:rPr>
        <w:t>identificación</w:t>
      </w:r>
      <w:r w:rsidRPr="004D091F">
        <w:rPr>
          <w:rFonts w:ascii="Palatino Linotype" w:eastAsia="Palatino Linotype" w:hAnsi="Palatino Linotype" w:cs="Palatino Linotype"/>
        </w:rPr>
        <w:t>,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4D091F" w:rsidRPr="004D091F" w:rsidRDefault="004D091F" w:rsidP="004D091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rPr>
      </w:pPr>
      <w:r w:rsidRPr="004D091F">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w:t>
      </w:r>
      <w:r w:rsidRPr="004D091F">
        <w:rPr>
          <w:rFonts w:ascii="Palatino Linotype" w:eastAsia="Palatino Linotype" w:hAnsi="Palatino Linotype" w:cs="Palatino Linotype"/>
        </w:rPr>
        <w:lastRenderedPageBreak/>
        <w:t xml:space="preserve">servicios a la ciudadanía, es de relevancia conocer e identificar a todos sus trabajadores, no importa el nivel o rango </w:t>
      </w:r>
      <w:r w:rsidRPr="004D091F">
        <w:rPr>
          <w:rFonts w:ascii="Palatino Linotype" w:eastAsia="Palatino Linotype" w:hAnsi="Palatino Linotype" w:cs="Palatino Linotype"/>
          <w:b/>
          <w:bCs/>
        </w:rPr>
        <w:t>(con excepción del personal operativo en materia de seguridad, respecto del cual el Pleno de este Instituto ya se ha pronunciado en el sentido de que la información que los haga identificados o identificables debe clasificarse como reservada).</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w:t>
      </w:r>
      <w:r w:rsidRPr="004D091F">
        <w:rPr>
          <w:rFonts w:ascii="Palatino Linotype" w:eastAsia="Palatino Linotype" w:hAnsi="Palatino Linotype" w:cs="Palatino Linotype"/>
          <w:color w:val="000000"/>
        </w:rPr>
        <w:t>este</w:t>
      </w:r>
      <w:r w:rsidRPr="004D091F">
        <w:rPr>
          <w:rFonts w:ascii="Palatino Linotype" w:eastAsia="Palatino Linotype" w:hAnsi="Palatino Linotype" w:cs="Palatino Linotype"/>
        </w:rPr>
        <w:t xml:space="preserve"> dato personal pueda ser considerado como público, cuando se pretende acreditar que una persona es servidor público.</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Debe tenerse presente que el actuar de los servidores públicos incide de manera específica </w:t>
      </w:r>
      <w:r w:rsidRPr="004D091F">
        <w:rPr>
          <w:rFonts w:ascii="Palatino Linotype" w:eastAsia="Palatino Linotype" w:hAnsi="Palatino Linotype" w:cs="Palatino Linotype"/>
          <w:color w:val="000000"/>
        </w:rPr>
        <w:t>en</w:t>
      </w:r>
      <w:r w:rsidRPr="004D091F">
        <w:rPr>
          <w:rFonts w:ascii="Palatino Linotype" w:eastAsia="Palatino Linotype" w:hAnsi="Palatino Linotype" w:cs="Palatino Linotype"/>
        </w:rPr>
        <w:t xml:space="preserve">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Por lo </w:t>
      </w:r>
      <w:r w:rsidRPr="004D091F">
        <w:rPr>
          <w:rFonts w:ascii="Palatino Linotype" w:eastAsia="Palatino Linotype" w:hAnsi="Palatino Linotype" w:cs="Palatino Linotype"/>
          <w:color w:val="000000"/>
        </w:rPr>
        <w:t>anterior</w:t>
      </w:r>
      <w:r w:rsidRPr="004D091F">
        <w:rPr>
          <w:rFonts w:ascii="Palatino Linotype" w:eastAsia="Palatino Linotype" w:hAnsi="Palatino Linotype" w:cs="Palatino Linotype"/>
        </w:rPr>
        <w:t xml:space="preserve">, cuando las fotografías de los servidores públicos obran en documentos que dan cuenta del cumplimiento de funciones, </w:t>
      </w:r>
      <w:r w:rsidRPr="004D091F">
        <w:rPr>
          <w:rFonts w:ascii="Palatino Linotype" w:eastAsia="Palatino Linotype" w:hAnsi="Palatino Linotype" w:cs="Palatino Linotype"/>
          <w:b/>
          <w:bCs/>
        </w:rPr>
        <w:t>requisitos legales</w:t>
      </w:r>
      <w:r w:rsidRPr="004D091F">
        <w:rPr>
          <w:rFonts w:ascii="Palatino Linotype" w:eastAsia="Palatino Linotype" w:hAnsi="Palatino Linotype" w:cs="Palatino Linotype"/>
        </w:rPr>
        <w:t xml:space="preserve"> o los acredita como servidores públicos, </w:t>
      </w:r>
      <w:r w:rsidRPr="004D091F">
        <w:rPr>
          <w:rFonts w:ascii="Palatino Linotype" w:eastAsia="Palatino Linotype" w:hAnsi="Palatino Linotype" w:cs="Palatino Linotype"/>
          <w:b/>
          <w:bCs/>
        </w:rPr>
        <w:t xml:space="preserve">deben ser consideradas un dato personal, que no puede ser clasificado </w:t>
      </w:r>
      <w:r w:rsidRPr="004D091F">
        <w:rPr>
          <w:rFonts w:ascii="Palatino Linotype" w:eastAsia="Palatino Linotype" w:hAnsi="Palatino Linotype" w:cs="Palatino Linotype"/>
          <w:b/>
          <w:bCs/>
        </w:rPr>
        <w:lastRenderedPageBreak/>
        <w:t>como confidencial,</w:t>
      </w:r>
      <w:r w:rsidRPr="004D091F">
        <w:rPr>
          <w:rFonts w:ascii="Palatino Linotype" w:eastAsia="Palatino Linotype" w:hAnsi="Palatino Linotype" w:cs="Palatino Linotype"/>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411E6C" w:rsidRPr="004D091F" w:rsidRDefault="00411E6C">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w:t>
      </w:r>
      <w:r w:rsidRPr="004D091F">
        <w:rPr>
          <w:rFonts w:ascii="Palatino Linotype" w:eastAsia="Palatino Linotype" w:hAnsi="Palatino Linotype" w:cs="Palatino Linotype"/>
          <w:color w:val="000000"/>
        </w:rPr>
        <w:t>143</w:t>
      </w:r>
      <w:r w:rsidRPr="004D091F">
        <w:rPr>
          <w:rFonts w:ascii="Palatino Linotype" w:eastAsia="Palatino Linotype" w:hAnsi="Palatino Linotype" w:cs="Palatino Linotype"/>
        </w:rPr>
        <w:t>, fracción I, de la Ley de Transparencia y Acceso a la Información Pública del Estado de México y Municipios, por lo que en las versiones públicas que se ordenen, no podrá clasificarse esa información.</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Por cuanto hace al documento</w:t>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rPr>
        <w:t>en que conste o se advierta, si el Tercer Regidor utiliza los servicios del personal administrativo como chofer o como acompañante en campo y el listado de esos servidores públicos.</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En esa línea, se tiene que los documentos que de manera enunciativa más no limitativa colman el derecho de acceso a la información del </w:t>
      </w:r>
      <w:r w:rsidRPr="004D091F">
        <w:rPr>
          <w:rFonts w:ascii="Palatino Linotype" w:eastAsia="Palatino Linotype" w:hAnsi="Palatino Linotype" w:cs="Palatino Linotype"/>
          <w:b/>
          <w:bCs/>
        </w:rPr>
        <w:t xml:space="preserve">RECURRENTE </w:t>
      </w:r>
      <w:r w:rsidRPr="004D091F">
        <w:rPr>
          <w:rFonts w:ascii="Palatino Linotype" w:eastAsia="Palatino Linotype" w:hAnsi="Palatino Linotype" w:cs="Palatino Linotype"/>
        </w:rPr>
        <w:t>son  los recibos de nómina, conciliación de nómina, Formato Único de Movimiento de Personal, Contratos o Nombramientos.</w:t>
      </w:r>
    </w:p>
    <w:tbl>
      <w:tblPr>
        <w:tblStyle w:val="a4"/>
        <w:tblW w:w="8803" w:type="dxa"/>
        <w:tblInd w:w="0" w:type="dxa"/>
        <w:tblLayout w:type="fixed"/>
        <w:tblLook w:val="0400" w:firstRow="0" w:lastRow="0" w:firstColumn="0" w:lastColumn="0" w:noHBand="0" w:noVBand="1"/>
      </w:tblPr>
      <w:tblGrid>
        <w:gridCol w:w="1822"/>
        <w:gridCol w:w="6981"/>
      </w:tblGrid>
      <w:tr w:rsidR="00411E6C" w:rsidRPr="004D091F">
        <w:trPr>
          <w:trHeight w:val="582"/>
        </w:trPr>
        <w:tc>
          <w:tcPr>
            <w:tcW w:w="1822" w:type="dxa"/>
          </w:tcPr>
          <w:p w:rsidR="00411E6C" w:rsidRPr="004D091F" w:rsidRDefault="008A43BF">
            <w:pPr>
              <w:numPr>
                <w:ilvl w:val="0"/>
                <w:numId w:val="6"/>
              </w:numPr>
              <w:pBdr>
                <w:top w:val="nil"/>
                <w:left w:val="nil"/>
                <w:bottom w:val="nil"/>
                <w:right w:val="nil"/>
                <w:between w:val="nil"/>
              </w:pBdr>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 </w:t>
            </w:r>
          </w:p>
        </w:tc>
        <w:tc>
          <w:tcPr>
            <w:tcW w:w="6981" w:type="dxa"/>
          </w:tcPr>
          <w:p w:rsidR="00411E6C" w:rsidRPr="004D091F" w:rsidRDefault="008A43BF">
            <w:pPr>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La cantidad de personal adscrito al área</w:t>
            </w:r>
          </w:p>
        </w:tc>
      </w:tr>
      <w:tr w:rsidR="00411E6C" w:rsidRPr="004D091F">
        <w:trPr>
          <w:trHeight w:val="687"/>
        </w:trPr>
        <w:tc>
          <w:tcPr>
            <w:tcW w:w="1822" w:type="dxa"/>
          </w:tcPr>
          <w:p w:rsidR="00411E6C" w:rsidRPr="004D091F" w:rsidRDefault="008A43BF">
            <w:pPr>
              <w:numPr>
                <w:ilvl w:val="0"/>
                <w:numId w:val="6"/>
              </w:numPr>
              <w:pBdr>
                <w:top w:val="nil"/>
                <w:left w:val="nil"/>
                <w:bottom w:val="nil"/>
                <w:right w:val="nil"/>
                <w:between w:val="nil"/>
              </w:pBdr>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 </w:t>
            </w:r>
          </w:p>
        </w:tc>
        <w:tc>
          <w:tcPr>
            <w:tcW w:w="6981" w:type="dxa"/>
          </w:tcPr>
          <w:p w:rsidR="00411E6C" w:rsidRPr="004D091F" w:rsidRDefault="008A43BF">
            <w:pPr>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La cantidad de personal adscrito al área que este comisionado a la misma y de que direcciones del ayuntamiento han sido adscritos a dicha regiduría</w:t>
            </w:r>
          </w:p>
        </w:tc>
      </w:tr>
      <w:tr w:rsidR="00411E6C" w:rsidRPr="004D091F">
        <w:trPr>
          <w:trHeight w:val="846"/>
        </w:trPr>
        <w:tc>
          <w:tcPr>
            <w:tcW w:w="1822" w:type="dxa"/>
          </w:tcPr>
          <w:p w:rsidR="00411E6C" w:rsidRPr="004D091F" w:rsidRDefault="008A43BF">
            <w:pPr>
              <w:numPr>
                <w:ilvl w:val="0"/>
                <w:numId w:val="6"/>
              </w:numPr>
              <w:pBdr>
                <w:top w:val="nil"/>
                <w:left w:val="nil"/>
                <w:bottom w:val="nil"/>
                <w:right w:val="nil"/>
                <w:between w:val="nil"/>
              </w:pBdr>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lastRenderedPageBreak/>
              <w:t xml:space="preserve"> </w:t>
            </w:r>
          </w:p>
        </w:tc>
        <w:tc>
          <w:tcPr>
            <w:tcW w:w="6981" w:type="dxa"/>
          </w:tcPr>
          <w:p w:rsidR="00411E6C" w:rsidRPr="004D091F" w:rsidRDefault="008A43BF">
            <w:pPr>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El titular de  esa área utiliza los servicios del personal administrativo como chofer o como acompañante en campo y quienes son de la lista de servidores públicos las personas que realizan estas actividades.</w:t>
            </w:r>
          </w:p>
        </w:tc>
      </w:tr>
    </w:tbl>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 lo solicitado, la Ley del Trabajo de los Servidores Públicos del Estado y Municipios en sus artículos 5, 45, 47, 49 y 50 establece lo siguiente:</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b/>
          <w:bCs/>
          <w:i/>
          <w:iCs/>
          <w:color w:val="000000"/>
        </w:rPr>
        <w:t>ARTÍCULO 5.</w:t>
      </w:r>
      <w:r w:rsidRPr="004D091F">
        <w:rPr>
          <w:rFonts w:ascii="Palatino Linotype" w:eastAsia="Palatino Linotype" w:hAnsi="Palatino Linotype" w:cs="Palatino Linotype"/>
          <w:i/>
          <w:iCs/>
          <w:color w:val="000000"/>
        </w:rPr>
        <w:t xml:space="preserve">- </w:t>
      </w:r>
      <w:r w:rsidRPr="004D091F">
        <w:rPr>
          <w:rFonts w:ascii="Palatino Linotype" w:eastAsia="Palatino Linotype" w:hAnsi="Palatino Linotype" w:cs="Palatino Linotype"/>
          <w:b/>
          <w:bCs/>
          <w:i/>
          <w:iCs/>
          <w:color w:val="000000"/>
          <w:u w:val="single"/>
        </w:rPr>
        <w:t>La relación de trabajo</w:t>
      </w:r>
      <w:r w:rsidRPr="004D091F">
        <w:rPr>
          <w:rFonts w:ascii="Palatino Linotype" w:eastAsia="Palatino Linotype" w:hAnsi="Palatino Linotype" w:cs="Palatino Linotype"/>
          <w:b/>
          <w:bCs/>
          <w:i/>
          <w:iCs/>
          <w:color w:val="000000"/>
        </w:rPr>
        <w:t xml:space="preserve"> entre las instituciones públicas y sus servidores públicos </w:t>
      </w:r>
      <w:r w:rsidRPr="004D091F">
        <w:rPr>
          <w:rFonts w:ascii="Palatino Linotype" w:eastAsia="Palatino Linotype" w:hAnsi="Palatino Linotype" w:cs="Palatino Linotype"/>
          <w:b/>
          <w:bCs/>
          <w:i/>
          <w:iCs/>
          <w:color w:val="000000"/>
          <w:u w:val="single"/>
        </w:rPr>
        <w:t>se entiende establecida mediante nombramiento</w:t>
      </w:r>
      <w:r w:rsidRPr="004D091F">
        <w:rPr>
          <w:rFonts w:ascii="Palatino Linotype" w:eastAsia="Palatino Linotype" w:hAnsi="Palatino Linotype" w:cs="Palatino Linotype"/>
          <w:i/>
          <w:iCs/>
          <w:color w:val="000000"/>
          <w:u w:val="single"/>
        </w:rPr>
        <w:t xml:space="preserve">, </w:t>
      </w:r>
      <w:r w:rsidRPr="004D091F">
        <w:rPr>
          <w:rFonts w:ascii="Palatino Linotype" w:eastAsia="Palatino Linotype" w:hAnsi="Palatino Linotype" w:cs="Palatino Linotype"/>
          <w:b/>
          <w:bCs/>
          <w:i/>
          <w:iCs/>
          <w:color w:val="000000"/>
          <w:u w:val="single"/>
        </w:rPr>
        <w:t>formato único de movimiento de personal, contrato</w:t>
      </w:r>
      <w:r w:rsidRPr="004D091F">
        <w:rPr>
          <w:rFonts w:ascii="Palatino Linotype" w:eastAsia="Palatino Linotype" w:hAnsi="Palatino Linotype" w:cs="Palatino Linotype"/>
          <w:i/>
          <w:iCs/>
          <w:color w:val="000000"/>
        </w:rPr>
        <w:t xml:space="preserve"> o por cualquier otro acto que tenga como consecuencia la prestación personal subordinada del servicio y la percepción de un sueldo.</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u w:val="single"/>
        </w:rPr>
      </w:pPr>
      <w:r w:rsidRPr="004D091F">
        <w:rPr>
          <w:rFonts w:ascii="Palatino Linotype" w:eastAsia="Palatino Linotype" w:hAnsi="Palatino Linotype" w:cs="Palatino Linotype"/>
          <w:b/>
          <w:bCs/>
          <w:i/>
          <w:iCs/>
          <w:color w:val="000000"/>
        </w:rPr>
        <w:t>ARTÍCULO 45.-</w:t>
      </w:r>
      <w:r w:rsidRPr="004D091F">
        <w:rPr>
          <w:rFonts w:ascii="Palatino Linotype" w:eastAsia="Palatino Linotype" w:hAnsi="Palatino Linotype" w:cs="Palatino Linotype"/>
          <w:b/>
          <w:bCs/>
          <w:i/>
          <w:iCs/>
          <w:color w:val="000000"/>
          <w:u w:val="single"/>
        </w:rPr>
        <w:t>Los servidores públicos prestarán sus servicios mediante nombramiento, contrato o formato único de Movimientos de Personal</w:t>
      </w:r>
      <w:r w:rsidRPr="004D091F">
        <w:rPr>
          <w:rFonts w:ascii="Palatino Linotype" w:eastAsia="Palatino Linotype" w:hAnsi="Palatino Linotype" w:cs="Palatino Linotype"/>
          <w:i/>
          <w:iCs/>
          <w:color w:val="000000"/>
          <w:u w:val="single"/>
        </w:rPr>
        <w:t xml:space="preserve"> expedidos por quien estuviere facultado legalmente para extenderlo.</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b/>
          <w:bCs/>
          <w:i/>
          <w:iCs/>
          <w:color w:val="000000"/>
        </w:rPr>
        <w:t>ARTÍCULO 47.</w:t>
      </w:r>
      <w:r w:rsidRPr="004D091F">
        <w:rPr>
          <w:rFonts w:ascii="Palatino Linotype" w:eastAsia="Palatino Linotype" w:hAnsi="Palatino Linotype" w:cs="Palatino Linotype"/>
          <w:i/>
          <w:iCs/>
          <w:color w:val="000000"/>
        </w:rPr>
        <w:t xml:space="preserve"> Para ingresar al servicio público se requiere:</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 Presentar una solicitud utilizando la forma oficial que se autorice por la institución pública o dependencia correspondiente;</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II. Ser de nacionalidad mexicana, con la excepción prevista en el artículo 17 de la presente ley;</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III. Estar en pleno ejercicio de sus derechos civiles y políticos, en su caso;</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IV. Acreditar, cuando proceda, el cumplimiento de la Ley del Servicio Militar Nacional;</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V. Derogada.</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VI. No haber sido separado anteriormente del servicio por las causas previstas en el artículo 93 de la presente ley;</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lastRenderedPageBreak/>
        <w:t>VII. Tener buena salud, lo que se comprobará con los certificados médicos correspondientes, en la forma en que se establezca en cada institución pública;</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VIII. Cumplir con los requisitos que se establezcan para los diferentes puestos</w:t>
      </w:r>
    </w:p>
    <w:p w:rsidR="00411E6C" w:rsidRPr="004D091F" w:rsidRDefault="008A43BF">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IX. Acreditar por medio de los exámenes correspondientes los conocimientos y aptitudes necesarios para el desempeño del puesto; y</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X. No estar inhabilitado para el ejercicio del servicio público.</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XI. Presentar certificado expedido por la Unidad del Registro de Deudores Alimentarios Morosos en el que conste, si se encuentra inscrito o no en el mismo. </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4D091F">
        <w:rPr>
          <w:rFonts w:ascii="Palatino Linotype" w:eastAsia="Palatino Linotype" w:hAnsi="Palatino Linotype" w:cs="Palatino Linotype"/>
          <w:b/>
          <w:bCs/>
          <w:i/>
          <w:iCs/>
          <w:color w:val="000000"/>
        </w:rPr>
        <w:t>ARTÍCULO 49</w:t>
      </w:r>
      <w:r w:rsidRPr="004D091F">
        <w:rPr>
          <w:rFonts w:ascii="Palatino Linotype" w:eastAsia="Palatino Linotype" w:hAnsi="Palatino Linotype" w:cs="Palatino Linotype"/>
          <w:i/>
          <w:iCs/>
          <w:color w:val="000000"/>
        </w:rPr>
        <w:t xml:space="preserve">.- </w:t>
      </w:r>
      <w:r w:rsidRPr="004D091F">
        <w:rPr>
          <w:rFonts w:ascii="Palatino Linotype" w:eastAsia="Palatino Linotype" w:hAnsi="Palatino Linotype" w:cs="Palatino Linotype"/>
          <w:b/>
          <w:bCs/>
          <w:i/>
          <w:iCs/>
          <w:color w:val="000000"/>
          <w:u w:val="single"/>
        </w:rPr>
        <w:t>Los nombramientos, contratos o formato único de Movimientos de Personal de los servidores públicos deberán contener:</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 xml:space="preserve">Nombre completo del servidor público; </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Cargo para el que es designado, fecha de inicio de sus servicios y lugar de adscripción;</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Carácter del nombramiento, ya sea de servidores públicos generales o de confianza, así como la temporalidad del mismo;</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Remuneración correspondiente al puesto;</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 xml:space="preserve"> Jornada de trabajo; </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 xml:space="preserve">Derogada; </w:t>
      </w:r>
    </w:p>
    <w:p w:rsidR="00411E6C" w:rsidRPr="004D091F" w:rsidRDefault="008A43BF">
      <w:pPr>
        <w:numPr>
          <w:ilvl w:val="0"/>
          <w:numId w:val="5"/>
        </w:numPr>
        <w:pBdr>
          <w:top w:val="nil"/>
          <w:left w:val="nil"/>
          <w:bottom w:val="nil"/>
          <w:right w:val="nil"/>
          <w:between w:val="nil"/>
        </w:pBdr>
        <w:spacing w:after="160"/>
        <w:ind w:left="1134" w:right="851" w:firstLine="0"/>
        <w:jc w:val="both"/>
        <w:rPr>
          <w:rFonts w:ascii="Palatino Linotype" w:eastAsia="Palatino Linotype" w:hAnsi="Palatino Linotype" w:cs="Palatino Linotype"/>
        </w:rPr>
      </w:pPr>
      <w:r w:rsidRPr="004D091F">
        <w:rPr>
          <w:rFonts w:ascii="Palatino Linotype" w:eastAsia="Palatino Linotype" w:hAnsi="Palatino Linotype" w:cs="Palatino Linotype"/>
          <w:i/>
          <w:iCs/>
          <w:color w:val="000000"/>
        </w:rPr>
        <w:t>Firma del servidor público autorizado para emitir el nombramiento, contrato o formato único de Movimientos de Personal, así como el fundamento legal de esa atribución.</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4D091F">
        <w:rPr>
          <w:rFonts w:ascii="Palatino Linotype" w:eastAsia="Palatino Linotype" w:hAnsi="Palatino Linotype" w:cs="Palatino Linotype"/>
          <w:b/>
          <w:bCs/>
          <w:i/>
          <w:iCs/>
          <w:color w:val="000000"/>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rsidR="00411E6C" w:rsidRPr="004D091F" w:rsidRDefault="008A43BF">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lastRenderedPageBreak/>
        <w:t>Iguales consecuencias se generarán para todos los servidores públicos, cuando la relación de trabajo se formalice mediante un contrato o por encontrarse en lista de raya.</w:t>
      </w:r>
    </w:p>
    <w:p w:rsidR="00411E6C" w:rsidRPr="004D091F" w:rsidRDefault="00411E6C">
      <w:pPr>
        <w:ind w:left="1134"/>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Ahora bien, conforme a los artículos antes referidos se desprende que en una relación laboral debe haber un nombramiento, un contrato o bien un formato único de movimiento de personal.</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Por otro lado, y para establecer la fuente obligacional resulta necesario traer a colación la Ley Orgánica Municipal del Estado de México, en la que se establecen las atribuciones del tesorero municipal en los artículos 87, 93, 94 y 95, fracciones I, IV, V, XVI y XVII; porciones normativas que disponen a la literalidad lo siguiente: </w:t>
      </w:r>
    </w:p>
    <w:p w:rsidR="00411E6C" w:rsidRPr="004D091F" w:rsidRDefault="008A43BF">
      <w:pPr>
        <w:ind w:left="1134" w:right="900"/>
        <w:jc w:val="center"/>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LEY ORGÁNICA MUNICIPAL DEL ESTADO DE MÉXICO</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 xml:space="preserve">Artículo 87.- </w:t>
      </w:r>
      <w:r w:rsidRPr="004D091F">
        <w:rPr>
          <w:rFonts w:ascii="Palatino Linotype" w:eastAsia="Palatino Linotype" w:hAnsi="Palatino Linotype" w:cs="Palatino Linotype"/>
          <w:i/>
          <w:iCs/>
        </w:rPr>
        <w:t>Para el despacho, estudio y planeación de los diversos asuntos de la administración municipal, el ayuntamiento contará por lo menos con las siguientes Dependencias: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 La secretaría del ayuntamiento;</w:t>
      </w:r>
    </w:p>
    <w:p w:rsidR="00411E6C" w:rsidRPr="004D091F" w:rsidRDefault="008A43BF">
      <w:pPr>
        <w:ind w:left="1134" w:right="900"/>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u w:val="single"/>
        </w:rPr>
        <w:t>II. La tesorería municipal</w:t>
      </w:r>
      <w:r w:rsidRPr="004D091F">
        <w:rPr>
          <w:rFonts w:ascii="Palatino Linotype" w:eastAsia="Palatino Linotype" w:hAnsi="Palatino Linotype" w:cs="Palatino Linotype"/>
          <w:b/>
          <w:bCs/>
          <w:i/>
          <w:iCs/>
        </w:rPr>
        <w:t>.</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III. La Dirección de Obras Públicas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IV. La Dirección de Desarrollo Económico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 La Dirección de Desarrollo Urbano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VI. La Dirección de Ecología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VII. La Dirección de Desarrollo Social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VIII. La Coordinación Municipal de Protección Civil o equivalente.</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IX. La Dirección de las Mujeres o equivalente.”</w:t>
      </w:r>
    </w:p>
    <w:p w:rsidR="00411E6C" w:rsidRPr="004D091F" w:rsidRDefault="00411E6C">
      <w:pPr>
        <w:ind w:left="1134" w:right="900"/>
        <w:jc w:val="both"/>
        <w:rPr>
          <w:rFonts w:ascii="Palatino Linotype" w:eastAsia="Palatino Linotype" w:hAnsi="Palatino Linotype" w:cs="Palatino Linotype"/>
          <w:i/>
          <w:iCs/>
        </w:rPr>
      </w:pP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93</w:t>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b/>
          <w:bCs/>
          <w:i/>
          <w:iCs/>
        </w:rPr>
        <w:t>La tesorería municipal es el órgano encargado de la recaudación de los ingresos municipales y responsable de realizar las erogaciones que haga el ayuntamiento</w:t>
      </w:r>
      <w:r w:rsidRPr="004D091F">
        <w:rPr>
          <w:rFonts w:ascii="Palatino Linotype" w:eastAsia="Palatino Linotype" w:hAnsi="Palatino Linotype" w:cs="Palatino Linotype"/>
          <w:i/>
          <w:iCs/>
        </w:rPr>
        <w:t>.</w:t>
      </w:r>
    </w:p>
    <w:p w:rsidR="00411E6C" w:rsidRPr="004D091F" w:rsidRDefault="00411E6C">
      <w:pPr>
        <w:ind w:left="1134" w:right="900"/>
        <w:jc w:val="both"/>
        <w:rPr>
          <w:rFonts w:ascii="Palatino Linotype" w:eastAsia="Palatino Linotype" w:hAnsi="Palatino Linotype" w:cs="Palatino Linotype"/>
          <w:i/>
          <w:iCs/>
        </w:rPr>
      </w:pP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lastRenderedPageBreak/>
        <w:t>Artículo 94.-</w:t>
      </w:r>
      <w:r w:rsidRPr="004D091F">
        <w:rPr>
          <w:rFonts w:ascii="Palatino Linotype" w:eastAsia="Palatino Linotype" w:hAnsi="Palatino Linotype" w:cs="Palatino Linotype"/>
          <w:i/>
          <w:iCs/>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411E6C" w:rsidRPr="004D091F" w:rsidRDefault="00411E6C">
      <w:pPr>
        <w:ind w:left="1134" w:right="900"/>
        <w:jc w:val="both"/>
        <w:rPr>
          <w:rFonts w:ascii="Palatino Linotype" w:eastAsia="Palatino Linotype" w:hAnsi="Palatino Linotype" w:cs="Palatino Linotype"/>
          <w:i/>
          <w:iCs/>
        </w:rPr>
      </w:pP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95.-</w:t>
      </w:r>
      <w:r w:rsidRPr="004D091F">
        <w:rPr>
          <w:rFonts w:ascii="Palatino Linotype" w:eastAsia="Palatino Linotype" w:hAnsi="Palatino Linotype" w:cs="Palatino Linotype"/>
          <w:i/>
          <w:iCs/>
        </w:rPr>
        <w:t xml:space="preserve"> Son atribuciones del </w:t>
      </w:r>
      <w:r w:rsidRPr="004D091F">
        <w:rPr>
          <w:rFonts w:ascii="Palatino Linotype" w:eastAsia="Palatino Linotype" w:hAnsi="Palatino Linotype" w:cs="Palatino Linotype"/>
          <w:b/>
          <w:bCs/>
          <w:i/>
          <w:iCs/>
          <w:u w:val="single"/>
        </w:rPr>
        <w:t>tesorero municipal</w:t>
      </w:r>
      <w:r w:rsidRPr="004D091F">
        <w:rPr>
          <w:rFonts w:ascii="Palatino Linotype" w:eastAsia="Palatino Linotype" w:hAnsi="Palatino Linotype" w:cs="Palatino Linotype"/>
          <w:i/>
          <w:iCs/>
        </w:rPr>
        <w:t xml:space="preserve">: </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I. Administrar la hacienda pública municipal, de conformidad con las disposiciones legales aplicables;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ind w:left="1134" w:right="900"/>
        <w:jc w:val="both"/>
        <w:rPr>
          <w:rFonts w:ascii="Palatino Linotype" w:eastAsia="Palatino Linotype" w:hAnsi="Palatino Linotype" w:cs="Palatino Linotype"/>
          <w:i/>
          <w:iCs/>
          <w:u w:val="single"/>
        </w:rPr>
      </w:pPr>
      <w:r w:rsidRPr="004D091F">
        <w:rPr>
          <w:rFonts w:ascii="Palatino Linotype" w:eastAsia="Palatino Linotype" w:hAnsi="Palatino Linotype" w:cs="Palatino Linotype"/>
          <w:i/>
          <w:iCs/>
        </w:rPr>
        <w:t>IV</w:t>
      </w:r>
      <w:r w:rsidRPr="004D091F">
        <w:rPr>
          <w:rFonts w:ascii="Palatino Linotype" w:eastAsia="Palatino Linotype" w:hAnsi="Palatino Linotype" w:cs="Palatino Linotype"/>
          <w:b/>
          <w:bCs/>
          <w:i/>
          <w:iCs/>
          <w:u w:val="single"/>
        </w:rPr>
        <w:t>. Llevar los registros contables, financieros y administrativos de los ingresos, egresos, e inventarios;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V. Proporcionar oportunamente al ayuntamiento todos los datos o informes que sean necesarios para la formulación del Presupuesto de Egresos Municipales, vigilando que se ajuste a las disposiciones de esta Ley y otros ordenamientos aplicables;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XVI. Glosar oportunamente las cuentas del ayuntamiento; </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(Sic)</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Lo anterior resulta aplicable al nombre de la secretaria adscrita a la Tercer Regiduría, documento en que conste si se encuentra en nómina proveniente del techo presupuestal de </w:t>
      </w:r>
      <w:r w:rsidRPr="004D091F">
        <w:rPr>
          <w:rFonts w:ascii="Palatino Linotype" w:eastAsia="Palatino Linotype" w:hAnsi="Palatino Linotype" w:cs="Palatino Linotype"/>
        </w:rPr>
        <w:lastRenderedPageBreak/>
        <w:t>la regiduría o de donde procede la adscripción de la secretaria; así como el nombre completo de dicha servidora pública.</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No pasando desapercibido también el respecto a colación que se solicita el nombre del Tercer Regidor que al corresponder a un mando medio-superior corresponde a una información pública de oficio; toda vez que, a los miembros del Ayuntamiento, mandos medios y superiores, resulta aplicable el contenido de la fracción VII de la Ley de Transparencia y Acceso a la Información Pública del Estado de México y Municipios, que es del tenor literal siguiente:</w:t>
      </w:r>
    </w:p>
    <w:p w:rsidR="00411E6C" w:rsidRPr="004D091F" w:rsidRDefault="008A43BF">
      <w:pPr>
        <w:spacing w:before="120" w:after="120"/>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92</w:t>
      </w:r>
      <w:r w:rsidRPr="004D091F">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11E6C" w:rsidRPr="004D091F" w:rsidRDefault="008A43BF">
      <w:pPr>
        <w:spacing w:before="120" w:after="120"/>
        <w:ind w:left="851" w:right="902"/>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w:t>
      </w:r>
    </w:p>
    <w:p w:rsidR="00411E6C" w:rsidRPr="004D091F" w:rsidRDefault="008A43BF">
      <w:pPr>
        <w:spacing w:before="120" w:after="120"/>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VII.</w:t>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b/>
          <w:bCs/>
          <w:i/>
          <w:iCs/>
        </w:rPr>
        <w:t>El directorio de todos los servidores públicos, a partir del nivel de jefe de departamento</w:t>
      </w:r>
      <w:r w:rsidRPr="004D091F">
        <w:rPr>
          <w:rFonts w:ascii="Palatino Linotype" w:eastAsia="Palatino Linotype" w:hAnsi="Palatino Linotype" w:cs="Palatino Linotype"/>
          <w:i/>
          <w:iCs/>
        </w:rPr>
        <w:t xml:space="preserve"> o su equivalente o de menor nivel, cuando se brinde atención al público, manejen o apliquen recursos públicos, realicen actos de autoridad o presten servicios profesionales bajo el régimen de confianza u honorarios y personal de base. </w:t>
      </w:r>
    </w:p>
    <w:p w:rsidR="00411E6C" w:rsidRPr="004D091F" w:rsidRDefault="008A43BF">
      <w:pPr>
        <w:spacing w:before="120" w:after="120"/>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El directorio </w:t>
      </w:r>
      <w:r w:rsidRPr="004D091F">
        <w:rPr>
          <w:rFonts w:ascii="Palatino Linotype" w:eastAsia="Palatino Linotype" w:hAnsi="Palatino Linotype" w:cs="Palatino Linotype"/>
          <w:b/>
          <w:bCs/>
          <w:i/>
          <w:iCs/>
        </w:rPr>
        <w:t>deberá incluir, al menos el nombre</w:t>
      </w:r>
      <w:r w:rsidRPr="004D091F">
        <w:rPr>
          <w:rFonts w:ascii="Palatino Linotype" w:eastAsia="Palatino Linotype" w:hAnsi="Palatino Linotype" w:cs="Palatino Linotype"/>
          <w:i/>
          <w:iCs/>
        </w:rPr>
        <w:t xml:space="preserve">, cargo o nombramiento oficial asignado, nivel del puesto en la estructura orgánica, fecha de alta en el cargo, </w:t>
      </w:r>
      <w:r w:rsidRPr="004D091F">
        <w:rPr>
          <w:rFonts w:ascii="Palatino Linotype" w:eastAsia="Palatino Linotype" w:hAnsi="Palatino Linotype" w:cs="Palatino Linotype"/>
          <w:b/>
          <w:bCs/>
          <w:i/>
          <w:iCs/>
        </w:rPr>
        <w:t>número telefónico</w:t>
      </w:r>
      <w:r w:rsidRPr="004D091F">
        <w:rPr>
          <w:rFonts w:ascii="Palatino Linotype" w:eastAsia="Palatino Linotype" w:hAnsi="Palatino Linotype" w:cs="Palatino Linotype"/>
          <w:i/>
          <w:iCs/>
        </w:rPr>
        <w:t xml:space="preserve">, domicilio para recibir correspondencia y </w:t>
      </w:r>
      <w:r w:rsidRPr="004D091F">
        <w:rPr>
          <w:rFonts w:ascii="Palatino Linotype" w:eastAsia="Palatino Linotype" w:hAnsi="Palatino Linotype" w:cs="Palatino Linotype"/>
          <w:b/>
          <w:bCs/>
          <w:i/>
          <w:iCs/>
          <w:u w:val="single"/>
        </w:rPr>
        <w:t>dirección de correo electrónico oficiales</w:t>
      </w:r>
      <w:r w:rsidRPr="004D091F">
        <w:rPr>
          <w:rFonts w:ascii="Palatino Linotype" w:eastAsia="Palatino Linotype" w:hAnsi="Palatino Linotype" w:cs="Palatino Linotype"/>
          <w:i/>
          <w:iCs/>
        </w:rPr>
        <w:t xml:space="preserve">, datos que </w:t>
      </w:r>
      <w:r w:rsidRPr="004D091F">
        <w:rPr>
          <w:rFonts w:ascii="Palatino Linotype" w:eastAsia="Palatino Linotype" w:hAnsi="Palatino Linotype" w:cs="Palatino Linotype"/>
          <w:b/>
          <w:bCs/>
          <w:i/>
          <w:iCs/>
        </w:rPr>
        <w:t>deberán señalarse de forma independiente por dependencia</w:t>
      </w:r>
      <w:r w:rsidRPr="004D091F">
        <w:rPr>
          <w:rFonts w:ascii="Palatino Linotype" w:eastAsia="Palatino Linotype" w:hAnsi="Palatino Linotype" w:cs="Palatino Linotype"/>
          <w:i/>
          <w:iCs/>
        </w:rPr>
        <w:t xml:space="preserve"> y entidad pública de cada sujeto obligado;”</w:t>
      </w:r>
    </w:p>
    <w:p w:rsidR="00411E6C" w:rsidRPr="004D091F" w:rsidRDefault="00411E6C">
      <w:pPr>
        <w:spacing w:before="120" w:after="120"/>
        <w:ind w:left="1134" w:right="902"/>
        <w:jc w:val="both"/>
        <w:rPr>
          <w:rFonts w:ascii="Palatino Linotype" w:eastAsia="Palatino Linotype" w:hAnsi="Palatino Linotype" w:cs="Palatino Linotype"/>
          <w:i/>
          <w:iCs/>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Del precepto anterior se advierte que la Ley de Transparencia, impone, a los sujetos la obligación de poner a disposición del público, de manera permanente y actualizada, la información relativa al directorio de los servidores públicos que ostentan cargos de mandos </w:t>
      </w:r>
      <w:r w:rsidRPr="004D091F">
        <w:rPr>
          <w:rFonts w:ascii="Palatino Linotype" w:eastAsia="Palatino Linotype" w:hAnsi="Palatino Linotype" w:cs="Palatino Linotype"/>
        </w:rPr>
        <w:lastRenderedPageBreak/>
        <w:t xml:space="preserve">medios y superiores, debiendo señalar, entre otros datos, el </w:t>
      </w:r>
      <w:r w:rsidRPr="004D091F">
        <w:rPr>
          <w:rFonts w:ascii="Palatino Linotype" w:eastAsia="Palatino Linotype" w:hAnsi="Palatino Linotype" w:cs="Palatino Linotype"/>
          <w:i/>
          <w:iCs/>
        </w:rPr>
        <w:t xml:space="preserve">nombre </w:t>
      </w:r>
      <w:r w:rsidRPr="004D091F">
        <w:rPr>
          <w:rFonts w:ascii="Palatino Linotype" w:eastAsia="Palatino Linotype" w:hAnsi="Palatino Linotype" w:cs="Palatino Linotype"/>
        </w:rPr>
        <w:t>de información que se traduce en lo requerido por el particular.</w:t>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Por otro lado, respecto del número de computadoras, laptops, tablets, ipads, teléfonos celulares, sillas, sillones, impresoras, tiene adjudicada para el trabajo diario,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remitió en calidad de respuesta el siguiente listado:</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4D091F">
        <w:rPr>
          <w:rFonts w:ascii="Palatino Linotype" w:eastAsia="Palatino Linotype" w:hAnsi="Palatino Linotype" w:cs="Palatino Linotype"/>
          <w:noProof/>
          <w:lang w:val="es-MX"/>
        </w:rPr>
        <w:drawing>
          <wp:inline distT="0" distB="0" distL="0" distR="0">
            <wp:extent cx="4708333" cy="3299775"/>
            <wp:effectExtent l="0" t="0" r="0" b="0"/>
            <wp:docPr id="1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08333" cy="3299775"/>
                    </a:xfrm>
                    <a:prstGeom prst="rect">
                      <a:avLst/>
                    </a:prstGeom>
                    <a:ln/>
                  </pic:spPr>
                </pic:pic>
              </a:graphicData>
            </a:graphic>
          </wp:inline>
        </w:drawing>
      </w:r>
    </w:p>
    <w:p w:rsidR="00411E6C" w:rsidRPr="004D091F" w:rsidRDefault="00411E6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Listado con el cual se estima se tiene por colmado el rubro en comento; ya que es de explorado derecho que </w:t>
      </w:r>
      <w:r w:rsidRPr="004D091F">
        <w:rPr>
          <w:rFonts w:ascii="Palatino Linotype" w:eastAsia="Palatino Linotype" w:hAnsi="Palatino Linotype" w:cs="Palatino Linotype"/>
          <w:color w:val="000000"/>
        </w:rPr>
        <w:t xml:space="preserve">este Órgano Garante no se encuentra facultado para dudar de su veracidad de la </w:t>
      </w:r>
      <w:r w:rsidRPr="004D091F">
        <w:rPr>
          <w:rFonts w:ascii="Palatino Linotype" w:eastAsia="Palatino Linotype" w:hAnsi="Palatino Linotype" w:cs="Palatino Linotype"/>
        </w:rPr>
        <w:t>información</w:t>
      </w:r>
      <w:r w:rsidRPr="004D091F">
        <w:rPr>
          <w:rFonts w:ascii="Palatino Linotype" w:eastAsia="Palatino Linotype" w:hAnsi="Palatino Linotype" w:cs="Palatino Linotype"/>
          <w:color w:val="000000"/>
        </w:rPr>
        <w:t xml:space="preserve"> que le fue entregada al hoy </w:t>
      </w:r>
      <w:r w:rsidRPr="004D091F">
        <w:rPr>
          <w:rFonts w:ascii="Palatino Linotype" w:eastAsia="Palatino Linotype" w:hAnsi="Palatino Linotype" w:cs="Palatino Linotype"/>
          <w:b/>
          <w:bCs/>
          <w:color w:val="000000"/>
        </w:rPr>
        <w:t>RECURRENTE</w:t>
      </w:r>
      <w:r w:rsidRPr="004D091F">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4D091F">
        <w:rPr>
          <w:rFonts w:ascii="Palatino Linotype" w:eastAsia="Palatino Linotype" w:hAnsi="Palatino Linotype" w:cs="Palatino Linotype"/>
        </w:rPr>
        <w:t xml:space="preserve">situación que se aleja de las atribuciones de este Instituto </w:t>
      </w:r>
      <w:r w:rsidRPr="004D091F">
        <w:rPr>
          <w:rFonts w:ascii="Palatino Linotype" w:eastAsia="Palatino Linotype" w:hAnsi="Palatino Linotype" w:cs="Palatino Linotype"/>
          <w:i/>
          <w:iCs/>
          <w:color w:val="000000"/>
        </w:rPr>
        <w:lastRenderedPageBreak/>
        <w:t>máxime</w:t>
      </w:r>
      <w:r w:rsidRPr="004D091F">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Sirviendo de apoyo a lo anterior por analogía, el criterio 31-10 emitido por el ahora Instituto </w:t>
      </w:r>
      <w:r w:rsidRPr="004D091F">
        <w:rPr>
          <w:rFonts w:ascii="Palatino Linotype" w:eastAsia="Palatino Linotype" w:hAnsi="Palatino Linotype" w:cs="Palatino Linotype"/>
          <w:color w:val="000000"/>
        </w:rPr>
        <w:t>Nacional</w:t>
      </w:r>
      <w:r w:rsidRPr="004D091F">
        <w:rPr>
          <w:rFonts w:ascii="Palatino Linotype" w:eastAsia="Palatino Linotype" w:hAnsi="Palatino Linotype" w:cs="Palatino Linotype"/>
        </w:rPr>
        <w:t xml:space="preserve"> de Transparencia, Acceso a la Información y Protección de Datos Personales, que a la letra dice:</w:t>
      </w:r>
    </w:p>
    <w:p w:rsidR="00411E6C" w:rsidRPr="004D091F" w:rsidRDefault="008A43BF">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i/>
          <w:iCs/>
          <w:color w:val="000000"/>
        </w:rPr>
        <w:t xml:space="preserve">“El Instituto Federal de Acceso a la Información y Protección de Datos </w:t>
      </w:r>
      <w:r w:rsidRPr="004D091F">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4D091F">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1E6C" w:rsidRPr="004D091F" w:rsidRDefault="00411E6C">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rPr>
      </w:pPr>
      <w:r w:rsidRPr="004D091F">
        <w:rPr>
          <w:rFonts w:ascii="Palatino Linotype" w:eastAsia="Palatino Linotype" w:hAnsi="Palatino Linotype" w:cs="Palatino Linotype"/>
        </w:rPr>
        <w:t xml:space="preserve">Así como lo dispuesto por la </w:t>
      </w:r>
      <w:r w:rsidRPr="004D091F">
        <w:rPr>
          <w:rFonts w:ascii="Palatino Linotype" w:eastAsia="Palatino Linotype" w:hAnsi="Palatino Linotype" w:cs="Palatino Linotype"/>
          <w:b/>
          <w:bCs/>
        </w:rPr>
        <w:t xml:space="preserve">Ley de Transparencia y Acceso a la Información Pública del </w:t>
      </w:r>
      <w:r w:rsidRPr="004D091F">
        <w:rPr>
          <w:rFonts w:ascii="Palatino Linotype" w:eastAsia="Palatino Linotype" w:hAnsi="Palatino Linotype" w:cs="Palatino Linotype"/>
          <w:color w:val="000000"/>
        </w:rPr>
        <w:t>Estado</w:t>
      </w:r>
      <w:r w:rsidRPr="004D091F">
        <w:rPr>
          <w:rFonts w:ascii="Palatino Linotype" w:eastAsia="Palatino Linotype" w:hAnsi="Palatino Linotype" w:cs="Palatino Linotype"/>
          <w:b/>
          <w:bCs/>
        </w:rPr>
        <w:t xml:space="preserve"> de México y Municipios</w:t>
      </w:r>
      <w:r w:rsidRPr="004D091F">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w:t>
      </w:r>
      <w:r w:rsidRPr="004D091F">
        <w:rPr>
          <w:rFonts w:ascii="Palatino Linotype" w:eastAsia="Palatino Linotype" w:hAnsi="Palatino Linotype" w:cs="Palatino Linotype"/>
        </w:rPr>
        <w:lastRenderedPageBreak/>
        <w:t>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11E6C" w:rsidRPr="004D091F" w:rsidRDefault="008A43BF">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r w:rsidRPr="004D091F">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D091F">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411E6C" w:rsidRPr="004D091F" w:rsidRDefault="00411E6C">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t xml:space="preserve">Numerales que compelen al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411E6C" w:rsidRPr="004D091F" w:rsidRDefault="00411E6C">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4D091F">
        <w:rPr>
          <w:rFonts w:ascii="Palatino Linotype" w:eastAsia="Palatino Linotype" w:hAnsi="Palatino Linotype" w:cs="Palatino Linotype"/>
          <w:color w:val="000000"/>
        </w:rPr>
        <w:t>Finalmente, del rubro relativo a saber cuántos de hermanos, hijos, primos, novia, esposa, o familiares del Tercer Regidor, o familiares hasta el tercer grado trabajan en la administración pública municipal de Toluca.</w:t>
      </w:r>
    </w:p>
    <w:p w:rsidR="00411E6C" w:rsidRPr="004D091F" w:rsidRDefault="00411E6C">
      <w:pPr>
        <w:pBdr>
          <w:top w:val="nil"/>
          <w:left w:val="nil"/>
          <w:bottom w:val="nil"/>
          <w:right w:val="nil"/>
          <w:between w:val="nil"/>
        </w:pBdr>
        <w:ind w:left="720"/>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Se </w:t>
      </w:r>
      <w:r w:rsidRPr="004D091F">
        <w:rPr>
          <w:rFonts w:ascii="Palatino Linotype" w:eastAsia="Palatino Linotype" w:hAnsi="Palatino Linotype" w:cs="Palatino Linotype"/>
          <w:color w:val="000000"/>
        </w:rPr>
        <w:t>debe</w:t>
      </w:r>
      <w:r w:rsidRPr="004D091F">
        <w:rPr>
          <w:rFonts w:ascii="Palatino Linotype" w:eastAsia="Palatino Linotype" w:hAnsi="Palatino Linotype" w:cs="Palatino Linotype"/>
        </w:rPr>
        <w:t xml:space="preserve"> de precisar que se está ante un derecho de petición y no ante el derecho de acceso a la información pública, situación por la cual se hace el siguiente análisis. </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En ese </w:t>
      </w:r>
      <w:r w:rsidRPr="004D091F">
        <w:rPr>
          <w:rFonts w:ascii="Palatino Linotype" w:eastAsia="Palatino Linotype" w:hAnsi="Palatino Linotype" w:cs="Palatino Linotype"/>
        </w:rPr>
        <w:t>sentido</w:t>
      </w:r>
      <w:r w:rsidRPr="004D091F">
        <w:rPr>
          <w:rFonts w:ascii="Palatino Linotype" w:eastAsia="Palatino Linotype" w:hAnsi="Palatino Linotype" w:cs="Palatino Linotype"/>
          <w:color w:val="000000"/>
        </w:rPr>
        <w:t>, es importante diferenciar lo que se entiende por derecho de petición y por derecho de acceso a la información pública.</w:t>
      </w:r>
    </w:p>
    <w:p w:rsidR="004D091F" w:rsidRDefault="004D091F">
      <w:pPr>
        <w:spacing w:before="240" w:after="240" w:line="360" w:lineRule="auto"/>
        <w:ind w:right="-91"/>
        <w:jc w:val="both"/>
        <w:rPr>
          <w:rFonts w:ascii="Palatino Linotype" w:eastAsia="Palatino Linotype" w:hAnsi="Palatino Linotype" w:cs="Palatino Linotype"/>
          <w:b/>
          <w:bCs/>
        </w:rPr>
      </w:pPr>
    </w:p>
    <w:p w:rsidR="00411E6C" w:rsidRPr="004D091F" w:rsidRDefault="008A43BF">
      <w:pPr>
        <w:spacing w:before="240" w:after="240" w:line="360" w:lineRule="auto"/>
        <w:ind w:right="-91"/>
        <w:jc w:val="both"/>
        <w:rPr>
          <w:rFonts w:ascii="Palatino Linotype" w:eastAsia="Palatino Linotype" w:hAnsi="Palatino Linotype" w:cs="Palatino Linotype"/>
          <w:b/>
          <w:bCs/>
        </w:rPr>
      </w:pPr>
      <w:r w:rsidRPr="004D091F">
        <w:rPr>
          <w:rFonts w:ascii="Palatino Linotype" w:eastAsia="Palatino Linotype" w:hAnsi="Palatino Linotype" w:cs="Palatino Linotype"/>
          <w:b/>
          <w:bCs/>
        </w:rPr>
        <w:lastRenderedPageBreak/>
        <w:t>Derecho de Petición:</w:t>
      </w:r>
    </w:p>
    <w:p w:rsidR="00411E6C" w:rsidRPr="004D091F" w:rsidRDefault="008A43BF">
      <w:pPr>
        <w:spacing w:before="240" w:after="240"/>
        <w:ind w:left="567" w:right="474"/>
        <w:jc w:val="both"/>
        <w:rPr>
          <w:rFonts w:ascii="Palatino Linotype" w:eastAsia="Palatino Linotype" w:hAnsi="Palatino Linotype" w:cs="Palatino Linotype"/>
        </w:rPr>
      </w:pPr>
      <w:r w:rsidRPr="004D091F">
        <w:rPr>
          <w:rFonts w:ascii="Palatino Linotype" w:eastAsia="Palatino Linotype" w:hAnsi="Palatino Linotype" w:cs="Palatino Linotype"/>
        </w:rPr>
        <w:t>El Doctor Ignacio Burgoa Orihuela refiere que derecho de petición: "...</w:t>
      </w:r>
      <w:r w:rsidRPr="004D091F">
        <w:rPr>
          <w:rFonts w:ascii="Palatino Linotype" w:eastAsia="Palatino Linotype" w:hAnsi="Palatino Linotype" w:cs="Palatino Linotype"/>
          <w:i/>
          <w:iC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4D091F">
        <w:rPr>
          <w:rFonts w:ascii="Palatino Linotype" w:eastAsia="Palatino Linotype" w:hAnsi="Palatino Linotype" w:cs="Palatino Linotype"/>
        </w:rPr>
        <w:t>"</w:t>
      </w:r>
      <w:r w:rsidRPr="004D091F">
        <w:rPr>
          <w:rFonts w:ascii="Palatino Linotype" w:eastAsia="Palatino Linotype" w:hAnsi="Palatino Linotype" w:cs="Palatino Linotype"/>
          <w:vertAlign w:val="superscript"/>
        </w:rPr>
        <w:footnoteReference w:id="1"/>
      </w:r>
    </w:p>
    <w:p w:rsidR="00411E6C" w:rsidRPr="004D091F" w:rsidRDefault="008A43BF">
      <w:pPr>
        <w:pBdr>
          <w:top w:val="nil"/>
          <w:left w:val="nil"/>
          <w:bottom w:val="nil"/>
          <w:right w:val="nil"/>
          <w:between w:val="nil"/>
        </w:pBdr>
        <w:spacing w:before="240" w:after="360"/>
        <w:ind w:left="567" w:right="474"/>
        <w:jc w:val="both"/>
        <w:rPr>
          <w:rFonts w:ascii="Palatino Linotype" w:eastAsia="Palatino Linotype" w:hAnsi="Palatino Linotype" w:cs="Palatino Linotype"/>
          <w:i/>
          <w:iCs/>
          <w:color w:val="000000"/>
        </w:rPr>
      </w:pPr>
      <w:r w:rsidRPr="004D091F">
        <w:rPr>
          <w:rFonts w:ascii="Palatino Linotype" w:eastAsia="Palatino Linotype" w:hAnsi="Palatino Linotype" w:cs="Palatino Linotype"/>
          <w:color w:val="000000"/>
        </w:rPr>
        <w:t xml:space="preserve">Por su parte, David Cienfuegos Salgado, concibe al derecho de petición como </w:t>
      </w:r>
      <w:r w:rsidRPr="004D091F">
        <w:rPr>
          <w:rFonts w:ascii="Palatino Linotype" w:eastAsia="Palatino Linotype" w:hAnsi="Palatino Linotype" w:cs="Palatino Linotype"/>
          <w:i/>
          <w:iCs/>
          <w:color w:val="000000"/>
        </w:rPr>
        <w:t>“el derecho de toda persona a ser escuchado por quienes ejercen el poder público.</w:t>
      </w:r>
      <w:r w:rsidRPr="004D091F">
        <w:rPr>
          <w:rFonts w:ascii="Palatino Linotype" w:eastAsia="Palatino Linotype" w:hAnsi="Palatino Linotype" w:cs="Palatino Linotype"/>
          <w:i/>
          <w:iCs/>
          <w:color w:val="000000"/>
          <w:vertAlign w:val="superscript"/>
        </w:rPr>
        <w:t xml:space="preserve"> </w:t>
      </w:r>
      <w:r w:rsidRPr="004D091F">
        <w:rPr>
          <w:rFonts w:ascii="Palatino Linotype" w:eastAsia="Palatino Linotype" w:hAnsi="Palatino Linotype" w:cs="Palatino Linotype"/>
          <w:i/>
          <w:iCs/>
          <w:color w:val="000000"/>
          <w:vertAlign w:val="superscript"/>
        </w:rPr>
        <w:footnoteReference w:id="2"/>
      </w:r>
      <w:r w:rsidRPr="004D091F">
        <w:rPr>
          <w:rFonts w:ascii="Palatino Linotype" w:eastAsia="Palatino Linotype" w:hAnsi="Palatino Linotype" w:cs="Palatino Linotype"/>
          <w:i/>
          <w:iCs/>
          <w:color w:val="000000"/>
        </w:rPr>
        <w:t xml:space="preserve">” </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De la misma manera, Migue Carbonell en su libro “Los derechos fundamentales” refiere que </w:t>
      </w:r>
      <w:r w:rsidRPr="004D091F">
        <w:rPr>
          <w:rFonts w:ascii="Palatino Linotype" w:eastAsia="Palatino Linotype" w:hAnsi="Palatino Linotype" w:cs="Palatino Linotype"/>
        </w:rPr>
        <w:t>el</w:t>
      </w:r>
      <w:r w:rsidRPr="004D091F">
        <w:rPr>
          <w:rFonts w:ascii="Palatino Linotype" w:eastAsia="Palatino Linotype" w:hAnsi="Palatino Linotype" w:cs="Palatino Linotype"/>
          <w:color w:val="000000"/>
        </w:rPr>
        <w:t xml:space="preserve">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4D091F">
        <w:rPr>
          <w:rFonts w:ascii="Palatino Linotype" w:eastAsia="Palatino Linotype" w:hAnsi="Palatino Linotype" w:cs="Palatino Linotype"/>
          <w:color w:val="000000"/>
          <w:vertAlign w:val="superscript"/>
        </w:rPr>
        <w:footnoteReference w:id="3"/>
      </w:r>
    </w:p>
    <w:p w:rsidR="00411E6C" w:rsidRPr="004D091F" w:rsidRDefault="00411E6C">
      <w:pPr>
        <w:spacing w:line="360" w:lineRule="auto"/>
        <w:ind w:right="-91"/>
        <w:jc w:val="both"/>
        <w:rPr>
          <w:rFonts w:ascii="Palatino Linotype" w:eastAsia="Palatino Linotype" w:hAnsi="Palatino Linotype" w:cs="Palatino Linotype"/>
          <w:b/>
          <w:bCs/>
        </w:rPr>
      </w:pPr>
    </w:p>
    <w:p w:rsidR="00411E6C" w:rsidRPr="004D091F" w:rsidRDefault="008A43BF">
      <w:pPr>
        <w:spacing w:line="360" w:lineRule="auto"/>
        <w:ind w:right="-91"/>
        <w:jc w:val="both"/>
        <w:rPr>
          <w:rFonts w:ascii="Palatino Linotype" w:eastAsia="Palatino Linotype" w:hAnsi="Palatino Linotype" w:cs="Palatino Linotype"/>
          <w:b/>
          <w:bCs/>
        </w:rPr>
      </w:pPr>
      <w:r w:rsidRPr="004D091F">
        <w:rPr>
          <w:rFonts w:ascii="Palatino Linotype" w:eastAsia="Palatino Linotype" w:hAnsi="Palatino Linotype" w:cs="Palatino Linotype"/>
          <w:b/>
          <w:bCs/>
        </w:rPr>
        <w:t>Derecho de Acceso a la Información Pública:</w:t>
      </w: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Asimismo, el autor anteriormente citado, indica que el derecho de acceso a la </w:t>
      </w:r>
      <w:r w:rsidRPr="004D091F">
        <w:rPr>
          <w:rFonts w:ascii="Palatino Linotype" w:eastAsia="Palatino Linotype" w:hAnsi="Palatino Linotype" w:cs="Palatino Linotype"/>
        </w:rPr>
        <w:t>información</w:t>
      </w:r>
      <w:r w:rsidRPr="004D091F">
        <w:rPr>
          <w:rFonts w:ascii="Palatino Linotype" w:eastAsia="Palatino Linotype" w:hAnsi="Palatino Linotype" w:cs="Palatino Linotype"/>
          <w:color w:val="000000"/>
        </w:rPr>
        <w:t xml:space="preserve"> pública es el derecho de conocer la información de carácter público que se </w:t>
      </w:r>
      <w:r w:rsidRPr="004D091F">
        <w:rPr>
          <w:rFonts w:ascii="Palatino Linotype" w:eastAsia="Palatino Linotype" w:hAnsi="Palatino Linotype" w:cs="Palatino Linotype"/>
          <w:color w:val="000000"/>
        </w:rPr>
        <w:lastRenderedPageBreak/>
        <w:t>genera o está en posesión de los órganos del poder público o de los sujetos que utilizan o se benefician con recursos provenientes del Estado, es el derecho que tienen los ciudadanos para acceder a documentos y datos que obren en el poder del gobierno.</w:t>
      </w:r>
    </w:p>
    <w:p w:rsidR="00411E6C" w:rsidRPr="004D091F" w:rsidRDefault="00411E6C">
      <w:pP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t>Por</w:t>
      </w:r>
      <w:r w:rsidRPr="004D091F">
        <w:rPr>
          <w:rFonts w:ascii="Palatino Linotype" w:eastAsia="Palatino Linotype" w:hAnsi="Palatino Linotype" w:cs="Palatino Linotype"/>
          <w:color w:val="000000"/>
        </w:rPr>
        <w:t xml:space="preserve">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4D091F">
        <w:rPr>
          <w:rFonts w:ascii="Palatino Linotype" w:eastAsia="Palatino Linotype" w:hAnsi="Palatino Linotype" w:cs="Palatino Linotype"/>
          <w:color w:val="000000"/>
          <w:vertAlign w:val="superscript"/>
        </w:rPr>
        <w:footnoteReference w:id="4"/>
      </w:r>
    </w:p>
    <w:p w:rsidR="00411E6C" w:rsidRPr="004D091F" w:rsidRDefault="00411E6C">
      <w:pP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t>Del</w:t>
      </w:r>
      <w:r w:rsidRPr="004D091F">
        <w:rPr>
          <w:rFonts w:ascii="Palatino Linotype" w:eastAsia="Palatino Linotype" w:hAnsi="Palatino Linotype" w:cs="Palatino Linotype"/>
          <w:color w:val="000000"/>
        </w:rPr>
        <w:t xml:space="preserve"> mismo modo, para diferenciar el derecho de petición del derecho de acceso a la </w:t>
      </w:r>
      <w:r w:rsidRPr="004D091F">
        <w:rPr>
          <w:rFonts w:ascii="Palatino Linotype" w:eastAsia="Palatino Linotype" w:hAnsi="Palatino Linotype" w:cs="Palatino Linotype"/>
        </w:rPr>
        <w:t>información</w:t>
      </w:r>
      <w:r w:rsidRPr="004D091F">
        <w:rPr>
          <w:rFonts w:ascii="Palatino Linotype" w:eastAsia="Palatino Linotype" w:hAnsi="Palatino Linotype" w:cs="Palatino Linotype"/>
          <w:color w:val="000000"/>
        </w:rPr>
        <w:t xml:space="preserve">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4D091F">
        <w:rPr>
          <w:rFonts w:ascii="Palatino Linotype" w:eastAsia="Palatino Linotype" w:hAnsi="Palatino Linotype" w:cs="Palatino Linotype"/>
          <w:color w:val="000000"/>
          <w:vertAlign w:val="superscript"/>
        </w:rPr>
        <w:footnoteReference w:id="5"/>
      </w:r>
    </w:p>
    <w:p w:rsidR="00411E6C" w:rsidRPr="004D091F" w:rsidRDefault="00411E6C">
      <w:pP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De ahí que, para entender los alcances de la información pública se considera importante citar el criterio de interpretación en el orden administrativo número 0002-11, </w:t>
      </w:r>
      <w:r w:rsidRPr="004D091F">
        <w:rPr>
          <w:rFonts w:ascii="Palatino Linotype" w:eastAsia="Palatino Linotype" w:hAnsi="Palatino Linotype" w:cs="Palatino Linotype"/>
        </w:rPr>
        <w:t>emitido</w:t>
      </w:r>
      <w:r w:rsidRPr="004D091F">
        <w:rPr>
          <w:rFonts w:ascii="Palatino Linotype" w:eastAsia="Palatino Linotype" w:hAnsi="Palatino Linotype" w:cs="Palatino Linotype"/>
          <w:color w:val="000000"/>
        </w:rPr>
        <w:t xml:space="preserve"> por Acuerdo del Pleno de este Instituto de Transparencia y Acceso a la Información </w:t>
      </w:r>
      <w:r w:rsidRPr="004D091F">
        <w:rPr>
          <w:rFonts w:ascii="Palatino Linotype" w:eastAsia="Palatino Linotype" w:hAnsi="Palatino Linotype" w:cs="Palatino Linotype"/>
          <w:color w:val="000000"/>
        </w:rPr>
        <w:lastRenderedPageBreak/>
        <w:t xml:space="preserve">Pública del Estado de México y Municipios, publicado en el Periódico Oficial del </w:t>
      </w:r>
      <w:r w:rsidRPr="004D091F">
        <w:rPr>
          <w:rFonts w:ascii="Palatino Linotype" w:eastAsia="Palatino Linotype" w:hAnsi="Palatino Linotype" w:cs="Palatino Linotype"/>
        </w:rPr>
        <w:t>Gobierno</w:t>
      </w:r>
      <w:r w:rsidRPr="004D091F">
        <w:rPr>
          <w:rFonts w:ascii="Palatino Linotype" w:eastAsia="Palatino Linotype" w:hAnsi="Palatino Linotype" w:cs="Palatino Linotype"/>
          <w:color w:val="000000"/>
        </w:rPr>
        <w:t xml:space="preserve"> del Estado Libre y Soberano de México “Gaceta del Gobierno” el diecinueve de octubre de dos mil once, cuyo rubro y texto dispone:</w:t>
      </w:r>
    </w:p>
    <w:p w:rsidR="00411E6C" w:rsidRPr="004D091F" w:rsidRDefault="008A43BF">
      <w:pPr>
        <w:ind w:left="1134" w:right="900"/>
        <w:jc w:val="both"/>
        <w:rPr>
          <w:rFonts w:ascii="Palatino Linotype" w:eastAsia="Palatino Linotype" w:hAnsi="Palatino Linotype" w:cs="Palatino Linotype"/>
          <w:b/>
          <w:bCs/>
          <w:i/>
          <w:iCs/>
        </w:rPr>
      </w:pPr>
      <w:r w:rsidRPr="004D091F">
        <w:rPr>
          <w:rFonts w:ascii="Palatino Linotype" w:eastAsia="Palatino Linotype" w:hAnsi="Palatino Linotype" w:cs="Palatino Linotype"/>
          <w:b/>
          <w:bCs/>
          <w:i/>
          <w:iCs/>
        </w:rPr>
        <w:t>“CRITERIO 0002-11</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INFORMACIÓN PÚBLICA, CONCEPTO DE, EN MATERIA DE TRANSPARENCIA. INTERPRETACIÓN TEMÁTICA DE LOS ARTÍCULOS 2, FRACCIÓN V, XV, Y XVI, 32, 4,11 Y 41.</w:t>
      </w:r>
      <w:r w:rsidRPr="004D091F">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En consecuencia el acceso a la información se refiere a que se cumplan cualquiera de los siguientes tres supuestos: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411E6C" w:rsidRPr="004D091F" w:rsidRDefault="008A43BF">
      <w:pPr>
        <w:ind w:left="1134" w:right="900"/>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w:t>
      </w:r>
    </w:p>
    <w:p w:rsidR="00411E6C" w:rsidRPr="004D091F" w:rsidRDefault="00411E6C">
      <w:pPr>
        <w:ind w:left="1134" w:right="900"/>
        <w:jc w:val="both"/>
        <w:rPr>
          <w:rFonts w:ascii="Palatino Linotype" w:eastAsia="Palatino Linotype" w:hAnsi="Palatino Linotype" w:cs="Palatino Linotype"/>
          <w:i/>
          <w:iCs/>
          <w:color w:val="000000"/>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De </w:t>
      </w:r>
      <w:r w:rsidRPr="004D091F">
        <w:rPr>
          <w:rFonts w:ascii="Palatino Linotype" w:eastAsia="Palatino Linotype" w:hAnsi="Palatino Linotype" w:cs="Palatino Linotype"/>
        </w:rPr>
        <w:t>lo</w:t>
      </w:r>
      <w:r w:rsidRPr="004D091F">
        <w:rPr>
          <w:rFonts w:ascii="Palatino Linotype" w:eastAsia="Palatino Linotype" w:hAnsi="Palatino Linotype" w:cs="Palatino Linotype"/>
          <w:color w:val="000000"/>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w:t>
      </w:r>
      <w:r w:rsidRPr="004D091F">
        <w:rPr>
          <w:rFonts w:ascii="Palatino Linotype" w:eastAsia="Palatino Linotype" w:hAnsi="Palatino Linotype" w:cs="Palatino Linotype"/>
        </w:rPr>
        <w:t>contestar</w:t>
      </w:r>
      <w:r w:rsidRPr="004D091F">
        <w:rPr>
          <w:rFonts w:ascii="Palatino Linotype" w:eastAsia="Palatino Linotype" w:hAnsi="Palatino Linotype" w:cs="Palatino Linotype"/>
          <w:color w:val="000000"/>
        </w:rPr>
        <w:t xml:space="preserve">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411E6C"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 xml:space="preserve">En ese sentido,  se determina que el punto de la solicitud de información consiste en querer utilizar el derecho de petición y no el derecho de acceso a la información, toda vez que el </w:t>
      </w:r>
      <w:r w:rsidRPr="004D091F">
        <w:rPr>
          <w:rFonts w:ascii="Palatino Linotype" w:eastAsia="Palatino Linotype" w:hAnsi="Palatino Linotype" w:cs="Palatino Linotype"/>
          <w:b/>
          <w:bCs/>
        </w:rPr>
        <w:t xml:space="preserve">RECURRENTE </w:t>
      </w:r>
      <w:r w:rsidRPr="004D091F">
        <w:rPr>
          <w:rFonts w:ascii="Palatino Linotype" w:eastAsia="Palatino Linotype" w:hAnsi="Palatino Linotype" w:cs="Palatino Linotype"/>
        </w:rPr>
        <w:t xml:space="preserve">pretende acceder al pronunciamiento si se hizo del </w:t>
      </w:r>
      <w:r w:rsidRPr="004D091F">
        <w:rPr>
          <w:rFonts w:ascii="Palatino Linotype" w:eastAsia="Palatino Linotype" w:hAnsi="Palatino Linotype" w:cs="Palatino Linotype"/>
          <w:color w:val="000000"/>
        </w:rPr>
        <w:t>conocimiento</w:t>
      </w:r>
      <w:r w:rsidRPr="004D091F">
        <w:rPr>
          <w:rFonts w:ascii="Palatino Linotype" w:eastAsia="Palatino Linotype" w:hAnsi="Palatino Linotype" w:cs="Palatino Linotype"/>
        </w:rPr>
        <w:t xml:space="preserve"> de la Presidenta Municipal de si el Titular de la Unidad de Transparencia cuenta con la certificación en materia de acceso a la información, transparencia y protección de datos personales, situación que no puede ser colmada toda vez que con un pronunciamiento o respuesta a interrogantes no puede ser colmado el derecho de acceso a la información.</w:t>
      </w:r>
    </w:p>
    <w:p w:rsidR="004D091F" w:rsidRPr="004D091F" w:rsidRDefault="004D091F" w:rsidP="004D091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7" w:name="_heading=h.rg2ruq8jibmx" w:colFirst="0" w:colLast="0"/>
      <w:bookmarkEnd w:id="7"/>
      <w:r w:rsidRPr="004D091F">
        <w:rPr>
          <w:rFonts w:ascii="Palatino Linotype" w:eastAsia="Palatino Linotype" w:hAnsi="Palatino Linotype" w:cs="Palatino Linotype"/>
        </w:rPr>
        <w:t xml:space="preserve">Con la determinación anterior, se tendrá por colmado el derecho de acceso a la información del ahora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toda vez </w:t>
      </w:r>
      <w:r w:rsidRPr="004D091F">
        <w:rPr>
          <w:rFonts w:ascii="Palatino Linotype" w:eastAsia="Palatino Linotype" w:hAnsi="Palatino Linotype" w:cs="Palatino Linotype"/>
          <w:color w:val="000000"/>
        </w:rPr>
        <w:t xml:space="preserve">que el Derecho que tutela este Órgano Garante corresponde a la  </w:t>
      </w:r>
      <w:r w:rsidRPr="004D091F">
        <w:rPr>
          <w:rFonts w:ascii="Palatino Linotype" w:eastAsia="Palatino Linotype" w:hAnsi="Palatino Linotype" w:cs="Palatino Linotype"/>
          <w:i/>
          <w:iCs/>
        </w:rPr>
        <w:t>igualdad de oportunidades para recibir, buscar e impartir información</w:t>
      </w:r>
      <w:r w:rsidRPr="004D091F">
        <w:rPr>
          <w:rFonts w:ascii="Palatino Linotype" w:eastAsia="Palatino Linotype" w:hAnsi="Palatino Linotype" w:cs="Palatino Linotype"/>
          <w:i/>
          <w:iCs/>
          <w:vertAlign w:val="superscript"/>
        </w:rPr>
        <w:footnoteReference w:id="6"/>
      </w:r>
      <w:r w:rsidRPr="004D091F">
        <w:rPr>
          <w:rFonts w:ascii="Palatino Linotype" w:eastAsia="Palatino Linotype" w:hAnsi="Palatino Linotype" w:cs="Palatino Linotype"/>
          <w:i/>
          <w:iC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D091F">
        <w:rPr>
          <w:rFonts w:ascii="Palatino Linotype" w:eastAsia="Palatino Linotype" w:hAnsi="Palatino Linotype" w:cs="Palatino Linotype"/>
          <w:vertAlign w:val="superscript"/>
        </w:rPr>
        <w:footnoteReference w:id="7"/>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rPr>
        <w:t xml:space="preserve">que se constituye como una herramienta fundamental para </w:t>
      </w:r>
      <w:r w:rsidRPr="004D091F">
        <w:rPr>
          <w:rFonts w:ascii="Palatino Linotype" w:eastAsia="Palatino Linotype" w:hAnsi="Palatino Linotype" w:cs="Palatino Linotype"/>
          <w:i/>
          <w:iCs/>
        </w:rPr>
        <w:t>ejercer control democrático de las gestiones estatales, de forma tal que puedan cuestionar, indagar y considerar si se está dando un adecuado cumplimiento de las funciones públicas,</w:t>
      </w:r>
      <w:r w:rsidRPr="004D091F">
        <w:rPr>
          <w:rFonts w:ascii="Palatino Linotype" w:eastAsia="Palatino Linotype" w:hAnsi="Palatino Linotype" w:cs="Palatino Linotype"/>
          <w:i/>
          <w:iCs/>
          <w:vertAlign w:val="superscript"/>
        </w:rPr>
        <w:footnoteReference w:id="8"/>
      </w:r>
      <w:r w:rsidRPr="004D091F">
        <w:rPr>
          <w:rFonts w:ascii="Palatino Linotype" w:eastAsia="Palatino Linotype" w:hAnsi="Palatino Linotype" w:cs="Palatino Linotype"/>
        </w:rPr>
        <w:t>fomentando</w:t>
      </w:r>
      <w:r w:rsidRPr="004D091F">
        <w:rPr>
          <w:rFonts w:ascii="Palatino Linotype" w:eastAsia="Palatino Linotype" w:hAnsi="Palatino Linotype" w:cs="Palatino Linotype"/>
          <w:i/>
          <w:iCs/>
        </w:rPr>
        <w:t xml:space="preserve"> la transparencia de las actividades estatales y</w:t>
      </w:r>
      <w:r w:rsidRPr="004D091F">
        <w:rPr>
          <w:rFonts w:ascii="Palatino Linotype" w:eastAsia="Palatino Linotype" w:hAnsi="Palatino Linotype" w:cs="Palatino Linotype"/>
        </w:rPr>
        <w:t xml:space="preserve"> promoviendo</w:t>
      </w:r>
      <w:r w:rsidRPr="004D091F">
        <w:rPr>
          <w:rFonts w:ascii="Palatino Linotype" w:eastAsia="Palatino Linotype" w:hAnsi="Palatino Linotype" w:cs="Palatino Linotype"/>
          <w:i/>
          <w:iCs/>
        </w:rPr>
        <w:t xml:space="preserve"> la responsabilidad de los funcionarios sobre </w:t>
      </w:r>
      <w:r w:rsidRPr="004D091F">
        <w:rPr>
          <w:rFonts w:ascii="Palatino Linotype" w:eastAsia="Palatino Linotype" w:hAnsi="Palatino Linotype" w:cs="Palatino Linotype"/>
          <w:i/>
          <w:iCs/>
        </w:rPr>
        <w:lastRenderedPageBreak/>
        <w:t>su gestión pública</w:t>
      </w:r>
      <w:r w:rsidRPr="004D091F">
        <w:rPr>
          <w:rFonts w:ascii="Palatino Linotype" w:eastAsia="Palatino Linotype" w:hAnsi="Palatino Linotype" w:cs="Palatino Linotype"/>
          <w:i/>
          <w:iCs/>
          <w:vertAlign w:val="superscript"/>
        </w:rPr>
        <w:footnoteReference w:id="9"/>
      </w:r>
      <w:r w:rsidRPr="004D091F">
        <w:rPr>
          <w:rFonts w:ascii="Palatino Linotype" w:eastAsia="Palatino Linotype" w:hAnsi="Palatino Linotype" w:cs="Palatino Linotype"/>
          <w:i/>
          <w:iCs/>
        </w:rPr>
        <w:t xml:space="preserve"> </w:t>
      </w:r>
      <w:r w:rsidRPr="004D091F">
        <w:rPr>
          <w:rFonts w:ascii="Palatino Linotype" w:eastAsia="Palatino Linotype" w:hAnsi="Palatino Linotype" w:cs="Palatino Linotype"/>
        </w:rPr>
        <w:t>que permite</w:t>
      </w:r>
      <w:r w:rsidRPr="004D091F">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r w:rsidRPr="004D091F">
        <w:rPr>
          <w:rFonts w:ascii="Palatino Linotype" w:eastAsia="Palatino Linotype" w:hAnsi="Palatino Linotype" w:cs="Palatino Linotype"/>
          <w:i/>
          <w:iCs/>
          <w:vertAlign w:val="superscript"/>
        </w:rPr>
        <w:footnoteReference w:id="10"/>
      </w:r>
      <w:r w:rsidRPr="004D091F">
        <w:rPr>
          <w:rFonts w:ascii="Palatino Linotype" w:eastAsia="Palatino Linotype" w:hAnsi="Palatino Linotype" w:cs="Palatino Linotype"/>
        </w:rPr>
        <w:t xml:space="preserve"> ” </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Es así que, todos los actos de autoridad que realicen los Sujetos Obligados </w:t>
      </w:r>
      <w:r w:rsidRPr="004D091F">
        <w:rPr>
          <w:rFonts w:ascii="Palatino Linotype" w:eastAsia="Palatino Linotype" w:hAnsi="Palatino Linotype" w:cs="Palatino Linotype"/>
          <w:b/>
          <w:bCs/>
        </w:rPr>
        <w:t>deben estar documentados</w:t>
      </w:r>
      <w:r w:rsidRPr="004D091F">
        <w:rPr>
          <w:rFonts w:ascii="Palatino Linotype" w:eastAsia="Palatino Linotype" w:hAnsi="Palatino Linotype" w:cs="Palatino Linotype"/>
        </w:rPr>
        <w:t xml:space="preserve"> y, bajo el más alto estándar de transparencia deberán poner toda la información que se encuentre en su posesión, a disposición de los particulares que la soliciten.</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color w:val="000000"/>
        </w:rPr>
        <w:t xml:space="preserve">Además, </w:t>
      </w:r>
      <w:r w:rsidRPr="004D091F">
        <w:rPr>
          <w:rFonts w:ascii="Palatino Linotype" w:eastAsia="Palatino Linotype" w:hAnsi="Palatino Linotype" w:cs="Palatino Linotype"/>
        </w:rPr>
        <w:t>debemos</w:t>
      </w:r>
      <w:r w:rsidRPr="004D091F">
        <w:rPr>
          <w:rFonts w:ascii="Palatino Linotype" w:eastAsia="Palatino Linotype" w:hAnsi="Palatino Linotype" w:cs="Palatino Linotype"/>
          <w:color w:val="000000"/>
        </w:rPr>
        <w:t xml:space="preserve"> tomar en cuenta los artículos 4 y 12 (antes transcritos), de la Ley de Transparencia y Acceso a la Información Pública del Estado de México y </w:t>
      </w:r>
      <w:r w:rsidRPr="004D091F">
        <w:rPr>
          <w:rFonts w:ascii="Palatino Linotype" w:eastAsia="Palatino Linotype" w:hAnsi="Palatino Linotype" w:cs="Palatino Linotype"/>
        </w:rPr>
        <w:t>Municipios</w:t>
      </w:r>
      <w:r w:rsidRPr="004D091F">
        <w:rPr>
          <w:rFonts w:ascii="Palatino Linotype" w:eastAsia="Palatino Linotype" w:hAnsi="Palatino Linotype" w:cs="Palatino Linotype"/>
          <w:color w:val="000000"/>
        </w:rPr>
        <w:t xml:space="preserve">. </w:t>
      </w:r>
      <w:r w:rsidRPr="004D091F">
        <w:rPr>
          <w:rFonts w:ascii="Palatino Linotype" w:eastAsia="Palatino Linotype" w:hAnsi="Palatino Linotype" w:cs="Palatino Linotype"/>
        </w:rPr>
        <w:t xml:space="preserve">Es así que, por un lado se tiene la obligación de documentar todos los actos que se lleven a cabo en el ejercicio de sus funciones, atribuciones y competencias, mientras que por otro, se ven impuestos por la obligación de hacer pública toda aquella </w:t>
      </w:r>
      <w:r w:rsidRPr="004D091F">
        <w:rPr>
          <w:rFonts w:ascii="Palatino Linotype" w:eastAsia="Palatino Linotype" w:hAnsi="Palatino Linotype" w:cs="Palatino Linotype"/>
          <w:color w:val="000000"/>
        </w:rPr>
        <w:t>información</w:t>
      </w:r>
      <w:r w:rsidRPr="004D091F">
        <w:rPr>
          <w:rFonts w:ascii="Palatino Linotype" w:eastAsia="Palatino Linotype" w:hAnsi="Palatino Linotype" w:cs="Palatino Linotype"/>
        </w:rPr>
        <w:t xml:space="preserve"> que se encuentre en su posesión en estricto apego a los principios de eficacia</w:t>
      </w:r>
      <w:r w:rsidRPr="004D091F">
        <w:rPr>
          <w:rFonts w:ascii="Palatino Linotype" w:eastAsia="Palatino Linotype" w:hAnsi="Palatino Linotype" w:cs="Palatino Linotype"/>
          <w:vertAlign w:val="superscript"/>
        </w:rPr>
        <w:footnoteReference w:id="11"/>
      </w:r>
      <w:r w:rsidRPr="004D091F">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11E6C" w:rsidRPr="004D091F" w:rsidRDefault="008A43BF">
      <w:pPr>
        <w:spacing w:line="360" w:lineRule="auto"/>
        <w:ind w:right="49"/>
        <w:jc w:val="both"/>
        <w:rPr>
          <w:rFonts w:ascii="Palatino Linotype" w:eastAsia="Palatino Linotype" w:hAnsi="Palatino Linotype" w:cs="Palatino Linotype"/>
          <w:b/>
          <w:bCs/>
        </w:rPr>
      </w:pPr>
      <w:r w:rsidRPr="004D091F">
        <w:rPr>
          <w:rFonts w:ascii="Palatino Linotype" w:eastAsia="Palatino Linotype" w:hAnsi="Palatino Linotype" w:cs="Palatino Linotype"/>
          <w:b/>
          <w:bCs/>
        </w:rPr>
        <w:lastRenderedPageBreak/>
        <w:t>QUINTO. De la versión pública.</w:t>
      </w:r>
    </w:p>
    <w:p w:rsidR="00411E6C"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color w:val="000000"/>
        </w:rPr>
        <w:t>Finalmente</w:t>
      </w:r>
      <w:r w:rsidRPr="004D091F">
        <w:rPr>
          <w:rFonts w:ascii="Palatino Linotype" w:eastAsia="Palatino Linotype" w:hAnsi="Palatino Linotype" w:cs="Palatino Linotype"/>
        </w:rPr>
        <w:t xml:space="preserve">, debe señalarse que lo ordenado contiene datos personales conforme al análisis realizado, por tanto,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para dar cumplimiento a la presente Resolución, deberá proceder a la elaboración de la versión pública de tales documentos a fin de satisfacer el derecho de acceso a la información pública del recurrente sin menoscabo al derecho a la protección de los datos personales de terceros.</w:t>
      </w:r>
    </w:p>
    <w:p w:rsidR="004D091F" w:rsidRPr="004D091F" w:rsidRDefault="004D091F" w:rsidP="004D091F">
      <w:pPr>
        <w:spacing w:line="360" w:lineRule="auto"/>
        <w:ind w:right="49"/>
        <w:jc w:val="both"/>
        <w:rPr>
          <w:rFonts w:ascii="Palatino Linotype" w:eastAsia="Palatino Linotype" w:hAnsi="Palatino Linotype" w:cs="Palatino Linotype"/>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r w:rsidRPr="004D091F">
        <w:rPr>
          <w:rFonts w:ascii="Palatino Linotype" w:eastAsia="Palatino Linotype" w:hAnsi="Palatino Linotype" w:cs="Palatino Linotype"/>
          <w:b/>
          <w:bCs/>
          <w:i/>
          <w:iCs/>
        </w:rPr>
        <w:t>Artículo 3</w:t>
      </w:r>
      <w:r w:rsidRPr="004D091F">
        <w:rPr>
          <w:rFonts w:ascii="Palatino Linotype" w:eastAsia="Palatino Linotype" w:hAnsi="Palatino Linotype" w:cs="Palatino Linotype"/>
          <w:i/>
          <w:iCs/>
        </w:rPr>
        <w:t>. Para los efectos de la presente Ley se entenderá por:</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IX. Datos personales</w:t>
      </w:r>
      <w:r w:rsidRPr="004D091F">
        <w:rPr>
          <w:rFonts w:ascii="Palatino Linotype" w:eastAsia="Palatino Linotype" w:hAnsi="Palatino Linotype" w:cs="Palatino Linotype"/>
          <w:i/>
          <w:iCs/>
        </w:rPr>
        <w:t xml:space="preserve">: La información concerniente a una persona, identificada o identificable según lo dispuesto por la Ley de Protección de Datos Personales del Estado de México; </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XX. Información clasificada</w:t>
      </w:r>
      <w:r w:rsidRPr="004D091F">
        <w:rPr>
          <w:rFonts w:ascii="Palatino Linotype" w:eastAsia="Palatino Linotype" w:hAnsi="Palatino Linotype" w:cs="Palatino Linotype"/>
          <w:i/>
          <w:iCs/>
        </w:rPr>
        <w:t>: Aquella considerada por la presente Ley como reservada o confidencial;</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 xml:space="preserve">XXI. Información confidencial: </w:t>
      </w:r>
      <w:r w:rsidRPr="004D091F">
        <w:rPr>
          <w:rFonts w:ascii="Palatino Linotype" w:eastAsia="Palatino Linotype" w:hAnsi="Palatino Linotype" w:cs="Palatino Linotype"/>
          <w:i/>
          <w:iC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XLV. Versión pública:</w:t>
      </w:r>
      <w:r w:rsidRPr="004D091F">
        <w:rPr>
          <w:rFonts w:ascii="Palatino Linotype" w:eastAsia="Palatino Linotype" w:hAnsi="Palatino Linotype" w:cs="Palatino Linotype"/>
          <w:i/>
          <w:iCs/>
        </w:rPr>
        <w:t xml:space="preserve"> Documento en el que se elimine, suprime o borra la información clasificada como reservada o confidencial para permitir su acceso.</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w:t>
      </w:r>
    </w:p>
    <w:p w:rsidR="00411E6C" w:rsidRPr="004D091F" w:rsidRDefault="00411E6C">
      <w:pPr>
        <w:spacing w:line="360" w:lineRule="auto"/>
        <w:ind w:left="1134" w:right="902"/>
        <w:jc w:val="both"/>
        <w:rPr>
          <w:rFonts w:ascii="Palatino Linotype" w:eastAsia="Palatino Linotype" w:hAnsi="Palatino Linotype" w:cs="Palatino Linotype"/>
          <w:i/>
          <w:iCs/>
        </w:rPr>
      </w:pP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91.</w:t>
      </w:r>
      <w:r w:rsidRPr="004D091F">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132.</w:t>
      </w:r>
      <w:r w:rsidRPr="004D091F">
        <w:rPr>
          <w:rFonts w:ascii="Palatino Linotype" w:eastAsia="Palatino Linotype" w:hAnsi="Palatino Linotype" w:cs="Palatino Linotype"/>
          <w:i/>
          <w:iCs/>
        </w:rPr>
        <w:t xml:space="preserve"> La clasificación de la información se llevará a cabo en el momento en que:</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w:t>
      </w:r>
      <w:r w:rsidRPr="004D091F">
        <w:rPr>
          <w:rFonts w:ascii="Palatino Linotype" w:eastAsia="Palatino Linotype" w:hAnsi="Palatino Linotype" w:cs="Palatino Linotype"/>
          <w:i/>
          <w:iCs/>
        </w:rPr>
        <w:t>. Se reciba una solicitud de acceso a la información;</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w:t>
      </w:r>
      <w:r w:rsidRPr="004D091F">
        <w:rPr>
          <w:rFonts w:ascii="Palatino Linotype" w:eastAsia="Palatino Linotype" w:hAnsi="Palatino Linotype" w:cs="Palatino Linotype"/>
          <w:i/>
          <w:iCs/>
        </w:rPr>
        <w:t xml:space="preserve"> Se determine mediante resolución de autoridad competente; o</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III.</w:t>
      </w:r>
      <w:r w:rsidRPr="004D091F">
        <w:rPr>
          <w:rFonts w:ascii="Palatino Linotype" w:eastAsia="Palatino Linotype" w:hAnsi="Palatino Linotype" w:cs="Palatino Linotype"/>
          <w:i/>
          <w:iCs/>
        </w:rPr>
        <w:t xml:space="preserve"> Se generen versiones públicas para dar cumplimiento a las obligaciones de transparencia previstas en esta Ley.</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Artículo 143</w:t>
      </w:r>
      <w:r w:rsidRPr="004D091F">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w:t>
      </w:r>
      <w:r w:rsidRPr="004D091F">
        <w:rPr>
          <w:rFonts w:ascii="Palatino Linotype" w:eastAsia="Palatino Linotype" w:hAnsi="Palatino Linotype" w:cs="Palatino Linotype"/>
          <w:i/>
          <w:iCs/>
        </w:rPr>
        <w:t xml:space="preserve"> Se refiera a la información privada y los datos personales concernientes a una persona física o jurídico colectiva identificada o identificable;</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w:t>
      </w:r>
      <w:r w:rsidRPr="004D091F">
        <w:rPr>
          <w:rFonts w:ascii="Palatino Linotype" w:eastAsia="Palatino Linotype" w:hAnsi="Palatino Linotype" w:cs="Palatino Linotype"/>
          <w:i/>
          <w:iCs/>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III.</w:t>
      </w:r>
      <w:r w:rsidRPr="004D091F">
        <w:rPr>
          <w:rFonts w:ascii="Palatino Linotype" w:eastAsia="Palatino Linotype" w:hAnsi="Palatino Linotype" w:cs="Palatino Linotype"/>
          <w:i/>
          <w:iCs/>
        </w:rPr>
        <w:t xml:space="preserve"> La que presenten los particulares a los sujetos obligados, de conformidad con lo dispuesto por las leyes o los tratados internacionales.</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lastRenderedPageBreak/>
        <w:t>La información confidencial no estará sujeta a temporalidad alguna y sólo podrán tener acceso a ella los titulares de la misma, sus representantes y los servidores públicos facultados para ello.</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11E6C" w:rsidRPr="004D091F" w:rsidRDefault="00411E6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“Quincuagésimo sexto</w:t>
      </w:r>
      <w:r w:rsidRPr="004D091F">
        <w:rPr>
          <w:rFonts w:ascii="Palatino Linotype" w:eastAsia="Palatino Linotype" w:hAnsi="Palatino Linotype" w:cs="Palatino Linotype"/>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lastRenderedPageBreak/>
        <w:t>Quincuagésimo séptimo</w:t>
      </w:r>
      <w:r w:rsidRPr="004D091F">
        <w:rPr>
          <w:rFonts w:ascii="Palatino Linotype" w:eastAsia="Palatino Linotype" w:hAnsi="Palatino Linotype" w:cs="Palatino Linotype"/>
          <w:i/>
          <w:iCs/>
        </w:rPr>
        <w:t xml:space="preserve">. Se considera, en principio, como información pública y no podrá omitirse de las versiones públicas la siguiente: </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w:t>
      </w:r>
      <w:r w:rsidRPr="004D091F">
        <w:rPr>
          <w:rFonts w:ascii="Palatino Linotype" w:eastAsia="Palatino Linotype" w:hAnsi="Palatino Linotype" w:cs="Palatino Linotype"/>
          <w:i/>
          <w:iCs/>
        </w:rPr>
        <w:t xml:space="preserve"> La relativa a las Obligaciones de Transparencia que contempla el Título V de la Ley General y las demás disposiciones legales aplicables; </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w:t>
      </w:r>
      <w:r w:rsidRPr="004D091F">
        <w:rPr>
          <w:rFonts w:ascii="Palatino Linotype" w:eastAsia="Palatino Linotype" w:hAnsi="Palatino Linotype" w:cs="Palatino Linotype"/>
          <w:i/>
          <w:iCs/>
        </w:rPr>
        <w:t xml:space="preserve"> El nombre de los servidores públicos en los documentos, y sus firmas autógrafas, cuando sean utilizados en el ejercicio de las facultades conferidas para el desempeño del servicio público, y </w:t>
      </w:r>
    </w:p>
    <w:p w:rsidR="00411E6C" w:rsidRPr="004D091F" w:rsidRDefault="008A43BF">
      <w:pPr>
        <w:spacing w:line="360" w:lineRule="auto"/>
        <w:ind w:left="1134"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III.</w:t>
      </w:r>
      <w:r w:rsidRPr="004D091F">
        <w:rPr>
          <w:rFonts w:ascii="Palatino Linotype" w:eastAsia="Palatino Linotype" w:hAnsi="Palatino Linotype" w:cs="Palatino Linotype"/>
          <w:i/>
          <w:iCs/>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spacing w:line="360" w:lineRule="auto"/>
        <w:ind w:left="851" w:right="902"/>
        <w:jc w:val="both"/>
        <w:rPr>
          <w:rFonts w:ascii="Palatino Linotype" w:eastAsia="Palatino Linotype" w:hAnsi="Palatino Linotype" w:cs="Palatino Linotype"/>
          <w:i/>
          <w:iCs/>
        </w:rPr>
      </w:pPr>
      <w:r w:rsidRPr="004D091F">
        <w:rPr>
          <w:rFonts w:ascii="Palatino Linotype" w:eastAsia="Palatino Linotype" w:hAnsi="Palatino Linotype" w:cs="Palatino Linotype"/>
          <w:b/>
          <w:bCs/>
          <w:i/>
          <w:iCs/>
        </w:rPr>
        <w:t>Quincuagésimo octavo</w:t>
      </w:r>
      <w:r w:rsidRPr="004D091F">
        <w:rPr>
          <w:rFonts w:ascii="Palatino Linotype" w:eastAsia="Palatino Linotype" w:hAnsi="Palatino Linotype" w:cs="Palatino Linotype"/>
          <w:i/>
          <w:iCs/>
        </w:rPr>
        <w:t>. Los sujetos obligados garantizarán que los sistemas o medios empleados para eliminar la información en las versiones públicas no permitan la recuperación o visualización de la misma.”</w:t>
      </w:r>
    </w:p>
    <w:p w:rsidR="00411E6C" w:rsidRPr="004D091F" w:rsidRDefault="00411E6C">
      <w:pPr>
        <w:spacing w:line="360" w:lineRule="auto"/>
        <w:ind w:left="851" w:right="902"/>
        <w:jc w:val="both"/>
        <w:rPr>
          <w:rFonts w:ascii="Palatino Linotype" w:eastAsia="Palatino Linotype" w:hAnsi="Palatino Linotype" w:cs="Palatino Linotype"/>
          <w:i/>
          <w:iCs/>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En el caso concreto de manera enunciativa mas no limitativa, los siguientes datos:</w:t>
      </w:r>
    </w:p>
    <w:p w:rsidR="00411E6C" w:rsidRPr="004D091F" w:rsidRDefault="00411E6C">
      <w:pPr>
        <w:spacing w:line="360" w:lineRule="auto"/>
        <w:ind w:right="49"/>
        <w:jc w:val="both"/>
        <w:rPr>
          <w:rFonts w:ascii="Palatino Linotype" w:eastAsia="Palatino Linotype" w:hAnsi="Palatino Linotype" w:cs="Palatino Linotype"/>
          <w:color w:val="000000"/>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Luego entonces, el </w:t>
      </w:r>
      <w:r w:rsidRPr="004D091F">
        <w:rPr>
          <w:rFonts w:ascii="Palatino Linotype" w:eastAsia="Palatino Linotype" w:hAnsi="Palatino Linotype" w:cs="Palatino Linotype"/>
          <w:b/>
          <w:bCs/>
          <w:color w:val="000000"/>
        </w:rPr>
        <w:t xml:space="preserve">SUJETOS OBLIGADOS </w:t>
      </w:r>
      <w:r w:rsidRPr="004D091F">
        <w:rPr>
          <w:rFonts w:ascii="Palatino Linotype" w:eastAsia="Palatino Linotype" w:hAnsi="Palatino Linotype" w:cs="Palatino Linotype"/>
          <w:color w:val="000000"/>
        </w:rPr>
        <w:t xml:space="preserve">será responsable de los datos personales en </w:t>
      </w:r>
      <w:r w:rsidRPr="004D091F">
        <w:rPr>
          <w:rFonts w:ascii="Palatino Linotype" w:eastAsia="Palatino Linotype" w:hAnsi="Palatino Linotype" w:cs="Palatino Linotype"/>
        </w:rPr>
        <w:t>su</w:t>
      </w:r>
      <w:r w:rsidRPr="004D091F">
        <w:rPr>
          <w:rFonts w:ascii="Palatino Linotype" w:eastAsia="Palatino Linotype" w:hAnsi="Palatino Linotype" w:cs="Palatino Linotype"/>
          <w:color w:val="000000"/>
        </w:rPr>
        <w:t xml:space="preserve"> posesión y que, en caso de localizarse datos concernientes a terceros, éstos no podrán difundir, distribuir o comercializar los datos personales.  Cabe destacar que, para la realización de la clasificación de la información, se deben seguir una serie de </w:t>
      </w:r>
      <w:r w:rsidRPr="004D091F">
        <w:rPr>
          <w:rFonts w:ascii="Palatino Linotype" w:eastAsia="Palatino Linotype" w:hAnsi="Palatino Linotype" w:cs="Palatino Linotype"/>
        </w:rPr>
        <w:t>pasos</w:t>
      </w:r>
      <w:r w:rsidRPr="004D091F">
        <w:rPr>
          <w:rFonts w:ascii="Palatino Linotype" w:eastAsia="Palatino Linotype" w:hAnsi="Palatino Linotype" w:cs="Palatino Linotype"/>
          <w:color w:val="000000"/>
        </w:rPr>
        <w:t xml:space="preserve"> y procedimientos, por lo que es menester reiterar los mismos:</w:t>
      </w:r>
    </w:p>
    <w:tbl>
      <w:tblPr>
        <w:tblStyle w:val="a5"/>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411E6C" w:rsidRPr="004D091F" w:rsidTr="004D091F">
        <w:tc>
          <w:tcPr>
            <w:tcW w:w="2689" w:type="dxa"/>
          </w:tcPr>
          <w:p w:rsidR="00411E6C" w:rsidRPr="004D091F" w:rsidRDefault="008A43BF">
            <w:pPr>
              <w:tabs>
                <w:tab w:val="left" w:pos="284"/>
              </w:tabs>
              <w:rPr>
                <w:rFonts w:ascii="Palatino Linotype" w:eastAsia="Palatino Linotype" w:hAnsi="Palatino Linotype" w:cs="Palatino Linotype"/>
              </w:rPr>
            </w:pPr>
            <w:r w:rsidRPr="004D091F">
              <w:rPr>
                <w:rFonts w:ascii="Palatino Linotype" w:eastAsia="Palatino Linotype" w:hAnsi="Palatino Linotype" w:cs="Palatino Linotype"/>
              </w:rPr>
              <w:lastRenderedPageBreak/>
              <w:t>a) Requisitos previos.</w:t>
            </w:r>
          </w:p>
        </w:tc>
        <w:tc>
          <w:tcPr>
            <w:tcW w:w="7087" w:type="dxa"/>
          </w:tcPr>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411E6C" w:rsidRPr="004D091F" w:rsidRDefault="008A43BF">
            <w:pPr>
              <w:tabs>
                <w:tab w:val="left" w:pos="284"/>
              </w:tabs>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D091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D091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411E6C" w:rsidRPr="004D091F" w:rsidRDefault="00411E6C">
            <w:pPr>
              <w:tabs>
                <w:tab w:val="left" w:pos="284"/>
              </w:tabs>
              <w:jc w:val="both"/>
              <w:rPr>
                <w:rFonts w:ascii="Palatino Linotype" w:eastAsia="Palatino Linotype" w:hAnsi="Palatino Linotype" w:cs="Palatino Linotype"/>
              </w:rPr>
            </w:pPr>
          </w:p>
        </w:tc>
      </w:tr>
      <w:tr w:rsidR="00411E6C" w:rsidRPr="004D091F" w:rsidTr="004D091F">
        <w:tc>
          <w:tcPr>
            <w:tcW w:w="2689" w:type="dxa"/>
          </w:tcPr>
          <w:p w:rsidR="00411E6C" w:rsidRPr="004D091F" w:rsidRDefault="008A43BF">
            <w:pPr>
              <w:tabs>
                <w:tab w:val="left" w:pos="284"/>
              </w:tabs>
              <w:rPr>
                <w:rFonts w:ascii="Palatino Linotype" w:eastAsia="Palatino Linotype" w:hAnsi="Palatino Linotype" w:cs="Palatino Linotype"/>
              </w:rPr>
            </w:pPr>
            <w:r w:rsidRPr="004D091F">
              <w:rPr>
                <w:rFonts w:ascii="Palatino Linotype" w:eastAsia="Palatino Linotype" w:hAnsi="Palatino Linotype" w:cs="Palatino Linotype"/>
              </w:rPr>
              <w:t>b) Supuestos de clasificación.</w:t>
            </w:r>
          </w:p>
        </w:tc>
        <w:tc>
          <w:tcPr>
            <w:tcW w:w="7087" w:type="dxa"/>
          </w:tcPr>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11E6C" w:rsidRPr="004D091F" w:rsidRDefault="008A43BF">
            <w:pPr>
              <w:tabs>
                <w:tab w:val="left" w:pos="284"/>
              </w:tabs>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El </w:t>
            </w:r>
            <w:r w:rsidRPr="004D091F">
              <w:rPr>
                <w:rFonts w:ascii="Palatino Linotype" w:eastAsia="Palatino Linotype" w:hAnsi="Palatino Linotype" w:cs="Palatino Linotype"/>
                <w:b/>
                <w:bCs/>
                <w:color w:val="000000"/>
              </w:rPr>
              <w:t>Sujeto Obligado</w:t>
            </w:r>
            <w:r w:rsidRPr="004D091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4D091F">
              <w:rPr>
                <w:rFonts w:ascii="Palatino Linotype" w:eastAsia="Palatino Linotype" w:hAnsi="Palatino Linotype" w:cs="Palatino Linotype"/>
                <w:color w:val="000000"/>
              </w:rPr>
              <w:lastRenderedPageBreak/>
              <w:t>servidor público habilitado y el titular del área que administra la información.</w:t>
            </w:r>
          </w:p>
          <w:p w:rsidR="00411E6C" w:rsidRPr="004D091F" w:rsidRDefault="00411E6C">
            <w:pPr>
              <w:tabs>
                <w:tab w:val="left" w:pos="284"/>
              </w:tabs>
              <w:jc w:val="both"/>
              <w:rPr>
                <w:rFonts w:ascii="Palatino Linotype" w:eastAsia="Palatino Linotype" w:hAnsi="Palatino Linotype" w:cs="Palatino Linotype"/>
              </w:rPr>
            </w:pPr>
          </w:p>
        </w:tc>
      </w:tr>
      <w:tr w:rsidR="00411E6C" w:rsidRPr="004D091F" w:rsidTr="004D091F">
        <w:tc>
          <w:tcPr>
            <w:tcW w:w="2689" w:type="dxa"/>
          </w:tcPr>
          <w:p w:rsidR="00411E6C" w:rsidRPr="004D091F" w:rsidRDefault="008A43BF">
            <w:pPr>
              <w:tabs>
                <w:tab w:val="left" w:pos="284"/>
              </w:tabs>
              <w:rPr>
                <w:rFonts w:ascii="Palatino Linotype" w:eastAsia="Palatino Linotype" w:hAnsi="Palatino Linotype" w:cs="Palatino Linotype"/>
              </w:rPr>
            </w:pPr>
            <w:r w:rsidRPr="004D091F">
              <w:rPr>
                <w:rFonts w:ascii="Palatino Linotype" w:eastAsia="Palatino Linotype" w:hAnsi="Palatino Linotype" w:cs="Palatino Linotype"/>
              </w:rPr>
              <w:lastRenderedPageBreak/>
              <w:t>c) Formalidades para emitir el acuerdo de clasificación.</w:t>
            </w:r>
          </w:p>
        </w:tc>
        <w:tc>
          <w:tcPr>
            <w:tcW w:w="7087" w:type="dxa"/>
          </w:tcPr>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Es necesario que </w:t>
            </w:r>
            <w:r w:rsidRPr="004D091F">
              <w:rPr>
                <w:rFonts w:ascii="Palatino Linotype" w:eastAsia="Palatino Linotype" w:hAnsi="Palatino Linotype" w:cs="Palatino Linotype"/>
                <w:b/>
                <w:bCs/>
                <w:color w:val="000000"/>
                <w:u w:val="single"/>
              </w:rPr>
              <w:t>el acto reúna con los requisitos elementales</w:t>
            </w:r>
            <w:r w:rsidRPr="004D091F">
              <w:rPr>
                <w:rFonts w:ascii="Palatino Linotype" w:eastAsia="Palatino Linotype" w:hAnsi="Palatino Linotype" w:cs="Palatino Linotype"/>
                <w:color w:val="000000"/>
              </w:rPr>
              <w:t>, entre ellos, que la autoridad que va a emitir el acto de autoridad sea la legalmente facultada para ello.</w:t>
            </w:r>
          </w:p>
          <w:p w:rsidR="00411E6C" w:rsidRPr="004D091F" w:rsidRDefault="008A43BF">
            <w:pPr>
              <w:tabs>
                <w:tab w:val="left" w:pos="284"/>
              </w:tabs>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411E6C" w:rsidRPr="004D091F" w:rsidRDefault="00411E6C">
            <w:pPr>
              <w:tabs>
                <w:tab w:val="left" w:pos="284"/>
              </w:tabs>
              <w:jc w:val="both"/>
              <w:rPr>
                <w:rFonts w:ascii="Palatino Linotype" w:eastAsia="Palatino Linotype" w:hAnsi="Palatino Linotype" w:cs="Palatino Linotype"/>
              </w:rPr>
            </w:pPr>
          </w:p>
        </w:tc>
      </w:tr>
      <w:tr w:rsidR="00411E6C" w:rsidRPr="004D091F" w:rsidTr="004D091F">
        <w:tc>
          <w:tcPr>
            <w:tcW w:w="2689" w:type="dxa"/>
          </w:tcPr>
          <w:p w:rsidR="00411E6C" w:rsidRPr="004D091F" w:rsidRDefault="00411E6C">
            <w:pPr>
              <w:tabs>
                <w:tab w:val="left" w:pos="284"/>
              </w:tabs>
              <w:rPr>
                <w:rFonts w:ascii="Palatino Linotype" w:eastAsia="Palatino Linotype" w:hAnsi="Palatino Linotype" w:cs="Palatino Linotype"/>
              </w:rPr>
            </w:pPr>
          </w:p>
          <w:p w:rsidR="00411E6C" w:rsidRPr="004D091F" w:rsidRDefault="008A43BF">
            <w:pPr>
              <w:tabs>
                <w:tab w:val="left" w:pos="284"/>
              </w:tabs>
              <w:jc w:val="both"/>
              <w:rPr>
                <w:rFonts w:ascii="Palatino Linotype" w:eastAsia="Palatino Linotype" w:hAnsi="Palatino Linotype" w:cs="Palatino Linotype"/>
              </w:rPr>
            </w:pPr>
            <w:r w:rsidRPr="004D091F">
              <w:rPr>
                <w:rFonts w:ascii="Palatino Linotype" w:eastAsia="Palatino Linotype" w:hAnsi="Palatino Linotype" w:cs="Palatino Linotype"/>
                <w:color w:val="000000"/>
              </w:rPr>
              <w:t xml:space="preserve">d) Requisitos de fondo del acuerdo de clasificación. </w:t>
            </w:r>
          </w:p>
        </w:tc>
        <w:tc>
          <w:tcPr>
            <w:tcW w:w="7087" w:type="dxa"/>
          </w:tcPr>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D091F">
              <w:rPr>
                <w:rFonts w:ascii="Palatino Linotype" w:eastAsia="Palatino Linotype" w:hAnsi="Palatino Linotype" w:cs="Palatino Linotype"/>
                <w:b/>
                <w:bCs/>
                <w:color w:val="000000"/>
              </w:rPr>
              <w:t>Sujetos Obligados</w:t>
            </w:r>
            <w:r w:rsidRPr="004D091F">
              <w:rPr>
                <w:rFonts w:ascii="Palatino Linotype" w:eastAsia="Palatino Linotype" w:hAnsi="Palatino Linotype" w:cs="Palatino Linotype"/>
                <w:color w:val="000000"/>
              </w:rPr>
              <w:t xml:space="preserve">, por lo que deberán fundar y motivar debidamente la clasificación. </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De lo anterior, se desprende que para una correcta </w:t>
            </w:r>
            <w:r w:rsidRPr="004D091F">
              <w:rPr>
                <w:rFonts w:ascii="Palatino Linotype" w:eastAsia="Palatino Linotype" w:hAnsi="Palatino Linotype" w:cs="Palatino Linotype"/>
                <w:b/>
                <w:bCs/>
                <w:color w:val="000000"/>
              </w:rPr>
              <w:t>clasificación total o parcial</w:t>
            </w:r>
            <w:r w:rsidRPr="004D091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Ahora bien, </w:t>
            </w:r>
            <w:r w:rsidRPr="004D091F">
              <w:rPr>
                <w:rFonts w:ascii="Palatino Linotype" w:eastAsia="Palatino Linotype" w:hAnsi="Palatino Linotype" w:cs="Palatino Linotype"/>
                <w:b/>
                <w:bCs/>
                <w:color w:val="000000"/>
                <w:u w:val="single"/>
              </w:rPr>
              <w:t>para cada caso además de fundar y motivar</w:t>
            </w:r>
            <w:r w:rsidRPr="004D091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411E6C" w:rsidRPr="004D091F" w:rsidRDefault="00411E6C">
            <w:pPr>
              <w:tabs>
                <w:tab w:val="left" w:pos="284"/>
              </w:tabs>
              <w:ind w:right="49"/>
              <w:jc w:val="both"/>
              <w:rPr>
                <w:rFonts w:ascii="Palatino Linotype" w:eastAsia="Palatino Linotype" w:hAnsi="Palatino Linotype" w:cs="Palatino Linotype"/>
                <w:color w:val="000000"/>
              </w:rPr>
            </w:pPr>
          </w:p>
        </w:tc>
      </w:tr>
      <w:tr w:rsidR="00411E6C" w:rsidRPr="004D091F" w:rsidTr="004D091F">
        <w:tc>
          <w:tcPr>
            <w:tcW w:w="2689" w:type="dxa"/>
          </w:tcPr>
          <w:p w:rsidR="00411E6C" w:rsidRPr="004D091F" w:rsidRDefault="008A43BF">
            <w:pPr>
              <w:tabs>
                <w:tab w:val="left" w:pos="284"/>
              </w:tabs>
              <w:ind w:right="49"/>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 xml:space="preserve">e) Condiciones especiales de la clasificación de la información como confidencial. </w:t>
            </w:r>
          </w:p>
        </w:tc>
        <w:tc>
          <w:tcPr>
            <w:tcW w:w="7087" w:type="dxa"/>
          </w:tcPr>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411E6C" w:rsidRPr="004D091F" w:rsidRDefault="008A43BF">
            <w:pPr>
              <w:tabs>
                <w:tab w:val="left" w:pos="284"/>
              </w:tabs>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11E6C" w:rsidRPr="004D091F" w:rsidRDefault="008A43BF">
            <w:pPr>
              <w:tabs>
                <w:tab w:val="left" w:pos="284"/>
              </w:tabs>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411E6C" w:rsidRPr="004D091F" w:rsidRDefault="00411E6C">
            <w:pPr>
              <w:tabs>
                <w:tab w:val="left" w:pos="284"/>
              </w:tabs>
              <w:rPr>
                <w:rFonts w:ascii="Palatino Linotype" w:eastAsia="Palatino Linotype" w:hAnsi="Palatino Linotype" w:cs="Palatino Linotype"/>
              </w:rPr>
            </w:pPr>
          </w:p>
        </w:tc>
      </w:tr>
    </w:tbl>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rPr>
        <w:lastRenderedPageBreak/>
        <w:t xml:space="preserve">Si el </w:t>
      </w:r>
      <w:r w:rsidRPr="004D091F">
        <w:rPr>
          <w:rFonts w:ascii="Palatino Linotype" w:eastAsia="Palatino Linotype" w:hAnsi="Palatino Linotype" w:cs="Palatino Linotype"/>
          <w:color w:val="000000"/>
        </w:rPr>
        <w:t>servidor</w:t>
      </w:r>
      <w:r w:rsidRPr="004D091F">
        <w:rPr>
          <w:rFonts w:ascii="Palatino Linotype" w:eastAsia="Palatino Linotype" w:hAnsi="Palatino Linotype" w:cs="Palatino Linotype"/>
        </w:rPr>
        <w:t xml:space="preserve"> público incumple con estas formalidades y entrega la información </w:t>
      </w:r>
      <w:r w:rsidRPr="004D091F">
        <w:rPr>
          <w:rFonts w:ascii="Palatino Linotype" w:eastAsia="Palatino Linotype" w:hAnsi="Palatino Linotype" w:cs="Palatino Linotype"/>
          <w:color w:val="000000"/>
        </w:rPr>
        <w:t>sin</w:t>
      </w:r>
      <w:r w:rsidRPr="004D091F">
        <w:rPr>
          <w:rFonts w:ascii="Palatino Linotype" w:eastAsia="Palatino Linotype" w:hAnsi="Palatino Linotype" w:cs="Palatino Linotype"/>
        </w:rPr>
        <w:t xml:space="preserve"> proteger los datos personales incumple con lo que estipula las disposiciones legales </w:t>
      </w:r>
      <w:r w:rsidRPr="004D091F">
        <w:rPr>
          <w:rFonts w:ascii="Palatino Linotype" w:eastAsia="Palatino Linotype" w:hAnsi="Palatino Linotype" w:cs="Palatino Linotype"/>
          <w:color w:val="000000"/>
        </w:rPr>
        <w:t>establecidas;</w:t>
      </w:r>
      <w:r w:rsidRPr="004D091F">
        <w:rPr>
          <w:rFonts w:ascii="Palatino Linotype" w:eastAsia="Palatino Linotype" w:hAnsi="Palatino Linotype" w:cs="Palatino Linotype"/>
        </w:rPr>
        <w:t xml:space="preserve"> asimismo que si entrega un documento testado sin el debido acuerdo de clasificación.</w:t>
      </w:r>
    </w:p>
    <w:p w:rsidR="00411E6C" w:rsidRPr="004D091F" w:rsidRDefault="00411E6C">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11E6C" w:rsidRPr="004D091F" w:rsidRDefault="008A43BF">
      <w:pPr>
        <w:numPr>
          <w:ilvl w:val="0"/>
          <w:numId w:val="1"/>
        </w:numPr>
        <w:spacing w:line="360" w:lineRule="auto"/>
        <w:ind w:left="0" w:right="49" w:firstLine="0"/>
        <w:jc w:val="both"/>
        <w:rPr>
          <w:rFonts w:ascii="Palatino Linotype" w:eastAsia="Palatino Linotype" w:hAnsi="Palatino Linotype" w:cs="Palatino Linotype"/>
        </w:rPr>
      </w:pPr>
      <w:r w:rsidRPr="004D091F">
        <w:rPr>
          <w:rFonts w:ascii="Palatino Linotype" w:eastAsia="Palatino Linotype" w:hAnsi="Palatino Linotype" w:cs="Palatino Linotype"/>
        </w:rPr>
        <w:t>Por</w:t>
      </w:r>
      <w:r w:rsidRPr="004D091F">
        <w:rPr>
          <w:rFonts w:ascii="Palatino Linotype" w:eastAsia="Palatino Linotype" w:hAnsi="Palatino Linotype" w:cs="Palatino Linotype"/>
          <w:color w:val="000000"/>
        </w:rPr>
        <w:t xml:space="preserve"> lo </w:t>
      </w:r>
      <w:r w:rsidRPr="004D091F">
        <w:rPr>
          <w:rFonts w:ascii="Palatino Linotype" w:eastAsia="Palatino Linotype" w:hAnsi="Palatino Linotype" w:cs="Palatino Linotype"/>
        </w:rPr>
        <w:t>anteriormente</w:t>
      </w:r>
      <w:r w:rsidRPr="004D091F">
        <w:rPr>
          <w:rFonts w:ascii="Palatino Linotype" w:eastAsia="Palatino Linotype" w:hAnsi="Palatino Linotype" w:cs="Palatino Linotype"/>
          <w:color w:val="000000"/>
        </w:rPr>
        <w:t xml:space="preserve"> expuesto y fundado, este Órgano Garante emite los siguientes: </w:t>
      </w:r>
    </w:p>
    <w:p w:rsidR="004D091F" w:rsidRDefault="004D091F" w:rsidP="004D091F">
      <w:pPr>
        <w:pStyle w:val="Prrafodelista"/>
        <w:rPr>
          <w:rFonts w:ascii="Palatino Linotype" w:eastAsia="Palatino Linotype" w:hAnsi="Palatino Linotype" w:cs="Palatino Linotype"/>
        </w:rPr>
      </w:pPr>
    </w:p>
    <w:p w:rsidR="004D091F" w:rsidRPr="004D091F" w:rsidRDefault="004D091F" w:rsidP="004D091F">
      <w:pPr>
        <w:spacing w:line="360" w:lineRule="auto"/>
        <w:ind w:right="49"/>
        <w:jc w:val="both"/>
        <w:rPr>
          <w:rFonts w:ascii="Palatino Linotype" w:eastAsia="Palatino Linotype" w:hAnsi="Palatino Linotype" w:cs="Palatino Linotype"/>
        </w:rPr>
      </w:pPr>
    </w:p>
    <w:p w:rsidR="00411E6C" w:rsidRPr="004D091F" w:rsidRDefault="008A43BF">
      <w:pPr>
        <w:pStyle w:val="Ttulo1"/>
        <w:spacing w:before="0" w:line="360" w:lineRule="auto"/>
        <w:jc w:val="center"/>
        <w:rPr>
          <w:rFonts w:ascii="Palatino Linotype" w:eastAsia="Palatino Linotype" w:hAnsi="Palatino Linotype" w:cs="Palatino Linotype"/>
          <w:b/>
          <w:bCs/>
          <w:color w:val="000000"/>
          <w:sz w:val="24"/>
          <w:szCs w:val="24"/>
        </w:rPr>
      </w:pPr>
      <w:bookmarkStart w:id="8" w:name="_heading=h.hbs87b53fz7f" w:colFirst="0" w:colLast="0"/>
      <w:bookmarkEnd w:id="8"/>
      <w:r w:rsidRPr="004D091F">
        <w:rPr>
          <w:rFonts w:ascii="Palatino Linotype" w:eastAsia="Palatino Linotype" w:hAnsi="Palatino Linotype" w:cs="Palatino Linotype"/>
          <w:b/>
          <w:bCs/>
          <w:color w:val="000000"/>
          <w:sz w:val="24"/>
          <w:szCs w:val="24"/>
        </w:rPr>
        <w:t>R E S O L U T I V O S</w:t>
      </w:r>
    </w:p>
    <w:p w:rsidR="00411E6C" w:rsidRPr="004D091F" w:rsidRDefault="00411E6C">
      <w:pPr>
        <w:spacing w:line="360" w:lineRule="auto"/>
        <w:rPr>
          <w:rFonts w:ascii="Palatino Linotype" w:eastAsia="Palatino Linotype" w:hAnsi="Palatino Linotype" w:cs="Palatino Linotype"/>
        </w:rPr>
      </w:pPr>
    </w:p>
    <w:p w:rsidR="00411E6C" w:rsidRPr="004D091F" w:rsidRDefault="008A43BF">
      <w:pP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b/>
          <w:bCs/>
        </w:rPr>
        <w:t>PRIMERO</w:t>
      </w:r>
      <w:r w:rsidRPr="004D091F">
        <w:rPr>
          <w:rFonts w:ascii="Palatino Linotype" w:eastAsia="Palatino Linotype" w:hAnsi="Palatino Linotype" w:cs="Palatino Linotype"/>
        </w:rPr>
        <w:t>. Resultan fundadas las</w:t>
      </w:r>
      <w:r w:rsidRPr="004D091F">
        <w:rPr>
          <w:rFonts w:ascii="Palatino Linotype" w:eastAsia="Palatino Linotype" w:hAnsi="Palatino Linotype" w:cs="Palatino Linotype"/>
          <w:b/>
          <w:bCs/>
        </w:rPr>
        <w:t xml:space="preserve"> </w:t>
      </w:r>
      <w:r w:rsidRPr="004D091F">
        <w:rPr>
          <w:rFonts w:ascii="Palatino Linotype" w:eastAsia="Palatino Linotype" w:hAnsi="Palatino Linotype" w:cs="Palatino Linotype"/>
        </w:rPr>
        <w:t xml:space="preserve">razones o motivos de inconformidad hechos valer en el Recurso de Revisión </w:t>
      </w:r>
      <w:r w:rsidRPr="004D091F">
        <w:rPr>
          <w:rFonts w:ascii="Palatino Linotype" w:eastAsia="Palatino Linotype" w:hAnsi="Palatino Linotype" w:cs="Palatino Linotype"/>
          <w:b/>
          <w:bCs/>
          <w:color w:val="000000"/>
        </w:rPr>
        <w:t>06088/INFOEM/IP/RR/2025</w:t>
      </w:r>
      <w:r w:rsidRPr="004D091F">
        <w:rPr>
          <w:rFonts w:ascii="Palatino Linotype" w:eastAsia="Palatino Linotype" w:hAnsi="Palatino Linotype" w:cs="Palatino Linotype"/>
          <w:b/>
          <w:bCs/>
        </w:rPr>
        <w:t xml:space="preserve">, </w:t>
      </w:r>
      <w:r w:rsidRPr="004D091F">
        <w:rPr>
          <w:rFonts w:ascii="Palatino Linotype" w:eastAsia="Palatino Linotype" w:hAnsi="Palatino Linotype" w:cs="Palatino Linotype"/>
        </w:rPr>
        <w:t xml:space="preserve">en términos de los </w:t>
      </w:r>
      <w:r w:rsidRPr="004D091F">
        <w:rPr>
          <w:rFonts w:ascii="Palatino Linotype" w:eastAsia="Palatino Linotype" w:hAnsi="Palatino Linotype" w:cs="Palatino Linotype"/>
          <w:b/>
          <w:bCs/>
        </w:rPr>
        <w:t>Considerandos</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CUARTO</w:t>
      </w:r>
      <w:r w:rsidRPr="004D091F">
        <w:rPr>
          <w:rFonts w:ascii="Palatino Linotype" w:eastAsia="Palatino Linotype" w:hAnsi="Palatino Linotype" w:cs="Palatino Linotype"/>
        </w:rPr>
        <w:t xml:space="preserve"> y </w:t>
      </w:r>
      <w:r w:rsidRPr="004D091F">
        <w:rPr>
          <w:rFonts w:ascii="Palatino Linotype" w:eastAsia="Palatino Linotype" w:hAnsi="Palatino Linotype" w:cs="Palatino Linotype"/>
          <w:b/>
          <w:bCs/>
        </w:rPr>
        <w:t xml:space="preserve">QUINTO </w:t>
      </w:r>
      <w:r w:rsidRPr="004D091F">
        <w:rPr>
          <w:rFonts w:ascii="Palatino Linotype" w:eastAsia="Palatino Linotype" w:hAnsi="Palatino Linotype" w:cs="Palatino Linotype"/>
        </w:rPr>
        <w:t>de la presente Resolución.</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spacing w:line="360" w:lineRule="auto"/>
        <w:jc w:val="both"/>
        <w:rPr>
          <w:rFonts w:ascii="Palatino Linotype" w:eastAsia="Palatino Linotype" w:hAnsi="Palatino Linotype" w:cs="Palatino Linotype"/>
        </w:rPr>
      </w:pPr>
      <w:bookmarkStart w:id="9" w:name="_heading=h.97jcp81uyqmh" w:colFirst="0" w:colLast="0"/>
      <w:bookmarkEnd w:id="9"/>
      <w:r w:rsidRPr="004D091F">
        <w:rPr>
          <w:rFonts w:ascii="Palatino Linotype" w:eastAsia="Palatino Linotype" w:hAnsi="Palatino Linotype" w:cs="Palatino Linotype"/>
          <w:b/>
          <w:bCs/>
        </w:rPr>
        <w:t xml:space="preserve">SEGUNDO. </w:t>
      </w:r>
      <w:r w:rsidRPr="004D091F">
        <w:rPr>
          <w:rFonts w:ascii="Palatino Linotype" w:eastAsia="Palatino Linotype" w:hAnsi="Palatino Linotype" w:cs="Palatino Linotype"/>
          <w:color w:val="000000"/>
        </w:rPr>
        <w:t xml:space="preserve">Se </w:t>
      </w:r>
      <w:r w:rsidRPr="004D091F">
        <w:rPr>
          <w:rFonts w:ascii="Palatino Linotype" w:eastAsia="Palatino Linotype" w:hAnsi="Palatino Linotype" w:cs="Palatino Linotype"/>
          <w:b/>
          <w:bCs/>
          <w:color w:val="000000"/>
        </w:rPr>
        <w:t xml:space="preserve">MODIFICA </w:t>
      </w:r>
      <w:r w:rsidRPr="004D091F">
        <w:rPr>
          <w:rFonts w:ascii="Palatino Linotype" w:eastAsia="Palatino Linotype" w:hAnsi="Palatino Linotype" w:cs="Palatino Linotype"/>
          <w:color w:val="000000"/>
        </w:rPr>
        <w:t xml:space="preserve">la respuesta emitida por la </w:t>
      </w:r>
      <w:r w:rsidRPr="004D091F">
        <w:rPr>
          <w:rFonts w:ascii="Palatino Linotype" w:eastAsia="Palatino Linotype" w:hAnsi="Palatino Linotype" w:cs="Palatino Linotype"/>
          <w:b/>
          <w:bCs/>
        </w:rPr>
        <w:t>Ayuntamiento de Toluca</w:t>
      </w:r>
      <w:r w:rsidRPr="004D091F">
        <w:rPr>
          <w:rFonts w:ascii="Palatino Linotype" w:eastAsia="Palatino Linotype" w:hAnsi="Palatino Linotype" w:cs="Palatino Linotype"/>
          <w:color w:val="000000"/>
        </w:rPr>
        <w:t xml:space="preserve"> y se </w:t>
      </w:r>
      <w:r w:rsidRPr="004D091F">
        <w:rPr>
          <w:rFonts w:ascii="Palatino Linotype" w:eastAsia="Palatino Linotype" w:hAnsi="Palatino Linotype" w:cs="Palatino Linotype"/>
          <w:b/>
          <w:bCs/>
          <w:color w:val="000000"/>
        </w:rPr>
        <w:t>ORDENA</w:t>
      </w:r>
      <w:r w:rsidRPr="004D091F">
        <w:rPr>
          <w:rFonts w:ascii="Palatino Linotype" w:eastAsia="Palatino Linotype" w:hAnsi="Palatino Linotype" w:cs="Palatino Linotype"/>
          <w:color w:val="000000"/>
        </w:rPr>
        <w:t xml:space="preserve"> entregar vía Sistema de Acceso a la Información Mexiquense (SAIMEX), en versión pública, el soporte documental en que conste o se advierta la siguiente información</w:t>
      </w:r>
      <w:r w:rsidRPr="004D091F">
        <w:rPr>
          <w:rFonts w:ascii="Palatino Linotype" w:eastAsia="Palatino Linotype" w:hAnsi="Palatino Linotype" w:cs="Palatino Linotype"/>
        </w:rPr>
        <w:t>:</w:t>
      </w:r>
    </w:p>
    <w:p w:rsidR="00411E6C" w:rsidRPr="004D091F" w:rsidRDefault="00411E6C">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Documento en que conste o se advierta el número total de servidores públicos adscrito a la Tercera Regiduría, sus nombres, cargos y, profesión,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El número de personal adscrito a la Tercera Regiduría, que se encuentre en calidad de comisionada y, el documento en que conste o se advierte la dirección o, área administrativa de procedencia,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lastRenderedPageBreak/>
        <w:t>Presupuesto autorizado para nómina, actividades, programas y recursos materiales de la Tercera Regiduría para el Ejercicio Fiscal 2025 y el acta de cabildo en que se autorizó,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El número de vehículos asignados y, el nombre de los servidores públicos responsables,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 xml:space="preserve">Documento en que conste o se advierta el partido político del que fue electo el Tercer Regidor de la Administración Pública Municipal 2025 – 2027; </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Las propuestas realizadas por el Tercer Regidor en favor de la sociedad y, las actas de cabildo en las que fueron aprobadas, del 01 de enero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Número de horas de trabajo por día en oficina y el número de horas de trabajo por día en campo, del Tercer Regidor, del 01 de enero al 07 de abril de 2025;</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Nombre completo del Tercer Regidor en funciones al 07 de abril de 2025; último grado de estudios, y los ingresos extraordinarios a sus percepciones como regidor;</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Nombre del personal administrativo adscrito a la Tercera Regiduría que realice labores de chofer o acompañante en campo, al 07 de abril de 2025; y</w:t>
      </w:r>
    </w:p>
    <w:p w:rsidR="00411E6C" w:rsidRPr="004D091F" w:rsidRDefault="008A43BF">
      <w:pPr>
        <w:numPr>
          <w:ilvl w:val="0"/>
          <w:numId w:val="7"/>
        </w:numPr>
        <w:pBdr>
          <w:top w:val="nil"/>
          <w:left w:val="nil"/>
          <w:bottom w:val="nil"/>
          <w:right w:val="nil"/>
          <w:between w:val="nil"/>
        </w:pBdr>
        <w:tabs>
          <w:tab w:val="left" w:pos="8080"/>
        </w:tabs>
        <w:spacing w:line="360" w:lineRule="auto"/>
        <w:ind w:right="49"/>
        <w:jc w:val="both"/>
        <w:rPr>
          <w:rFonts w:ascii="Palatino Linotype" w:eastAsia="Palatino Linotype" w:hAnsi="Palatino Linotype" w:cs="Palatino Linotype"/>
          <w:color w:val="000000"/>
        </w:rPr>
      </w:pPr>
      <w:r w:rsidRPr="004D091F">
        <w:rPr>
          <w:rFonts w:ascii="Palatino Linotype" w:eastAsia="Palatino Linotype" w:hAnsi="Palatino Linotype" w:cs="Palatino Linotype"/>
          <w:color w:val="000000"/>
        </w:rPr>
        <w:t>Nombre de la secretaria adscrita a la Tercera Regiduría en funciones al 07 de abril de 2025 y, el nombre del área administrativa de procedencia.</w:t>
      </w:r>
    </w:p>
    <w:p w:rsidR="00411E6C" w:rsidRPr="004D091F" w:rsidRDefault="00411E6C">
      <w:pPr>
        <w:tabs>
          <w:tab w:val="left" w:pos="8080"/>
        </w:tabs>
        <w:spacing w:line="360" w:lineRule="auto"/>
        <w:ind w:right="49"/>
        <w:jc w:val="both"/>
        <w:rPr>
          <w:rFonts w:ascii="Palatino Linotype" w:eastAsia="Palatino Linotype" w:hAnsi="Palatino Linotype" w:cs="Palatino Linotype"/>
        </w:rPr>
      </w:pPr>
    </w:p>
    <w:p w:rsidR="00411E6C" w:rsidRPr="004D091F" w:rsidRDefault="008A43BF">
      <w:pPr>
        <w:tabs>
          <w:tab w:val="left" w:pos="8080"/>
        </w:tabs>
        <w:spacing w:line="360" w:lineRule="auto"/>
        <w:ind w:right="49"/>
        <w:jc w:val="both"/>
        <w:rPr>
          <w:rFonts w:ascii="Palatino Linotype" w:eastAsia="Palatino Linotype" w:hAnsi="Palatino Linotype" w:cs="Palatino Linotype"/>
        </w:rPr>
      </w:pPr>
      <w:r w:rsidRPr="004D091F">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4D091F">
        <w:rPr>
          <w:rFonts w:ascii="Palatino Linotype" w:eastAsia="Palatino Linotype" w:hAnsi="Palatino Linotype" w:cs="Palatino Linotype"/>
          <w:b/>
          <w:bCs/>
          <w:color w:val="000000"/>
        </w:rPr>
        <w:t>RECURRENTE</w:t>
      </w:r>
      <w:r w:rsidRPr="004D091F">
        <w:rPr>
          <w:rFonts w:ascii="Palatino Linotype" w:eastAsia="Palatino Linotype" w:hAnsi="Palatino Linotype" w:cs="Palatino Linotype"/>
        </w:rPr>
        <w:t>.</w:t>
      </w:r>
    </w:p>
    <w:p w:rsidR="00411E6C" w:rsidRPr="004D091F" w:rsidRDefault="008A43BF">
      <w:pPr>
        <w:tabs>
          <w:tab w:val="left" w:pos="8080"/>
        </w:tabs>
        <w:spacing w:line="360" w:lineRule="auto"/>
        <w:ind w:right="49"/>
        <w:jc w:val="both"/>
        <w:rPr>
          <w:rFonts w:ascii="Palatino Linotype" w:eastAsia="Palatino Linotype" w:hAnsi="Palatino Linotype" w:cs="Palatino Linotype"/>
        </w:rPr>
      </w:pPr>
      <w:r w:rsidRPr="004D091F">
        <w:rPr>
          <w:rFonts w:ascii="Palatino Linotype" w:eastAsia="Palatino Linotype" w:hAnsi="Palatino Linotype" w:cs="Palatino Linotype"/>
        </w:rPr>
        <w:lastRenderedPageBreak/>
        <w:t xml:space="preserve">Para el caso de que no se haya generado, poseído o administrado la información ordenada en el </w:t>
      </w:r>
      <w:r w:rsidRPr="004D091F">
        <w:rPr>
          <w:rFonts w:ascii="Palatino Linotype" w:eastAsia="Palatino Linotype" w:hAnsi="Palatino Linotype" w:cs="Palatino Linotype"/>
          <w:b/>
          <w:bCs/>
        </w:rPr>
        <w:t>inciso a)</w:t>
      </w:r>
      <w:r w:rsidRPr="004D091F">
        <w:rPr>
          <w:rFonts w:ascii="Palatino Linotype" w:eastAsia="Palatino Linotype" w:hAnsi="Palatino Linotype" w:cs="Palatino Linotype"/>
        </w:rPr>
        <w:t xml:space="preserve"> en su parte relativa a la profesión, </w:t>
      </w:r>
      <w:r w:rsidRPr="004D091F">
        <w:rPr>
          <w:rFonts w:ascii="Palatino Linotype" w:eastAsia="Palatino Linotype" w:hAnsi="Palatino Linotype" w:cs="Palatino Linotype"/>
          <w:b/>
          <w:bCs/>
        </w:rPr>
        <w:t>inciso b)</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inciso f)</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inciso g)</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inciso h)</w:t>
      </w:r>
      <w:r w:rsidRPr="004D091F">
        <w:rPr>
          <w:rFonts w:ascii="Palatino Linotype" w:eastAsia="Palatino Linotype" w:hAnsi="Palatino Linotype" w:cs="Palatino Linotype"/>
        </w:rPr>
        <w:t xml:space="preserve"> en su parte relativa a los ingresos extraordinarios y último grado de </w:t>
      </w:r>
      <w:r w:rsidR="00AC33A2" w:rsidRPr="004D091F">
        <w:rPr>
          <w:rFonts w:ascii="Palatino Linotype" w:eastAsia="Palatino Linotype" w:hAnsi="Palatino Linotype" w:cs="Palatino Linotype"/>
        </w:rPr>
        <w:t>estudios</w:t>
      </w:r>
      <w:r w:rsidRPr="004D091F">
        <w:rPr>
          <w:rFonts w:ascii="Palatino Linotype" w:eastAsia="Palatino Linotype" w:hAnsi="Palatino Linotype" w:cs="Palatino Linotype"/>
        </w:rPr>
        <w:t xml:space="preserve">, </w:t>
      </w:r>
      <w:r w:rsidRPr="004D091F">
        <w:rPr>
          <w:rFonts w:ascii="Palatino Linotype" w:eastAsia="Palatino Linotype" w:hAnsi="Palatino Linotype" w:cs="Palatino Linotype"/>
          <w:b/>
          <w:bCs/>
        </w:rPr>
        <w:t>inciso i)</w:t>
      </w:r>
      <w:r w:rsidRPr="004D091F">
        <w:rPr>
          <w:rFonts w:ascii="Palatino Linotype" w:eastAsia="Palatino Linotype" w:hAnsi="Palatino Linotype" w:cs="Palatino Linotype"/>
        </w:rPr>
        <w:t xml:space="preserve"> e, </w:t>
      </w:r>
      <w:r w:rsidRPr="004D091F">
        <w:rPr>
          <w:rFonts w:ascii="Palatino Linotype" w:eastAsia="Palatino Linotype" w:hAnsi="Palatino Linotype" w:cs="Palatino Linotype"/>
          <w:b/>
          <w:bCs/>
        </w:rPr>
        <w:t>inciso j)</w:t>
      </w:r>
      <w:r w:rsidRPr="004D091F">
        <w:rPr>
          <w:rFonts w:ascii="Palatino Linotype" w:eastAsia="Palatino Linotype" w:hAnsi="Palatino Linotype" w:cs="Palatino Linotype"/>
        </w:rPr>
        <w:t xml:space="preserve"> en su parte relativa al área administrativa de procedencia, bastará que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lo haga del conocimiento del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al momento de dar cumplimiento a la presente Resolución en términos del artículo 19 segundo párrafo de la Ley de Transparencia y Acceso a la Información Pública del Estado de México y Municipios.</w:t>
      </w:r>
    </w:p>
    <w:p w:rsidR="00411E6C" w:rsidRPr="004D091F" w:rsidRDefault="00411E6C">
      <w:pPr>
        <w:tabs>
          <w:tab w:val="left" w:pos="8080"/>
        </w:tabs>
        <w:spacing w:line="360" w:lineRule="auto"/>
        <w:ind w:right="49"/>
        <w:jc w:val="both"/>
        <w:rPr>
          <w:rFonts w:ascii="Palatino Linotype" w:eastAsia="Palatino Linotype" w:hAnsi="Palatino Linotype" w:cs="Palatino Linotype"/>
        </w:rPr>
      </w:pPr>
    </w:p>
    <w:p w:rsidR="00411E6C" w:rsidRPr="004D091F" w:rsidRDefault="008A43BF">
      <w:pP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TERCERO. Notifíquese </w:t>
      </w:r>
      <w:r w:rsidRPr="004D091F">
        <w:rPr>
          <w:rFonts w:ascii="Palatino Linotype" w:eastAsia="Palatino Linotype" w:hAnsi="Palatino Linotype" w:cs="Palatino Linotype"/>
        </w:rPr>
        <w:t xml:space="preserve">la presente Resolución al Titular de la Unidad de Transparencia del Sujeto Obligado vía </w:t>
      </w:r>
      <w:r w:rsidRPr="004D091F">
        <w:rPr>
          <w:rFonts w:ascii="Palatino Linotype" w:eastAsia="Palatino Linotype" w:hAnsi="Palatino Linotype" w:cs="Palatino Linotype"/>
          <w:b/>
          <w:bCs/>
        </w:rPr>
        <w:t>SAIMEX</w:t>
      </w:r>
      <w:r w:rsidRPr="004D091F">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4D091F">
        <w:rPr>
          <w:rFonts w:ascii="Palatino Linotype" w:eastAsia="Palatino Linotype" w:hAnsi="Palatino Linotype" w:cs="Palatino Linotype"/>
          <w:b/>
          <w:bCs/>
        </w:rPr>
        <w:t>dé cumplimiento a lo ordenado dentro del plazo de diez días hábiles</w:t>
      </w:r>
      <w:r w:rsidRPr="004D091F">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b/>
          <w:bCs/>
        </w:rPr>
        <w:t xml:space="preserve">CUARTO. </w:t>
      </w:r>
      <w:r w:rsidRPr="004D091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D091F">
        <w:rPr>
          <w:rFonts w:ascii="Palatino Linotype" w:eastAsia="Palatino Linotype" w:hAnsi="Palatino Linotype" w:cs="Palatino Linotype"/>
          <w:b/>
          <w:bCs/>
        </w:rPr>
        <w:t>SUJETO OBLIGADO</w:t>
      </w:r>
      <w:r w:rsidRPr="004D091F">
        <w:rPr>
          <w:rFonts w:ascii="Palatino Linotype" w:eastAsia="Palatino Linotype" w:hAnsi="Palatino Linotype" w:cs="Palatino Linotype"/>
        </w:rPr>
        <w:t xml:space="preserve"> de manera fundada y motivada, podrá solicitar una ampliación de plazo para el cumplimiento de la presente Resolución.</w:t>
      </w:r>
    </w:p>
    <w:p w:rsidR="00411E6C" w:rsidRPr="004D091F" w:rsidRDefault="00411E6C">
      <w:pPr>
        <w:spacing w:line="360" w:lineRule="auto"/>
        <w:jc w:val="both"/>
        <w:rPr>
          <w:rFonts w:ascii="Palatino Linotype" w:eastAsia="Palatino Linotype" w:hAnsi="Palatino Linotype" w:cs="Palatino Linotype"/>
        </w:rPr>
      </w:pPr>
    </w:p>
    <w:p w:rsidR="00411E6C" w:rsidRPr="004D091F" w:rsidRDefault="008A43BF">
      <w:pPr>
        <w:tabs>
          <w:tab w:val="left" w:pos="8080"/>
        </w:tabs>
        <w:spacing w:line="360" w:lineRule="auto"/>
        <w:ind w:right="49"/>
        <w:jc w:val="both"/>
        <w:rPr>
          <w:rFonts w:ascii="Palatino Linotype" w:eastAsia="Palatino Linotype" w:hAnsi="Palatino Linotype" w:cs="Palatino Linotype"/>
        </w:rPr>
      </w:pPr>
      <w:bookmarkStart w:id="10" w:name="_heading=h.f3g5ff6nkva" w:colFirst="0" w:colLast="0"/>
      <w:bookmarkEnd w:id="10"/>
      <w:r w:rsidRPr="004D091F">
        <w:rPr>
          <w:rFonts w:ascii="Palatino Linotype" w:eastAsia="Palatino Linotype" w:hAnsi="Palatino Linotype" w:cs="Palatino Linotype"/>
          <w:b/>
          <w:bCs/>
        </w:rPr>
        <w:t xml:space="preserve">QUINTO. </w:t>
      </w:r>
      <w:r w:rsidRPr="004D091F">
        <w:rPr>
          <w:rFonts w:ascii="Palatino Linotype" w:eastAsia="Palatino Linotype" w:hAnsi="Palatino Linotype" w:cs="Palatino Linotype"/>
        </w:rPr>
        <w:t xml:space="preserve">Notifíquese al </w:t>
      </w:r>
      <w:r w:rsidRPr="004D091F">
        <w:rPr>
          <w:rFonts w:ascii="Palatino Linotype" w:eastAsia="Palatino Linotype" w:hAnsi="Palatino Linotype" w:cs="Palatino Linotype"/>
          <w:b/>
          <w:bCs/>
        </w:rPr>
        <w:t>RECURRENTE</w:t>
      </w:r>
      <w:r w:rsidRPr="004D091F">
        <w:rPr>
          <w:rFonts w:ascii="Palatino Linotype" w:eastAsia="Palatino Linotype" w:hAnsi="Palatino Linotype" w:cs="Palatino Linotype"/>
        </w:rPr>
        <w:t xml:space="preserve"> la presente Resolución, vía </w:t>
      </w:r>
      <w:r w:rsidRPr="004D091F">
        <w:rPr>
          <w:rFonts w:ascii="Palatino Linotype" w:eastAsia="Palatino Linotype" w:hAnsi="Palatino Linotype" w:cs="Palatino Linotype"/>
          <w:b/>
          <w:bCs/>
        </w:rPr>
        <w:t>SAIMEX</w:t>
      </w:r>
      <w:r w:rsidRPr="004D091F">
        <w:rPr>
          <w:rFonts w:ascii="Palatino Linotype" w:eastAsia="Palatino Linotype" w:hAnsi="Palatino Linotype" w:cs="Palatino Linotype"/>
        </w:rPr>
        <w:t>.</w:t>
      </w:r>
    </w:p>
    <w:p w:rsidR="00411E6C" w:rsidRPr="004D091F" w:rsidRDefault="008A43BF">
      <w:pPr>
        <w:shd w:val="clear" w:color="auto" w:fill="FFFFFF"/>
        <w:spacing w:line="360" w:lineRule="auto"/>
        <w:jc w:val="both"/>
        <w:rPr>
          <w:rFonts w:ascii="Palatino Linotype" w:eastAsia="Palatino Linotype" w:hAnsi="Palatino Linotype" w:cs="Palatino Linotype"/>
        </w:rPr>
      </w:pPr>
      <w:r w:rsidRPr="004D091F">
        <w:rPr>
          <w:rFonts w:ascii="Palatino Linotype" w:eastAsia="Palatino Linotype" w:hAnsi="Palatino Linotype" w:cs="Palatino Linotype"/>
          <w:b/>
          <w:bCs/>
        </w:rPr>
        <w:lastRenderedPageBreak/>
        <w:t xml:space="preserve">SEXTO. </w:t>
      </w:r>
      <w:r w:rsidRPr="004D091F">
        <w:rPr>
          <w:rFonts w:ascii="Palatino Linotype" w:eastAsia="Palatino Linotype" w:hAnsi="Palatino Linotype" w:cs="Palatino Linotype"/>
        </w:rPr>
        <w:t>Se hace del conocimiento del</w:t>
      </w:r>
      <w:r w:rsidRPr="004D091F">
        <w:rPr>
          <w:rFonts w:ascii="Palatino Linotype" w:eastAsia="Palatino Linotype" w:hAnsi="Palatino Linotype" w:cs="Palatino Linotype"/>
          <w:b/>
          <w:bCs/>
        </w:rPr>
        <w:t xml:space="preserve"> RECURRENTE </w:t>
      </w:r>
      <w:r w:rsidRPr="004D091F">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11E6C" w:rsidRPr="004D091F" w:rsidRDefault="00411E6C">
      <w:pPr>
        <w:shd w:val="clear" w:color="auto" w:fill="FFFFFF"/>
        <w:spacing w:line="360" w:lineRule="auto"/>
        <w:ind w:right="49"/>
        <w:jc w:val="both"/>
        <w:rPr>
          <w:rFonts w:ascii="Palatino Linotype" w:eastAsia="Palatino Linotype" w:hAnsi="Palatino Linotype" w:cs="Palatino Linotype"/>
        </w:rPr>
      </w:pPr>
    </w:p>
    <w:p w:rsidR="00C76A30" w:rsidRPr="004D091F" w:rsidRDefault="00C76A30" w:rsidP="00E15A0B">
      <w:pPr>
        <w:spacing w:before="240" w:after="240" w:line="360" w:lineRule="auto"/>
        <w:ind w:firstLine="1"/>
        <w:jc w:val="both"/>
        <w:rPr>
          <w:rFonts w:ascii="Palatino Linotype" w:hAnsi="Palatino Linotype"/>
        </w:rPr>
      </w:pPr>
      <w:bookmarkStart w:id="11" w:name="_Hlk99014733"/>
      <w:r w:rsidRPr="004D091F">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E15A0B" w:rsidRPr="004D091F">
        <w:rPr>
          <w:rFonts w:ascii="Palatino Linotype" w:hAnsi="Palatino Linotype" w:cs="Palatino Linotype"/>
        </w:rPr>
        <w:t xml:space="preserve"> </w:t>
      </w:r>
      <w:r w:rsidR="00E15A0B" w:rsidRPr="004D091F">
        <w:rPr>
          <w:rFonts w:ascii="Palatino Linotype" w:hAnsi="Palatino Linotype"/>
        </w:rPr>
        <w:t>EMITIENDO VOTO PARTICULAR</w:t>
      </w:r>
      <w:r w:rsidRPr="004D091F">
        <w:rPr>
          <w:rFonts w:ascii="Palatino Linotype" w:hAnsi="Palatino Linotype" w:cs="Palatino Linotype"/>
        </w:rPr>
        <w:t>, MARÍA DEL ROSARIO MEJÍA AYALA</w:t>
      </w:r>
      <w:r w:rsidR="00E15A0B" w:rsidRPr="004D091F">
        <w:rPr>
          <w:rFonts w:ascii="Palatino Linotype" w:hAnsi="Palatino Linotype" w:cs="Palatino Linotype"/>
        </w:rPr>
        <w:t xml:space="preserve"> </w:t>
      </w:r>
      <w:r w:rsidR="00E15A0B" w:rsidRPr="004D091F">
        <w:rPr>
          <w:rFonts w:ascii="Palatino Linotype" w:hAnsi="Palatino Linotype"/>
        </w:rPr>
        <w:t>EMITIENDO VOTO PARTICULAR</w:t>
      </w:r>
      <w:r w:rsidRPr="004D091F">
        <w:rPr>
          <w:rFonts w:ascii="Palatino Linotype" w:hAnsi="Palatino Linotype" w:cs="Palatino Linotype"/>
        </w:rPr>
        <w:t>, SHARON CRISTINA MORALES MARTÍNEZ</w:t>
      </w:r>
      <w:r w:rsidR="00E15A0B" w:rsidRPr="004D091F">
        <w:rPr>
          <w:rFonts w:ascii="Palatino Linotype" w:hAnsi="Palatino Linotype" w:cs="Palatino Linotype"/>
        </w:rPr>
        <w:t xml:space="preserve"> </w:t>
      </w:r>
      <w:r w:rsidR="00E15A0B" w:rsidRPr="004D091F">
        <w:rPr>
          <w:rFonts w:ascii="Palatino Linotype" w:hAnsi="Palatino Linotype"/>
        </w:rPr>
        <w:t>EMITIENDO VOTO PARTICULAR</w:t>
      </w:r>
      <w:r w:rsidRPr="004D091F">
        <w:rPr>
          <w:rFonts w:ascii="Palatino Linotype" w:hAnsi="Palatino Linotype" w:cs="Palatino Linotype"/>
        </w:rPr>
        <w:t>, LUIS GUSTAVO PARRA NORIEGA</w:t>
      </w:r>
      <w:r w:rsidR="00E15A0B" w:rsidRPr="004D091F">
        <w:rPr>
          <w:rFonts w:ascii="Palatino Linotype" w:hAnsi="Palatino Linotype" w:cs="Palatino Linotype"/>
        </w:rPr>
        <w:t xml:space="preserve"> </w:t>
      </w:r>
      <w:r w:rsidR="00E15A0B" w:rsidRPr="004D091F">
        <w:rPr>
          <w:rFonts w:ascii="Palatino Linotype" w:hAnsi="Palatino Linotype"/>
        </w:rPr>
        <w:t>EMITIENDO VOTO PARTICULAR</w:t>
      </w:r>
      <w:r w:rsidRPr="004D091F">
        <w:rPr>
          <w:rFonts w:ascii="Palatino Linotype" w:hAnsi="Palatino Linotype" w:cs="Palatino Linotype"/>
        </w:rPr>
        <w:t xml:space="preserve"> Y GUADALUPE RAMÍREZ PEÑA</w:t>
      </w:r>
      <w:r w:rsidR="00E15A0B" w:rsidRPr="004D091F">
        <w:rPr>
          <w:rFonts w:ascii="Palatino Linotype" w:hAnsi="Palatino Linotype" w:cs="Palatino Linotype"/>
        </w:rPr>
        <w:t xml:space="preserve"> </w:t>
      </w:r>
      <w:r w:rsidR="00E15A0B" w:rsidRPr="004D091F">
        <w:rPr>
          <w:rFonts w:ascii="Palatino Linotype" w:hAnsi="Palatino Linotype"/>
        </w:rPr>
        <w:t>EMITIENDO VOTO PARTICULAR</w:t>
      </w:r>
      <w:r w:rsidRPr="004D091F">
        <w:rPr>
          <w:rFonts w:ascii="Palatino Linotype" w:hAnsi="Palatino Linotype" w:cs="Palatino Linotype"/>
        </w:rPr>
        <w:t xml:space="preserve">; EN LA NOVENA SESIÓN ORDINARIA, CELEBRADA EL ONCE (11) DE MARZO DE DOS MIL VEINTISÉIS, ANTE EL SECRETARIO TÉCNICO DEL PLENO </w:t>
      </w:r>
      <w:r w:rsidRPr="004D091F">
        <w:rPr>
          <w:rFonts w:ascii="Palatino Linotype" w:hAnsi="Palatino Linotype" w:cs="Palatino Linotype"/>
          <w:color w:val="000000" w:themeColor="text1"/>
        </w:rPr>
        <w:t>ALEXIS TAPIA RAMÍREZ.</w:t>
      </w:r>
    </w:p>
    <w:bookmarkEnd w:id="11"/>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p w:rsidR="00411E6C" w:rsidRPr="004D091F" w:rsidRDefault="008A43BF">
      <w:pPr>
        <w:tabs>
          <w:tab w:val="left" w:pos="3374"/>
        </w:tabs>
        <w:spacing w:line="360" w:lineRule="auto"/>
        <w:ind w:right="49"/>
        <w:rPr>
          <w:rFonts w:ascii="Palatino Linotype" w:eastAsia="Palatino Linotype" w:hAnsi="Palatino Linotype" w:cs="Palatino Linotype"/>
        </w:rPr>
      </w:pPr>
      <w:r w:rsidRPr="004D091F">
        <w:rPr>
          <w:rFonts w:ascii="Palatino Linotype" w:eastAsia="Palatino Linotype" w:hAnsi="Palatino Linotype" w:cs="Palatino Linotype"/>
        </w:rPr>
        <w:tab/>
      </w: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tabs>
          <w:tab w:val="left" w:pos="3374"/>
        </w:tabs>
        <w:spacing w:line="360" w:lineRule="auto"/>
        <w:ind w:right="49"/>
        <w:rPr>
          <w:rFonts w:ascii="Palatino Linotype" w:eastAsia="Palatino Linotype" w:hAnsi="Palatino Linotype" w:cs="Palatino Linotype"/>
        </w:rPr>
      </w:pPr>
    </w:p>
    <w:p w:rsidR="00411E6C" w:rsidRPr="004D091F" w:rsidRDefault="00411E6C">
      <w:pPr>
        <w:spacing w:line="360" w:lineRule="auto"/>
        <w:ind w:right="49"/>
        <w:rPr>
          <w:rFonts w:ascii="Palatino Linotype" w:eastAsia="Palatino Linotype" w:hAnsi="Palatino Linotype" w:cs="Palatino Linotype"/>
        </w:rPr>
      </w:pPr>
    </w:p>
    <w:sectPr w:rsidR="00411E6C" w:rsidRPr="004D091F" w:rsidSect="004D091F">
      <w:headerReference w:type="even" r:id="rId16"/>
      <w:headerReference w:type="default" r:id="rId17"/>
      <w:footerReference w:type="default" r:id="rId18"/>
      <w:headerReference w:type="first" r:id="rId19"/>
      <w:footerReference w:type="first" r:id="rId20"/>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3D5" w:rsidRDefault="00FF33D5">
      <w:r>
        <w:separator/>
      </w:r>
    </w:p>
  </w:endnote>
  <w:endnote w:type="continuationSeparator" w:id="0">
    <w:p w:rsidR="00FF33D5" w:rsidRDefault="00FF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6724435-FDE5-4BF8-B611-ECA0935D195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1C6A42D-0904-48F4-AC04-BA2292FC2BB1}"/>
    <w:embedBold r:id="rId3" w:fontKey="{5978B8D0-19CA-46E1-AE69-70140B30482F}"/>
    <w:embedItalic r:id="rId4" w:fontKey="{98E435DB-A07D-4077-A85E-4C0A26BED2CD}"/>
    <w:embedBoldItalic r:id="rId5" w:fontKey="{F309FDC6-C03C-44AB-A1D0-51163E78D90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8C6033E-8B7A-4C3D-ACA3-5B8635A0BADE}"/>
    <w:embedBold r:id="rId7" w:fontKey="{4BD6F15C-4691-48D9-8E93-C7C2361191AB}"/>
    <w:embedItalic r:id="rId8" w:fontKey="{C177956A-7B38-472A-BE1C-87DC6D7B8691}"/>
  </w:font>
  <w:font w:name="Calibri Light">
    <w:panose1 w:val="020F0302020204030204"/>
    <w:charset w:val="00"/>
    <w:family w:val="swiss"/>
    <w:pitch w:val="variable"/>
    <w:sig w:usb0="E4002EFF" w:usb1="C200247B" w:usb2="00000009" w:usb3="00000000" w:csb0="000001FF" w:csb1="00000000"/>
    <w:embedRegular r:id="rId9" w:fontKey="{1D1E8E73-6235-4B4B-8294-7A8DAEF158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C45E104A-7AA7-4E47-9DB8-6BF4ED47C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E6C" w:rsidRPr="004D091F" w:rsidRDefault="008A43B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4D091F">
      <w:rPr>
        <w:rFonts w:ascii="Palatino Linotype" w:eastAsia="Palatino Linotype" w:hAnsi="Palatino Linotype" w:cs="Palatino Linotype"/>
        <w:b/>
        <w:color w:val="000000"/>
        <w:sz w:val="22"/>
        <w:szCs w:val="20"/>
      </w:rPr>
      <w:t xml:space="preserve">Página </w:t>
    </w:r>
    <w:r w:rsidRPr="004D091F">
      <w:rPr>
        <w:rFonts w:ascii="Palatino Linotype" w:eastAsia="Palatino Linotype" w:hAnsi="Palatino Linotype" w:cs="Palatino Linotype"/>
        <w:b/>
        <w:color w:val="000000"/>
        <w:sz w:val="22"/>
        <w:szCs w:val="20"/>
      </w:rPr>
      <w:fldChar w:fldCharType="begin"/>
    </w:r>
    <w:r w:rsidRPr="004D091F">
      <w:rPr>
        <w:rFonts w:ascii="Palatino Linotype" w:eastAsia="Palatino Linotype" w:hAnsi="Palatino Linotype" w:cs="Palatino Linotype"/>
        <w:b/>
        <w:color w:val="000000"/>
        <w:sz w:val="22"/>
        <w:szCs w:val="20"/>
      </w:rPr>
      <w:instrText>PAGE</w:instrText>
    </w:r>
    <w:r w:rsidRPr="004D091F">
      <w:rPr>
        <w:rFonts w:ascii="Palatino Linotype" w:eastAsia="Palatino Linotype" w:hAnsi="Palatino Linotype" w:cs="Palatino Linotype"/>
        <w:b/>
        <w:color w:val="000000"/>
        <w:sz w:val="22"/>
        <w:szCs w:val="20"/>
      </w:rPr>
      <w:fldChar w:fldCharType="separate"/>
    </w:r>
    <w:r w:rsidR="004D091F">
      <w:rPr>
        <w:rFonts w:ascii="Palatino Linotype" w:eastAsia="Palatino Linotype" w:hAnsi="Palatino Linotype" w:cs="Palatino Linotype"/>
        <w:b/>
        <w:noProof/>
        <w:color w:val="000000"/>
        <w:sz w:val="22"/>
        <w:szCs w:val="20"/>
      </w:rPr>
      <w:t>21</w:t>
    </w:r>
    <w:r w:rsidRPr="004D091F">
      <w:rPr>
        <w:rFonts w:ascii="Palatino Linotype" w:eastAsia="Palatino Linotype" w:hAnsi="Palatino Linotype" w:cs="Palatino Linotype"/>
        <w:b/>
        <w:color w:val="000000"/>
        <w:sz w:val="22"/>
        <w:szCs w:val="20"/>
      </w:rPr>
      <w:fldChar w:fldCharType="end"/>
    </w:r>
    <w:r w:rsidRPr="004D091F">
      <w:rPr>
        <w:rFonts w:ascii="Palatino Linotype" w:eastAsia="Palatino Linotype" w:hAnsi="Palatino Linotype" w:cs="Palatino Linotype"/>
        <w:b/>
        <w:color w:val="000000"/>
        <w:sz w:val="22"/>
        <w:szCs w:val="20"/>
      </w:rPr>
      <w:t xml:space="preserve"> de </w:t>
    </w:r>
    <w:r w:rsidRPr="004D091F">
      <w:rPr>
        <w:rFonts w:ascii="Palatino Linotype" w:eastAsia="Palatino Linotype" w:hAnsi="Palatino Linotype" w:cs="Palatino Linotype"/>
        <w:b/>
        <w:color w:val="000000"/>
        <w:sz w:val="22"/>
        <w:szCs w:val="20"/>
      </w:rPr>
      <w:fldChar w:fldCharType="begin"/>
    </w:r>
    <w:r w:rsidRPr="004D091F">
      <w:rPr>
        <w:rFonts w:ascii="Palatino Linotype" w:eastAsia="Palatino Linotype" w:hAnsi="Palatino Linotype" w:cs="Palatino Linotype"/>
        <w:b/>
        <w:color w:val="000000"/>
        <w:sz w:val="22"/>
        <w:szCs w:val="20"/>
      </w:rPr>
      <w:instrText>NUMPAGES</w:instrText>
    </w:r>
    <w:r w:rsidRPr="004D091F">
      <w:rPr>
        <w:rFonts w:ascii="Palatino Linotype" w:eastAsia="Palatino Linotype" w:hAnsi="Palatino Linotype" w:cs="Palatino Linotype"/>
        <w:b/>
        <w:color w:val="000000"/>
        <w:sz w:val="22"/>
        <w:szCs w:val="20"/>
      </w:rPr>
      <w:fldChar w:fldCharType="separate"/>
    </w:r>
    <w:r w:rsidR="004D091F">
      <w:rPr>
        <w:rFonts w:ascii="Palatino Linotype" w:eastAsia="Palatino Linotype" w:hAnsi="Palatino Linotype" w:cs="Palatino Linotype"/>
        <w:b/>
        <w:noProof/>
        <w:color w:val="000000"/>
        <w:sz w:val="22"/>
        <w:szCs w:val="20"/>
      </w:rPr>
      <w:t>75</w:t>
    </w:r>
    <w:r w:rsidRPr="004D091F">
      <w:rPr>
        <w:rFonts w:ascii="Palatino Linotype" w:eastAsia="Palatino Linotype" w:hAnsi="Palatino Linotype" w:cs="Palatino Linotype"/>
        <w:b/>
        <w:color w:val="000000"/>
        <w:sz w:val="22"/>
        <w:szCs w:val="20"/>
      </w:rPr>
      <w:fldChar w:fldCharType="end"/>
    </w:r>
  </w:p>
  <w:p w:rsidR="00411E6C" w:rsidRDefault="00411E6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E6C" w:rsidRPr="004D091F" w:rsidRDefault="008A43B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4D091F">
      <w:rPr>
        <w:rFonts w:ascii="Palatino Linotype" w:eastAsia="Palatino Linotype" w:hAnsi="Palatino Linotype" w:cs="Palatino Linotype"/>
        <w:b/>
        <w:color w:val="000000"/>
        <w:sz w:val="22"/>
        <w:szCs w:val="20"/>
      </w:rPr>
      <w:t xml:space="preserve">Página </w:t>
    </w:r>
    <w:r w:rsidRPr="004D091F">
      <w:rPr>
        <w:rFonts w:ascii="Palatino Linotype" w:eastAsia="Palatino Linotype" w:hAnsi="Palatino Linotype" w:cs="Palatino Linotype"/>
        <w:b/>
        <w:color w:val="000000"/>
        <w:sz w:val="22"/>
        <w:szCs w:val="20"/>
      </w:rPr>
      <w:fldChar w:fldCharType="begin"/>
    </w:r>
    <w:r w:rsidRPr="004D091F">
      <w:rPr>
        <w:rFonts w:ascii="Palatino Linotype" w:eastAsia="Palatino Linotype" w:hAnsi="Palatino Linotype" w:cs="Palatino Linotype"/>
        <w:b/>
        <w:color w:val="000000"/>
        <w:sz w:val="22"/>
        <w:szCs w:val="20"/>
      </w:rPr>
      <w:instrText>PAGE</w:instrText>
    </w:r>
    <w:r w:rsidRPr="004D091F">
      <w:rPr>
        <w:rFonts w:ascii="Palatino Linotype" w:eastAsia="Palatino Linotype" w:hAnsi="Palatino Linotype" w:cs="Palatino Linotype"/>
        <w:b/>
        <w:color w:val="000000"/>
        <w:sz w:val="22"/>
        <w:szCs w:val="20"/>
      </w:rPr>
      <w:fldChar w:fldCharType="separate"/>
    </w:r>
    <w:r w:rsidR="004D091F">
      <w:rPr>
        <w:rFonts w:ascii="Palatino Linotype" w:eastAsia="Palatino Linotype" w:hAnsi="Palatino Linotype" w:cs="Palatino Linotype"/>
        <w:b/>
        <w:noProof/>
        <w:color w:val="000000"/>
        <w:sz w:val="22"/>
        <w:szCs w:val="20"/>
      </w:rPr>
      <w:t>1</w:t>
    </w:r>
    <w:r w:rsidRPr="004D091F">
      <w:rPr>
        <w:rFonts w:ascii="Palatino Linotype" w:eastAsia="Palatino Linotype" w:hAnsi="Palatino Linotype" w:cs="Palatino Linotype"/>
        <w:b/>
        <w:color w:val="000000"/>
        <w:sz w:val="22"/>
        <w:szCs w:val="20"/>
      </w:rPr>
      <w:fldChar w:fldCharType="end"/>
    </w:r>
    <w:r w:rsidRPr="004D091F">
      <w:rPr>
        <w:rFonts w:ascii="Palatino Linotype" w:eastAsia="Palatino Linotype" w:hAnsi="Palatino Linotype" w:cs="Palatino Linotype"/>
        <w:b/>
        <w:color w:val="000000"/>
        <w:sz w:val="22"/>
        <w:szCs w:val="20"/>
      </w:rPr>
      <w:t xml:space="preserve"> de </w:t>
    </w:r>
    <w:r w:rsidRPr="004D091F">
      <w:rPr>
        <w:rFonts w:ascii="Palatino Linotype" w:eastAsia="Palatino Linotype" w:hAnsi="Palatino Linotype" w:cs="Palatino Linotype"/>
        <w:b/>
        <w:color w:val="000000"/>
        <w:sz w:val="22"/>
        <w:szCs w:val="20"/>
      </w:rPr>
      <w:fldChar w:fldCharType="begin"/>
    </w:r>
    <w:r w:rsidRPr="004D091F">
      <w:rPr>
        <w:rFonts w:ascii="Palatino Linotype" w:eastAsia="Palatino Linotype" w:hAnsi="Palatino Linotype" w:cs="Palatino Linotype"/>
        <w:b/>
        <w:color w:val="000000"/>
        <w:sz w:val="22"/>
        <w:szCs w:val="20"/>
      </w:rPr>
      <w:instrText>NUMPAGES</w:instrText>
    </w:r>
    <w:r w:rsidRPr="004D091F">
      <w:rPr>
        <w:rFonts w:ascii="Palatino Linotype" w:eastAsia="Palatino Linotype" w:hAnsi="Palatino Linotype" w:cs="Palatino Linotype"/>
        <w:b/>
        <w:color w:val="000000"/>
        <w:sz w:val="22"/>
        <w:szCs w:val="20"/>
      </w:rPr>
      <w:fldChar w:fldCharType="separate"/>
    </w:r>
    <w:r w:rsidR="004D091F">
      <w:rPr>
        <w:rFonts w:ascii="Palatino Linotype" w:eastAsia="Palatino Linotype" w:hAnsi="Palatino Linotype" w:cs="Palatino Linotype"/>
        <w:b/>
        <w:noProof/>
        <w:color w:val="000000"/>
        <w:sz w:val="22"/>
        <w:szCs w:val="20"/>
      </w:rPr>
      <w:t>75</w:t>
    </w:r>
    <w:r w:rsidRPr="004D091F">
      <w:rPr>
        <w:rFonts w:ascii="Palatino Linotype" w:eastAsia="Palatino Linotype" w:hAnsi="Palatino Linotype" w:cs="Palatino Linotype"/>
        <w:b/>
        <w:color w:val="000000"/>
        <w:sz w:val="22"/>
        <w:szCs w:val="20"/>
      </w:rPr>
      <w:fldChar w:fldCharType="end"/>
    </w:r>
  </w:p>
  <w:p w:rsidR="00411E6C" w:rsidRDefault="00411E6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3D5" w:rsidRDefault="00FF33D5">
      <w:r>
        <w:separator/>
      </w:r>
    </w:p>
  </w:footnote>
  <w:footnote w:type="continuationSeparator" w:id="0">
    <w:p w:rsidR="00FF33D5" w:rsidRDefault="00FF33D5">
      <w:r>
        <w:continuationSeparator/>
      </w:r>
    </w:p>
  </w:footnote>
  <w:footnote w:id="1">
    <w:p w:rsidR="00411E6C" w:rsidRDefault="008A43B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rsidR="00411E6C" w:rsidRDefault="008A43B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rsidR="00411E6C" w:rsidRDefault="008A43BF">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rsidR="00411E6C" w:rsidRDefault="008A43BF">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rsidR="00411E6C" w:rsidRDefault="008A43BF">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 w:id="6">
    <w:p w:rsidR="00411E6C" w:rsidRDefault="008A43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7">
    <w:p w:rsidR="00411E6C" w:rsidRDefault="008A43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8">
    <w:p w:rsidR="00411E6C" w:rsidRDefault="008A43B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9">
    <w:p w:rsidR="00411E6C" w:rsidRDefault="008A43B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10">
    <w:p w:rsidR="00411E6C" w:rsidRDefault="008A43BF">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563C1"/>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11">
    <w:p w:rsidR="00411E6C" w:rsidRDefault="008A43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411E6C" w:rsidRDefault="008A43BF">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rsidR="00411E6C" w:rsidRDefault="008A43BF">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E6C" w:rsidRDefault="00FF33D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519" w:type="dxa"/>
      <w:tblInd w:w="3402" w:type="dxa"/>
      <w:tblLayout w:type="fixed"/>
      <w:tblLook w:val="0400" w:firstRow="0" w:lastRow="0" w:firstColumn="0" w:lastColumn="0" w:noHBand="0" w:noVBand="1"/>
    </w:tblPr>
    <w:tblGrid>
      <w:gridCol w:w="2976"/>
      <w:gridCol w:w="3543"/>
    </w:tblGrid>
    <w:tr w:rsidR="00411E6C" w:rsidTr="004D091F">
      <w:trPr>
        <w:trHeight w:val="227"/>
      </w:trPr>
      <w:tc>
        <w:tcPr>
          <w:tcW w:w="2976" w:type="dxa"/>
          <w:vAlign w:val="center"/>
        </w:tcPr>
        <w:p w:rsidR="00411E6C" w:rsidRPr="004D091F" w:rsidRDefault="008A43BF">
          <w:pPr>
            <w:ind w:right="34"/>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Recurso de Revisión:</w:t>
          </w:r>
        </w:p>
      </w:tc>
      <w:tc>
        <w:tcPr>
          <w:tcW w:w="3543" w:type="dxa"/>
          <w:vAlign w:val="center"/>
        </w:tcPr>
        <w:p w:rsidR="00411E6C" w:rsidRPr="004D091F" w:rsidRDefault="008A43B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D091F">
            <w:rPr>
              <w:rFonts w:ascii="Palatino Linotype" w:eastAsia="Palatino Linotype" w:hAnsi="Palatino Linotype" w:cs="Palatino Linotype"/>
              <w:color w:val="000000"/>
              <w:szCs w:val="22"/>
            </w:rPr>
            <w:t>06088/INFOEM/IP/RR/2025</w:t>
          </w:r>
        </w:p>
      </w:tc>
    </w:tr>
    <w:tr w:rsidR="00411E6C" w:rsidTr="004D091F">
      <w:trPr>
        <w:trHeight w:val="242"/>
      </w:trPr>
      <w:tc>
        <w:tcPr>
          <w:tcW w:w="2976" w:type="dxa"/>
          <w:vAlign w:val="center"/>
        </w:tcPr>
        <w:p w:rsidR="00411E6C" w:rsidRPr="004D091F" w:rsidRDefault="008A43BF">
          <w:pPr>
            <w:ind w:right="34"/>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Sujeto Obligado:</w:t>
          </w:r>
        </w:p>
      </w:tc>
      <w:tc>
        <w:tcPr>
          <w:tcW w:w="3543" w:type="dxa"/>
          <w:vAlign w:val="center"/>
        </w:tcPr>
        <w:p w:rsidR="00411E6C" w:rsidRPr="004D091F" w:rsidRDefault="008A43BF">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4D091F">
            <w:rPr>
              <w:rFonts w:ascii="Palatino Linotype" w:eastAsia="Palatino Linotype" w:hAnsi="Palatino Linotype" w:cs="Palatino Linotype"/>
              <w:color w:val="000000"/>
              <w:szCs w:val="22"/>
            </w:rPr>
            <w:t>Ayuntamiento de Toluca</w:t>
          </w:r>
        </w:p>
      </w:tc>
    </w:tr>
    <w:tr w:rsidR="00411E6C" w:rsidTr="004D091F">
      <w:trPr>
        <w:trHeight w:val="342"/>
      </w:trPr>
      <w:tc>
        <w:tcPr>
          <w:tcW w:w="2976" w:type="dxa"/>
          <w:vAlign w:val="center"/>
        </w:tcPr>
        <w:p w:rsidR="00411E6C" w:rsidRPr="004D091F" w:rsidRDefault="008A43BF">
          <w:pPr>
            <w:ind w:right="34"/>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Comisionada Ponente:</w:t>
          </w:r>
        </w:p>
      </w:tc>
      <w:tc>
        <w:tcPr>
          <w:tcW w:w="3543" w:type="dxa"/>
          <w:vAlign w:val="center"/>
        </w:tcPr>
        <w:p w:rsidR="00411E6C" w:rsidRPr="004D091F" w:rsidRDefault="008A43B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4D091F">
            <w:rPr>
              <w:rFonts w:ascii="Palatino Linotype" w:eastAsia="Palatino Linotype" w:hAnsi="Palatino Linotype" w:cs="Palatino Linotype"/>
              <w:color w:val="000000"/>
              <w:szCs w:val="22"/>
            </w:rPr>
            <w:t>María del Rosario Mejía Ayala</w:t>
          </w:r>
        </w:p>
      </w:tc>
    </w:tr>
  </w:tbl>
  <w:p w:rsidR="00411E6C" w:rsidRDefault="00FF33D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6.75pt;margin-top:-130.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660" w:type="dxa"/>
      <w:tblInd w:w="3544" w:type="dxa"/>
      <w:tblLayout w:type="fixed"/>
      <w:tblLook w:val="0400" w:firstRow="0" w:lastRow="0" w:firstColumn="0" w:lastColumn="0" w:noHBand="0" w:noVBand="1"/>
    </w:tblPr>
    <w:tblGrid>
      <w:gridCol w:w="2977"/>
      <w:gridCol w:w="3683"/>
    </w:tblGrid>
    <w:tr w:rsidR="00411E6C" w:rsidTr="004D091F">
      <w:trPr>
        <w:trHeight w:val="227"/>
      </w:trPr>
      <w:tc>
        <w:tcPr>
          <w:tcW w:w="2977" w:type="dxa"/>
          <w:vAlign w:val="center"/>
        </w:tcPr>
        <w:p w:rsidR="00411E6C" w:rsidRPr="004D091F" w:rsidRDefault="008A43BF" w:rsidP="004D091F">
          <w:pPr>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Recurso de Revisión:</w:t>
          </w:r>
        </w:p>
      </w:tc>
      <w:tc>
        <w:tcPr>
          <w:tcW w:w="3683" w:type="dxa"/>
          <w:vAlign w:val="center"/>
        </w:tcPr>
        <w:p w:rsidR="00411E6C" w:rsidRPr="004D091F" w:rsidRDefault="008A43BF" w:rsidP="004D09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D091F">
            <w:rPr>
              <w:rFonts w:ascii="Palatino Linotype" w:eastAsia="Palatino Linotype" w:hAnsi="Palatino Linotype" w:cs="Palatino Linotype"/>
              <w:color w:val="000000"/>
              <w:szCs w:val="22"/>
            </w:rPr>
            <w:t>06088/INFOEM/IP/RR/2025</w:t>
          </w:r>
        </w:p>
      </w:tc>
    </w:tr>
    <w:tr w:rsidR="00411E6C" w:rsidTr="004D091F">
      <w:trPr>
        <w:trHeight w:val="242"/>
      </w:trPr>
      <w:tc>
        <w:tcPr>
          <w:tcW w:w="2977" w:type="dxa"/>
          <w:vAlign w:val="center"/>
        </w:tcPr>
        <w:p w:rsidR="00411E6C" w:rsidRPr="004D091F" w:rsidRDefault="008A43BF" w:rsidP="004D091F">
          <w:pPr>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Recurrente:</w:t>
          </w:r>
        </w:p>
      </w:tc>
      <w:tc>
        <w:tcPr>
          <w:tcW w:w="3683" w:type="dxa"/>
        </w:tcPr>
        <w:p w:rsidR="00411E6C" w:rsidRPr="004D091F" w:rsidRDefault="00411E6C" w:rsidP="004D091F">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p>
      </w:tc>
    </w:tr>
    <w:tr w:rsidR="00411E6C" w:rsidTr="004D091F">
      <w:trPr>
        <w:trHeight w:val="342"/>
      </w:trPr>
      <w:tc>
        <w:tcPr>
          <w:tcW w:w="2977" w:type="dxa"/>
          <w:vAlign w:val="center"/>
        </w:tcPr>
        <w:p w:rsidR="00411E6C" w:rsidRPr="004D091F" w:rsidRDefault="008A43BF" w:rsidP="004D091F">
          <w:pPr>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Sujeto Obligado:</w:t>
          </w:r>
        </w:p>
      </w:tc>
      <w:tc>
        <w:tcPr>
          <w:tcW w:w="3683" w:type="dxa"/>
          <w:vAlign w:val="center"/>
        </w:tcPr>
        <w:p w:rsidR="00411E6C" w:rsidRPr="004D091F" w:rsidRDefault="008A43BF" w:rsidP="004D09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D091F">
            <w:rPr>
              <w:rFonts w:ascii="Palatino Linotype" w:eastAsia="Palatino Linotype" w:hAnsi="Palatino Linotype" w:cs="Palatino Linotype"/>
              <w:color w:val="000000"/>
              <w:szCs w:val="22"/>
            </w:rPr>
            <w:t>Ayuntamiento de Toluca</w:t>
          </w:r>
        </w:p>
      </w:tc>
    </w:tr>
    <w:tr w:rsidR="00411E6C" w:rsidTr="004D091F">
      <w:trPr>
        <w:trHeight w:val="342"/>
      </w:trPr>
      <w:tc>
        <w:tcPr>
          <w:tcW w:w="2977" w:type="dxa"/>
          <w:vAlign w:val="center"/>
        </w:tcPr>
        <w:p w:rsidR="00411E6C" w:rsidRPr="004D091F" w:rsidRDefault="008A43BF" w:rsidP="004D091F">
          <w:pPr>
            <w:jc w:val="right"/>
            <w:rPr>
              <w:rFonts w:ascii="Palatino Linotype" w:eastAsia="Palatino Linotype" w:hAnsi="Palatino Linotype" w:cs="Palatino Linotype"/>
              <w:b/>
              <w:bCs/>
              <w:szCs w:val="22"/>
            </w:rPr>
          </w:pPr>
          <w:r w:rsidRPr="004D091F">
            <w:rPr>
              <w:rFonts w:ascii="Palatino Linotype" w:eastAsia="Palatino Linotype" w:hAnsi="Palatino Linotype" w:cs="Palatino Linotype"/>
              <w:b/>
              <w:bCs/>
              <w:szCs w:val="22"/>
            </w:rPr>
            <w:t>Comisionada Ponente:</w:t>
          </w:r>
        </w:p>
      </w:tc>
      <w:tc>
        <w:tcPr>
          <w:tcW w:w="3683" w:type="dxa"/>
          <w:vAlign w:val="center"/>
        </w:tcPr>
        <w:p w:rsidR="00411E6C" w:rsidRPr="004D091F" w:rsidRDefault="008A43BF" w:rsidP="004D09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4D091F">
            <w:rPr>
              <w:rFonts w:ascii="Palatino Linotype" w:eastAsia="Palatino Linotype" w:hAnsi="Palatino Linotype" w:cs="Palatino Linotype"/>
              <w:color w:val="000000"/>
              <w:szCs w:val="22"/>
            </w:rPr>
            <w:t>María del Rosario Mejía Ayala</w:t>
          </w:r>
        </w:p>
      </w:tc>
    </w:tr>
  </w:tbl>
  <w:p w:rsidR="00411E6C" w:rsidRDefault="00FF33D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2.6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4110"/>
    <w:multiLevelType w:val="multilevel"/>
    <w:tmpl w:val="A132772C"/>
    <w:lvl w:ilvl="0">
      <w:start w:val="1"/>
      <w:numFmt w:val="bullet"/>
      <w:lvlText w:val="●"/>
      <w:lvlJc w:val="left"/>
      <w:pPr>
        <w:ind w:left="1605" w:hanging="360"/>
      </w:pPr>
      <w:rPr>
        <w:rFonts w:ascii="Noto Sans Symbols" w:eastAsia="Noto Sans Symbols" w:hAnsi="Noto Sans Symbols" w:cs="Noto Sans Symbols"/>
      </w:rPr>
    </w:lvl>
    <w:lvl w:ilvl="1">
      <w:start w:val="1"/>
      <w:numFmt w:val="bullet"/>
      <w:lvlText w:val="o"/>
      <w:lvlJc w:val="left"/>
      <w:pPr>
        <w:ind w:left="2325" w:hanging="360"/>
      </w:pPr>
      <w:rPr>
        <w:rFonts w:ascii="Courier New" w:eastAsia="Courier New" w:hAnsi="Courier New" w:cs="Courier New"/>
      </w:rPr>
    </w:lvl>
    <w:lvl w:ilvl="2">
      <w:start w:val="1"/>
      <w:numFmt w:val="bullet"/>
      <w:lvlText w:val="▪"/>
      <w:lvlJc w:val="left"/>
      <w:pPr>
        <w:ind w:left="3045" w:hanging="360"/>
      </w:pPr>
      <w:rPr>
        <w:rFonts w:ascii="Noto Sans Symbols" w:eastAsia="Noto Sans Symbols" w:hAnsi="Noto Sans Symbols" w:cs="Noto Sans Symbols"/>
      </w:rPr>
    </w:lvl>
    <w:lvl w:ilvl="3">
      <w:start w:val="1"/>
      <w:numFmt w:val="bullet"/>
      <w:lvlText w:val="●"/>
      <w:lvlJc w:val="left"/>
      <w:pPr>
        <w:ind w:left="3765" w:hanging="360"/>
      </w:pPr>
      <w:rPr>
        <w:rFonts w:ascii="Noto Sans Symbols" w:eastAsia="Noto Sans Symbols" w:hAnsi="Noto Sans Symbols" w:cs="Noto Sans Symbols"/>
      </w:rPr>
    </w:lvl>
    <w:lvl w:ilvl="4">
      <w:start w:val="1"/>
      <w:numFmt w:val="bullet"/>
      <w:lvlText w:val="o"/>
      <w:lvlJc w:val="left"/>
      <w:pPr>
        <w:ind w:left="4485" w:hanging="360"/>
      </w:pPr>
      <w:rPr>
        <w:rFonts w:ascii="Courier New" w:eastAsia="Courier New" w:hAnsi="Courier New" w:cs="Courier New"/>
      </w:rPr>
    </w:lvl>
    <w:lvl w:ilvl="5">
      <w:start w:val="1"/>
      <w:numFmt w:val="bullet"/>
      <w:lvlText w:val="▪"/>
      <w:lvlJc w:val="left"/>
      <w:pPr>
        <w:ind w:left="5205" w:hanging="360"/>
      </w:pPr>
      <w:rPr>
        <w:rFonts w:ascii="Noto Sans Symbols" w:eastAsia="Noto Sans Symbols" w:hAnsi="Noto Sans Symbols" w:cs="Noto Sans Symbols"/>
      </w:rPr>
    </w:lvl>
    <w:lvl w:ilvl="6">
      <w:start w:val="1"/>
      <w:numFmt w:val="bullet"/>
      <w:lvlText w:val="●"/>
      <w:lvlJc w:val="left"/>
      <w:pPr>
        <w:ind w:left="5925" w:hanging="360"/>
      </w:pPr>
      <w:rPr>
        <w:rFonts w:ascii="Noto Sans Symbols" w:eastAsia="Noto Sans Symbols" w:hAnsi="Noto Sans Symbols" w:cs="Noto Sans Symbols"/>
      </w:rPr>
    </w:lvl>
    <w:lvl w:ilvl="7">
      <w:start w:val="1"/>
      <w:numFmt w:val="bullet"/>
      <w:lvlText w:val="o"/>
      <w:lvlJc w:val="left"/>
      <w:pPr>
        <w:ind w:left="6645" w:hanging="360"/>
      </w:pPr>
      <w:rPr>
        <w:rFonts w:ascii="Courier New" w:eastAsia="Courier New" w:hAnsi="Courier New" w:cs="Courier New"/>
      </w:rPr>
    </w:lvl>
    <w:lvl w:ilvl="8">
      <w:start w:val="1"/>
      <w:numFmt w:val="bullet"/>
      <w:lvlText w:val="▪"/>
      <w:lvlJc w:val="left"/>
      <w:pPr>
        <w:ind w:left="7365" w:hanging="360"/>
      </w:pPr>
      <w:rPr>
        <w:rFonts w:ascii="Noto Sans Symbols" w:eastAsia="Noto Sans Symbols" w:hAnsi="Noto Sans Symbols" w:cs="Noto Sans Symbols"/>
      </w:rPr>
    </w:lvl>
  </w:abstractNum>
  <w:abstractNum w:abstractNumId="1" w15:restartNumberingAfterBreak="0">
    <w:nsid w:val="04CC4496"/>
    <w:multiLevelType w:val="multilevel"/>
    <w:tmpl w:val="CB0032BE"/>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C5688"/>
    <w:multiLevelType w:val="multilevel"/>
    <w:tmpl w:val="A90E2AD8"/>
    <w:lvl w:ilvl="0">
      <w:start w:val="1"/>
      <w:numFmt w:val="upperRoman"/>
      <w:lvlText w:val="%1."/>
      <w:lvlJc w:val="left"/>
      <w:pPr>
        <w:ind w:left="1571" w:hanging="720"/>
      </w:pPr>
      <w:rPr>
        <w:rFonts w:ascii="Palatino Linotype" w:eastAsia="Palatino Linotype" w:hAnsi="Palatino Linotype" w:cs="Palatino Linotype"/>
        <w:i/>
        <w:iCs/>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21A1470"/>
    <w:multiLevelType w:val="multilevel"/>
    <w:tmpl w:val="677219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11E7FA6"/>
    <w:multiLevelType w:val="multilevel"/>
    <w:tmpl w:val="9F9823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E82DE3"/>
    <w:multiLevelType w:val="multilevel"/>
    <w:tmpl w:val="114E448A"/>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1566FD"/>
    <w:multiLevelType w:val="multilevel"/>
    <w:tmpl w:val="7D661F6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5A4125C7"/>
    <w:multiLevelType w:val="hybridMultilevel"/>
    <w:tmpl w:val="5B6A8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493616"/>
    <w:multiLevelType w:val="multilevel"/>
    <w:tmpl w:val="3C60B3C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 w15:restartNumberingAfterBreak="0">
    <w:nsid w:val="7752483D"/>
    <w:multiLevelType w:val="multilevel"/>
    <w:tmpl w:val="387A1848"/>
    <w:lvl w:ilvl="0">
      <w:start w:val="50"/>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B22538"/>
    <w:multiLevelType w:val="multilevel"/>
    <w:tmpl w:val="2FF6525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021C9F"/>
    <w:multiLevelType w:val="multilevel"/>
    <w:tmpl w:val="874E2C6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1"/>
  </w:num>
  <w:num w:numId="2">
    <w:abstractNumId w:val="11"/>
  </w:num>
  <w:num w:numId="3">
    <w:abstractNumId w:val="9"/>
  </w:num>
  <w:num w:numId="4">
    <w:abstractNumId w:val="10"/>
  </w:num>
  <w:num w:numId="5">
    <w:abstractNumId w:val="2"/>
  </w:num>
  <w:num w:numId="6">
    <w:abstractNumId w:val="0"/>
  </w:num>
  <w:num w:numId="7">
    <w:abstractNumId w:val="5"/>
  </w:num>
  <w:num w:numId="8">
    <w:abstractNumId w:val="8"/>
  </w:num>
  <w:num w:numId="9">
    <w:abstractNumId w:val="3"/>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E6C"/>
    <w:rsid w:val="000B3B56"/>
    <w:rsid w:val="00330025"/>
    <w:rsid w:val="00411E6C"/>
    <w:rsid w:val="004D091F"/>
    <w:rsid w:val="006D6CDF"/>
    <w:rsid w:val="008A43BF"/>
    <w:rsid w:val="009A7B4B"/>
    <w:rsid w:val="00A358A7"/>
    <w:rsid w:val="00AC33A2"/>
    <w:rsid w:val="00C76A30"/>
    <w:rsid w:val="00E15A0B"/>
    <w:rsid w:val="00E676AE"/>
    <w:rsid w:val="00F65BAF"/>
    <w:rsid w:val="00FF33D5"/>
    <w:rsid w:val="00FF50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77C5854-D39D-4828-B76D-880A2D741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4"/>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3038A1"/>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yJ+FmDf6fr568Etph3sP37AcQ==">CgMxLjAyCGguZ2pkZ3hzMgloLjMwajB6bGwyCWguM3pueXNoNzIJaC4yZXQ5MnAwMghoLnR5amN3dDIOaC5mY25sbmwzd2FtMHoyDmgucmcycnVxOGppYm14Mg5oLmhiczg3YjUzZno3ZjIOaC45N2pjcDgxdXlxbWgyDWguZjNnNWZmNm5rdmE4AHIhMU1ubXBsaG9rcnBRcklsaV9KckUwVFhTQUY1YkdkQlBw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75</Pages>
  <Words>17886</Words>
  <Characters>98377</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9</cp:revision>
  <cp:lastPrinted>2026-03-12T23:14:00Z</cp:lastPrinted>
  <dcterms:created xsi:type="dcterms:W3CDTF">2026-03-09T18:46:00Z</dcterms:created>
  <dcterms:modified xsi:type="dcterms:W3CDTF">2026-03-19T00:33:00Z</dcterms:modified>
</cp:coreProperties>
</file>