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E8879" w14:textId="6C94B8A8" w:rsidR="00713DC4" w:rsidRPr="002442EC" w:rsidRDefault="001037B0" w:rsidP="006E14F8">
      <w:pPr>
        <w:spacing w:before="240" w:after="240" w:line="360" w:lineRule="auto"/>
        <w:ind w:left="-567"/>
        <w:jc w:val="both"/>
        <w:rPr>
          <w:rFonts w:ascii="Palatino Linotype" w:eastAsia="Palatino Linotype" w:hAnsi="Palatino Linotype" w:cs="Palatino Linotype"/>
          <w:b/>
          <w:sz w:val="21"/>
          <w:szCs w:val="21"/>
        </w:rPr>
      </w:pPr>
      <w:bookmarkStart w:id="0" w:name="_heading=h.gjdgxs" w:colFirst="0" w:colLast="0"/>
      <w:bookmarkEnd w:id="0"/>
      <w:r w:rsidRPr="002442EC">
        <w:rPr>
          <w:rFonts w:ascii="Palatino Linotype" w:eastAsia="Palatino Linotype" w:hAnsi="Palatino Linotype" w:cs="Palatino Linotype"/>
          <w:b/>
          <w:sz w:val="21"/>
          <w:szCs w:val="21"/>
        </w:rPr>
        <w:t xml:space="preserve">VOTO PARTICULAR QUE FORMULA LA COMISIONADA GUADALUPE RAMÍREZ PEÑA, EN RELACIÓN CON LA RESOLUCIÓN DICTADA POR EL PLENO DEL INSTITUTO DE TRANSPARENCIA, ACCESO A LA INFORMACIÓN PÚBLICA Y PROTECCIÓN DE DATOS PERSONALES DEL ESTADO DE MÉXICO Y MUNICIPIOS, </w:t>
      </w:r>
      <w:r w:rsidR="00FF04F3" w:rsidRPr="002442EC">
        <w:rPr>
          <w:rFonts w:ascii="Palatino Linotype" w:eastAsia="Palatino Linotype" w:hAnsi="Palatino Linotype" w:cs="Palatino Linotype"/>
          <w:b/>
          <w:sz w:val="21"/>
          <w:szCs w:val="21"/>
        </w:rPr>
        <w:t xml:space="preserve">EN LA </w:t>
      </w:r>
      <w:r w:rsidR="00573D4D" w:rsidRPr="00573D4D">
        <w:rPr>
          <w:rFonts w:ascii="Palatino Linotype" w:eastAsia="Palatino Linotype" w:hAnsi="Palatino Linotype" w:cs="Palatino Linotype"/>
          <w:b/>
          <w:sz w:val="21"/>
          <w:szCs w:val="21"/>
        </w:rPr>
        <w:t>TRIGÉSIMA</w:t>
      </w:r>
      <w:r w:rsidR="00461C93">
        <w:rPr>
          <w:rFonts w:ascii="Palatino Linotype" w:eastAsia="Palatino Linotype" w:hAnsi="Palatino Linotype" w:cs="Palatino Linotype"/>
          <w:b/>
          <w:sz w:val="21"/>
          <w:szCs w:val="21"/>
        </w:rPr>
        <w:t xml:space="preserve"> </w:t>
      </w:r>
      <w:r w:rsidR="002479E0">
        <w:rPr>
          <w:rFonts w:ascii="Palatino Linotype" w:eastAsia="Palatino Linotype" w:hAnsi="Palatino Linotype" w:cs="Palatino Linotype"/>
          <w:b/>
          <w:sz w:val="21"/>
          <w:szCs w:val="21"/>
        </w:rPr>
        <w:t>TERCERA</w:t>
      </w:r>
      <w:r w:rsidR="00573D4D">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b/>
          <w:sz w:val="21"/>
          <w:szCs w:val="21"/>
        </w:rPr>
        <w:t>SESIÓN ORDINARIA DEL</w:t>
      </w:r>
      <w:r w:rsidR="00461C93">
        <w:rPr>
          <w:rFonts w:ascii="Palatino Linotype" w:eastAsia="Palatino Linotype" w:hAnsi="Palatino Linotype" w:cs="Palatino Linotype"/>
          <w:b/>
          <w:sz w:val="21"/>
          <w:szCs w:val="21"/>
        </w:rPr>
        <w:t xml:space="preserve"> </w:t>
      </w:r>
      <w:r w:rsidR="002479E0">
        <w:rPr>
          <w:rFonts w:ascii="Palatino Linotype" w:eastAsia="Palatino Linotype" w:hAnsi="Palatino Linotype" w:cs="Palatino Linotype"/>
          <w:b/>
          <w:sz w:val="21"/>
          <w:szCs w:val="21"/>
        </w:rPr>
        <w:t xml:space="preserve">DIECISIETE </w:t>
      </w:r>
      <w:r w:rsidR="00573D4D">
        <w:rPr>
          <w:rFonts w:ascii="Palatino Linotype" w:eastAsia="Palatino Linotype" w:hAnsi="Palatino Linotype" w:cs="Palatino Linotype"/>
          <w:b/>
          <w:sz w:val="21"/>
          <w:szCs w:val="21"/>
        </w:rPr>
        <w:t>DE SEPTIEMBRE</w:t>
      </w:r>
      <w:r w:rsidRPr="002442EC">
        <w:rPr>
          <w:rFonts w:ascii="Palatino Linotype" w:eastAsia="Palatino Linotype" w:hAnsi="Palatino Linotype" w:cs="Palatino Linotype"/>
          <w:b/>
          <w:sz w:val="21"/>
          <w:szCs w:val="21"/>
        </w:rPr>
        <w:t xml:space="preserve"> DE DOS MIL VEINTISÉIS, EN EL RECURSO DE REVISIÓN </w:t>
      </w:r>
      <w:bookmarkStart w:id="1" w:name="_heading=h.tyjcwt" w:colFirst="0" w:colLast="0"/>
      <w:bookmarkEnd w:id="1"/>
      <w:r w:rsidR="00C0676C">
        <w:rPr>
          <w:rFonts w:ascii="Palatino Linotype" w:eastAsia="Palatino Linotype" w:hAnsi="Palatino Linotype" w:cs="Palatino Linotype"/>
          <w:b/>
          <w:sz w:val="21"/>
          <w:szCs w:val="21"/>
        </w:rPr>
        <w:t>0</w:t>
      </w:r>
      <w:r w:rsidR="0008467E">
        <w:rPr>
          <w:rFonts w:ascii="Palatino Linotype" w:eastAsia="Palatino Linotype" w:hAnsi="Palatino Linotype" w:cs="Palatino Linotype"/>
          <w:b/>
          <w:sz w:val="21"/>
          <w:szCs w:val="21"/>
        </w:rPr>
        <w:t>2946</w:t>
      </w:r>
      <w:r w:rsidR="006A5447" w:rsidRPr="002442EC">
        <w:rPr>
          <w:rFonts w:ascii="Palatino Linotype" w:eastAsia="Palatino Linotype" w:hAnsi="Palatino Linotype" w:cs="Palatino Linotype"/>
          <w:b/>
          <w:sz w:val="21"/>
          <w:szCs w:val="21"/>
        </w:rPr>
        <w:t>/</w:t>
      </w:r>
      <w:r w:rsidRPr="002442EC">
        <w:rPr>
          <w:rFonts w:ascii="Palatino Linotype" w:eastAsia="Palatino Linotype" w:hAnsi="Palatino Linotype" w:cs="Palatino Linotype"/>
          <w:b/>
          <w:sz w:val="21"/>
          <w:szCs w:val="21"/>
        </w:rPr>
        <w:t>INFOEM/IP/RR/202</w:t>
      </w:r>
      <w:r w:rsidR="00C0676C">
        <w:rPr>
          <w:rFonts w:ascii="Palatino Linotype" w:eastAsia="Palatino Linotype" w:hAnsi="Palatino Linotype" w:cs="Palatino Linotype"/>
          <w:b/>
          <w:sz w:val="21"/>
          <w:szCs w:val="21"/>
        </w:rPr>
        <w:t>6</w:t>
      </w:r>
      <w:r w:rsidRPr="002442EC">
        <w:rPr>
          <w:rFonts w:ascii="Palatino Linotype" w:eastAsia="Palatino Linotype" w:hAnsi="Palatino Linotype" w:cs="Palatino Linotype"/>
          <w:b/>
          <w:sz w:val="21"/>
          <w:szCs w:val="21"/>
        </w:rPr>
        <w:t xml:space="preserve">. </w:t>
      </w:r>
    </w:p>
    <w:p w14:paraId="18DEB9CF" w14:textId="4A59C174" w:rsidR="00600D3F" w:rsidRPr="002442EC" w:rsidRDefault="00665336" w:rsidP="00360E1A">
      <w:pPr>
        <w:spacing w:after="80" w:line="360" w:lineRule="auto"/>
        <w:ind w:left="-567" w:right="-9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El Pleno del Instituto de Transparencia, Acceso a la Información Pública y Protección de Datos Personales del Estado de México </w:t>
      </w:r>
      <w:r w:rsidR="00D143DA" w:rsidRPr="002442EC">
        <w:rPr>
          <w:rFonts w:ascii="Palatino Linotype" w:eastAsia="Palatino Linotype" w:hAnsi="Palatino Linotype" w:cs="Palatino Linotype"/>
          <w:sz w:val="21"/>
          <w:szCs w:val="21"/>
        </w:rPr>
        <w:t>aprobó</w:t>
      </w:r>
      <w:r w:rsidRPr="002442EC">
        <w:rPr>
          <w:rFonts w:ascii="Palatino Linotype" w:eastAsia="Palatino Linotype" w:hAnsi="Palatino Linotype" w:cs="Palatino Linotype"/>
          <w:sz w:val="21"/>
          <w:szCs w:val="21"/>
        </w:rPr>
        <w:t xml:space="preserve"> la Resolución relativa al Recurso de Revisión </w:t>
      </w:r>
      <w:r w:rsidR="00C0676C">
        <w:rPr>
          <w:rFonts w:ascii="Palatino Linotype" w:eastAsia="Palatino Linotype" w:hAnsi="Palatino Linotype" w:cs="Palatino Linotype"/>
          <w:b/>
          <w:bCs/>
          <w:sz w:val="21"/>
          <w:szCs w:val="21"/>
        </w:rPr>
        <w:t>0</w:t>
      </w:r>
      <w:r w:rsidR="0008467E">
        <w:rPr>
          <w:rFonts w:ascii="Palatino Linotype" w:eastAsia="Palatino Linotype" w:hAnsi="Palatino Linotype" w:cs="Palatino Linotype"/>
          <w:b/>
          <w:bCs/>
          <w:sz w:val="21"/>
          <w:szCs w:val="21"/>
        </w:rPr>
        <w:t>2946</w:t>
      </w:r>
      <w:r w:rsidR="00360E1A" w:rsidRPr="002442EC">
        <w:rPr>
          <w:rFonts w:ascii="Palatino Linotype" w:eastAsia="Palatino Linotype" w:hAnsi="Palatino Linotype" w:cs="Palatino Linotype"/>
          <w:b/>
          <w:bCs/>
          <w:sz w:val="21"/>
          <w:szCs w:val="21"/>
        </w:rPr>
        <w:t>/INFOEM/IP/RR/202</w:t>
      </w:r>
      <w:r w:rsidR="00C0676C">
        <w:rPr>
          <w:rFonts w:ascii="Palatino Linotype" w:eastAsia="Palatino Linotype" w:hAnsi="Palatino Linotype" w:cs="Palatino Linotype"/>
          <w:b/>
          <w:bCs/>
          <w:sz w:val="21"/>
          <w:szCs w:val="21"/>
        </w:rPr>
        <w:t>6</w:t>
      </w:r>
      <w:r w:rsidRPr="002442EC">
        <w:rPr>
          <w:rFonts w:ascii="Palatino Linotype" w:eastAsia="Palatino Linotype" w:hAnsi="Palatino Linotype" w:cs="Palatino Linotype"/>
          <w:b/>
          <w:sz w:val="21"/>
          <w:szCs w:val="21"/>
        </w:rPr>
        <w:t>,</w:t>
      </w:r>
      <w:r w:rsidR="0064517B" w:rsidRPr="002442EC">
        <w:rPr>
          <w:rFonts w:ascii="Palatino Linotype" w:eastAsia="Palatino Linotype" w:hAnsi="Palatino Linotype" w:cs="Palatino Linotype"/>
          <w:b/>
          <w:sz w:val="21"/>
          <w:szCs w:val="21"/>
        </w:rPr>
        <w:t xml:space="preserve"> </w:t>
      </w:r>
      <w:r w:rsidR="00750563">
        <w:rPr>
          <w:rFonts w:ascii="Palatino Linotype" w:eastAsia="Palatino Linotype" w:hAnsi="Palatino Linotype" w:cs="Palatino Linotype"/>
          <w:bCs/>
          <w:sz w:val="21"/>
          <w:szCs w:val="21"/>
        </w:rPr>
        <w:t xml:space="preserve">misma que fue engrosada conforme al criterio mayoritario, </w:t>
      </w:r>
      <w:r w:rsidRPr="002442EC">
        <w:rPr>
          <w:rFonts w:ascii="Palatino Linotype" w:eastAsia="Palatino Linotype" w:hAnsi="Palatino Linotype" w:cs="Palatino Linotype"/>
          <w:sz w:val="21"/>
          <w:szCs w:val="21"/>
        </w:rPr>
        <w:t xml:space="preserve">respecto de la cual, quien suscribe, emite </w:t>
      </w:r>
      <w:r w:rsidRPr="002442EC">
        <w:rPr>
          <w:rFonts w:ascii="Palatino Linotype" w:eastAsia="Palatino Linotype" w:hAnsi="Palatino Linotype" w:cs="Palatino Linotype"/>
          <w:b/>
          <w:sz w:val="21"/>
          <w:szCs w:val="21"/>
        </w:rPr>
        <w:t>VOTO PARTICULAR</w:t>
      </w:r>
      <w:r w:rsidRPr="002442EC">
        <w:rPr>
          <w:rFonts w:ascii="Palatino Linotype" w:eastAsia="Palatino Linotype" w:hAnsi="Palatino Linotype" w:cs="Palatino Linotype"/>
          <w:sz w:val="21"/>
          <w:szCs w:val="21"/>
        </w:rPr>
        <w:t>, con fundamento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77C9499B" w14:textId="77777777" w:rsidR="00600D3F" w:rsidRPr="002442EC" w:rsidRDefault="00665336">
      <w:pPr>
        <w:spacing w:after="80" w:line="360" w:lineRule="auto"/>
        <w:ind w:left="-567" w:right="-93"/>
        <w:jc w:val="both"/>
        <w:rPr>
          <w:rFonts w:ascii="Palatino Linotype" w:eastAsia="Palatino Linotype" w:hAnsi="Palatino Linotype" w:cs="Palatino Linotype"/>
          <w:sz w:val="21"/>
          <w:szCs w:val="21"/>
        </w:rPr>
      </w:pPr>
      <w:bookmarkStart w:id="2" w:name="_heading=h.30j0zll" w:colFirst="0" w:colLast="0"/>
      <w:bookmarkEnd w:id="2"/>
      <w:r w:rsidRPr="002442EC">
        <w:rPr>
          <w:rFonts w:ascii="Palatino Linotype" w:eastAsia="Palatino Linotype" w:hAnsi="Palatino Linotype" w:cs="Palatino Linotype"/>
          <w:sz w:val="21"/>
          <w:szCs w:val="21"/>
        </w:rPr>
        <w:t>Al respecto preciso señalar que se comparte el sentido de la resolución, ya que del análisis de las constancias que conforman el expediente electrónico, se desprendió que la información solicitada es susceptible de transparentarse pues se encuentra relacionada con la gestión pública y con su publicidad se favorece indudablemente a la rendición de cuentas.</w:t>
      </w:r>
    </w:p>
    <w:p w14:paraId="33B41289" w14:textId="77777777" w:rsidR="00A0222C" w:rsidRPr="002442EC" w:rsidRDefault="00665336" w:rsidP="00A0222C">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Sin embargo, es preciso mencionar que, el presente voto se formula en relación con los argumentos señalados en la resolución, particularmente por considerar que la fotografía de los servidores públicos sin importar el nivel o cargo y en cualquier documento que se encuentre vinculado con el cumplimiento de disposiciones legales debe ser pública. </w:t>
      </w:r>
    </w:p>
    <w:p w14:paraId="56CAF782" w14:textId="4DE7C618" w:rsidR="006054D7" w:rsidRPr="002442EC" w:rsidRDefault="00665336" w:rsidP="006054D7">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En efecto, al respecto en la resolución se consideró lo siguiente</w:t>
      </w:r>
      <w:r w:rsidRPr="002442EC">
        <w:rPr>
          <w:rFonts w:ascii="Palatino Linotype" w:eastAsia="Palatino Linotype" w:hAnsi="Palatino Linotype" w:cs="Palatino Linotype"/>
          <w:i/>
          <w:sz w:val="21"/>
          <w:szCs w:val="21"/>
        </w:rPr>
        <w:t>:</w:t>
      </w:r>
      <w:bookmarkStart w:id="3" w:name="_heading=h.1fob9te" w:colFirst="0" w:colLast="0"/>
      <w:bookmarkStart w:id="4" w:name="_heading=h.seznk0v3kwdp" w:colFirst="0" w:colLast="0"/>
      <w:bookmarkEnd w:id="3"/>
      <w:bookmarkEnd w:id="4"/>
    </w:p>
    <w:p w14:paraId="37F4C60A"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lastRenderedPageBreak/>
        <w:t>Por lo que hace a las fotografías de los servidores públicos,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445E4A2B"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705039F8"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50CCE3F1"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5F517056"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524F80A3"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lastRenderedPageBreak/>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4F06CE8C" w14:textId="77777777" w:rsidR="0008467E" w:rsidRPr="0008467E"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6942C114" w14:textId="400F89EF" w:rsidR="006E14F8" w:rsidRPr="006E14F8" w:rsidRDefault="0008467E" w:rsidP="0008467E">
      <w:pPr>
        <w:ind w:right="566"/>
        <w:jc w:val="both"/>
        <w:rPr>
          <w:rFonts w:ascii="Palatino Linotype" w:hAnsi="Palatino Linotype"/>
          <w:bCs/>
          <w:i/>
          <w:color w:val="000000" w:themeColor="text1"/>
          <w:sz w:val="21"/>
          <w:szCs w:val="21"/>
        </w:rPr>
      </w:pPr>
      <w:r w:rsidRPr="0008467E">
        <w:rPr>
          <w:rFonts w:ascii="Palatino Linotype" w:hAnsi="Palatino Linotype"/>
          <w:bCs/>
          <w:i/>
          <w:color w:val="000000" w:themeColor="text1"/>
          <w:sz w:val="21"/>
          <w:szCs w:val="21"/>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w:t>
      </w:r>
    </w:p>
    <w:p w14:paraId="396942E1" w14:textId="40F61B6B" w:rsidR="00E63A41" w:rsidRPr="002442EC" w:rsidRDefault="00E63A41" w:rsidP="002479E0">
      <w:pPr>
        <w:ind w:right="566"/>
        <w:jc w:val="both"/>
        <w:rPr>
          <w:rFonts w:ascii="Palatino Linotype" w:hAnsi="Palatino Linotype"/>
          <w:bCs/>
          <w:i/>
          <w:color w:val="000000" w:themeColor="text1"/>
          <w:sz w:val="21"/>
          <w:szCs w:val="21"/>
        </w:rPr>
      </w:pPr>
    </w:p>
    <w:p w14:paraId="6B6A5B86" w14:textId="0C2E8A4C" w:rsidR="00600D3F" w:rsidRPr="002442EC" w:rsidRDefault="00665336" w:rsidP="002D696C">
      <w:pPr>
        <w:spacing w:after="0" w:line="360" w:lineRule="auto"/>
        <w:ind w:left="-426" w:right="-14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Como se puede advertir, en el criterio de la mayoría no se distingue </w:t>
      </w:r>
      <w:r w:rsidR="00983B10" w:rsidRPr="002442EC">
        <w:rPr>
          <w:rFonts w:ascii="Palatino Linotype" w:eastAsia="Palatino Linotype" w:hAnsi="Palatino Linotype" w:cs="Palatino Linotype"/>
          <w:sz w:val="21"/>
          <w:szCs w:val="21"/>
        </w:rPr>
        <w:t xml:space="preserve">el nivel o cargo que ostente el </w:t>
      </w:r>
      <w:r w:rsidRPr="002442EC">
        <w:rPr>
          <w:rFonts w:ascii="Palatino Linotype" w:eastAsia="Palatino Linotype" w:hAnsi="Palatino Linotype" w:cs="Palatino Linotype"/>
          <w:sz w:val="21"/>
          <w:szCs w:val="21"/>
        </w:rPr>
        <w:t>servidor público. Sin embargo, desde la óptica de quien suscribe por cuanto hace a la fotografía, constituye la reproducción fiel de las características físicas de una persona en un momento determinado, además, de que representa un instrumento de identificación, proyección exterior y factor imprescindible para su propio reconocimiento como sujeto individual; por tanto, es un dato personal confidencial que debe protegerse en los documentos que lo contengan, según lo dispuesto por los artículos 3, fracción IX, 143, fracción I de la Ley de Transparencia y Acceso a la Información Pública del Estado de México y Municipios, en relación con el 4, fracción XI de La Ley de Protección de Datos Personales en Posesión de Sujetos Obligados del Estado de México y Municipios.</w:t>
      </w:r>
    </w:p>
    <w:p w14:paraId="6A461006" w14:textId="77777777" w:rsidR="00600D3F" w:rsidRPr="002442EC" w:rsidRDefault="00665336">
      <w:pPr>
        <w:spacing w:before="240" w:after="24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Ahora bien, en materia de administración pública los servidores públicos desempeñan funciones que por su naturaleza pueden ser de mayor interés público, esto es, aquellas que tienen un impacto directo en la vida de las personas y en el funcionamiento de la sociedad o de las instituciones públicas; ejemplo de ello </w:t>
      </w:r>
      <w:r w:rsidRPr="002442EC">
        <w:rPr>
          <w:rFonts w:ascii="Palatino Linotype" w:eastAsia="Palatino Linotype" w:hAnsi="Palatino Linotype" w:cs="Palatino Linotype"/>
          <w:sz w:val="21"/>
          <w:szCs w:val="21"/>
        </w:rPr>
        <w:lastRenderedPageBreak/>
        <w:t>pueden ser las funciones que implican una posición de poder que deba estar sujeta al escrutinio y rendición de cuentas ante la sociedad, la administración de recursos públicos, la implementación de políticas públicas, la prestación de servicios públicos, entre otras.</w:t>
      </w:r>
    </w:p>
    <w:p w14:paraId="1CE1A932" w14:textId="77777777" w:rsidR="00600D3F" w:rsidRPr="002442EC" w:rsidRDefault="00665336">
      <w:pPr>
        <w:spacing w:before="240" w:after="240" w:line="360" w:lineRule="auto"/>
        <w:ind w:left="-426" w:right="140"/>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Por lo que, dado el interés público que revisten las funciones de las y los servidores públicos que dan atención al público, así como de aquellos que cuenten con la calidad de mando medio o superior, la suscrita comparte que se debe dejar visible su fotografía, pues hacer pública la imagen de éstos puede contribuir a la transparencia y la rendición de cuentas, al permitir a la ciudadanía identifique a los funcionarios que toman decisiones importantes en su nombre.</w:t>
      </w:r>
    </w:p>
    <w:p w14:paraId="1824B60A" w14:textId="77777777" w:rsidR="00600D3F" w:rsidRPr="002442EC" w:rsidRDefault="00665336">
      <w:pPr>
        <w:tabs>
          <w:tab w:val="left" w:pos="4962"/>
        </w:tabs>
        <w:spacing w:before="240" w:after="240" w:line="360" w:lineRule="auto"/>
        <w:ind w:left="-426"/>
        <w:jc w:val="both"/>
        <w:rPr>
          <w:rFonts w:ascii="Palatino Linotype" w:eastAsia="Palatino Linotype" w:hAnsi="Palatino Linotype" w:cs="Palatino Linotype"/>
          <w:sz w:val="21"/>
          <w:szCs w:val="21"/>
        </w:rPr>
      </w:pPr>
      <w:bookmarkStart w:id="5" w:name="_heading=h.xezr0okd57tn" w:colFirst="0" w:colLast="0"/>
      <w:bookmarkEnd w:id="5"/>
      <w:r w:rsidRPr="002442EC">
        <w:rPr>
          <w:rFonts w:ascii="Palatino Linotype" w:eastAsia="Palatino Linotype" w:hAnsi="Palatino Linotype" w:cs="Palatino Linotype"/>
          <w:sz w:val="21"/>
          <w:szCs w:val="21"/>
        </w:rPr>
        <w:t xml:space="preserve">Es así que, si bien se estipuló que </w:t>
      </w:r>
      <w:r w:rsidRPr="002442EC">
        <w:rPr>
          <w:rFonts w:ascii="Palatino Linotype" w:eastAsia="Palatino Linotype" w:hAnsi="Palatino Linotype" w:cs="Palatino Linotype"/>
          <w:b/>
          <w:sz w:val="21"/>
          <w:szCs w:val="21"/>
          <w:u w:val="single"/>
        </w:rPr>
        <w:t>las fotografías de servidores públicos, sin importar el nivel o rango, guardan la naturaleza de públicas y</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por lo tanto, no procede su clasificación,</w:t>
      </w:r>
      <w:r w:rsidRPr="002442EC">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sz w:val="21"/>
          <w:szCs w:val="21"/>
        </w:rPr>
        <w:t>también lo es que, no comparto dicho argumento, ya que desde mi punto de vista, la fotografía de aquellos servidores públicos que no ostentan un cargo de mando medio o superior, o no brindan atención al público, debe conservarse como información confidencial, pues se considera importante equilibrar el interés público con el derecho a la privacidad de las y los servidores públicos y ponderar si realmente es necesario y proporcional hacer pública su imagen, pues, en algunos casos, el interés público de dar a conocer la imagen de un servidor público puede justificar la limitación de su derecho a la privacidad, pero esto debe evaluarse cuidadosamente en cada caso y no ser la regla general.</w:t>
      </w:r>
    </w:p>
    <w:p w14:paraId="53684D10"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Dado que el acceso a los documentos que contengan el dato materia de análisis, aun clasificándose, sí daría cuenta de lo que en realidad se pretende transparentar, cómo es, por ejemplo, los conocimientos y habilidades adquiridas, que se refleja en la toma de decisiones para el óptimo desempeño de las funciones para las cuales fueron designados, la idoneidad para ocupar un cargo, entre otros aspectos, pues el hecho de clasificar la fotografía no le resta validez a los documentos para los fines señalados.</w:t>
      </w:r>
    </w:p>
    <w:p w14:paraId="636137D3"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p>
    <w:p w14:paraId="23A791C4"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lastRenderedPageBreak/>
        <w:t>Asimismo, es importante señalar que los objetivos de la transparencia se alcanzan al momento de permitir el acceso a los documentos ordenados, no siendo indispensable o determinante dar a conocer la fotografía para dar cuenta de la idoneidad de las personas servidoras públicas para ocupar sus puestos o para acreditar que cumplieron con determinados requisitos, lo que da cuenta de ello es el propio documento.</w:t>
      </w:r>
    </w:p>
    <w:p w14:paraId="6E8FC632"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bookmarkStart w:id="6" w:name="_heading=h.3dy6vkm" w:colFirst="0" w:colLast="0"/>
      <w:bookmarkEnd w:id="6"/>
    </w:p>
    <w:p w14:paraId="1CB35CA2" w14:textId="4633BC1B" w:rsidR="00600D3F" w:rsidRDefault="00665336">
      <w:pPr>
        <w:spacing w:after="0" w:line="360" w:lineRule="auto"/>
        <w:ind w:left="-426"/>
        <w:jc w:val="both"/>
        <w:rPr>
          <w:rFonts w:ascii="Palatino Linotype" w:eastAsia="Palatino Linotype" w:hAnsi="Palatino Linotype" w:cs="Palatino Linotype"/>
          <w:sz w:val="21"/>
          <w:szCs w:val="21"/>
        </w:rPr>
      </w:pPr>
      <w:bookmarkStart w:id="7" w:name="_heading=h.3znysh7" w:colFirst="0" w:colLast="0"/>
      <w:bookmarkEnd w:id="7"/>
      <w:r w:rsidRPr="002442EC">
        <w:rPr>
          <w:rFonts w:ascii="Palatino Linotype" w:eastAsia="Palatino Linotype" w:hAnsi="Palatino Linotype" w:cs="Palatino Linotype"/>
          <w:sz w:val="21"/>
          <w:szCs w:val="21"/>
        </w:rPr>
        <w:t xml:space="preserve">Es por las razones antes expuestas que no comparto este punto del estudio de la resolución dictada, y, por ende se emite el presente </w:t>
      </w:r>
      <w:r w:rsidRPr="002442EC">
        <w:rPr>
          <w:rFonts w:ascii="Palatino Linotype" w:eastAsia="Palatino Linotype" w:hAnsi="Palatino Linotype" w:cs="Palatino Linotype"/>
          <w:b/>
          <w:sz w:val="21"/>
          <w:szCs w:val="21"/>
        </w:rPr>
        <w:t xml:space="preserve">Voto Particular pues considero que </w:t>
      </w:r>
      <w:r w:rsidRPr="002442EC">
        <w:rPr>
          <w:rFonts w:ascii="Palatino Linotype" w:eastAsia="Palatino Linotype" w:hAnsi="Palatino Linotype" w:cs="Palatino Linotype"/>
          <w:b/>
          <w:sz w:val="21"/>
          <w:szCs w:val="21"/>
          <w:u w:val="single"/>
        </w:rPr>
        <w:t>no se debe dejar visible la fotografía de las y los servidores públicos que NO cuenten con la calidad de mando medio y/o superior,</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o no presten atención al público</w:t>
      </w:r>
      <w:r w:rsidRPr="002442EC">
        <w:rPr>
          <w:rFonts w:ascii="Palatino Linotype" w:eastAsia="Palatino Linotype" w:hAnsi="Palatino Linotype" w:cs="Palatino Linotype"/>
          <w:sz w:val="21"/>
          <w:szCs w:val="21"/>
        </w:rPr>
        <w:t>,  pues se estima que se actualiza la causal de clasificación establecida en el artículo 143, fracción I, de la Ley de la Ley de Transparencia y Acceso a la Información Pública del Estado de México y Municipios.</w:t>
      </w:r>
    </w:p>
    <w:p w14:paraId="49C421C3" w14:textId="04501A66" w:rsidR="00573D4D" w:rsidRDefault="00573D4D">
      <w:pPr>
        <w:spacing w:after="0" w:line="360" w:lineRule="auto"/>
        <w:ind w:left="-426"/>
        <w:jc w:val="both"/>
        <w:rPr>
          <w:rFonts w:ascii="Palatino Linotype" w:eastAsia="Palatino Linotype" w:hAnsi="Palatino Linotype" w:cs="Palatino Linotype"/>
          <w:sz w:val="21"/>
          <w:szCs w:val="21"/>
        </w:rPr>
      </w:pPr>
    </w:p>
    <w:p w14:paraId="10116564" w14:textId="066B78DC" w:rsidR="00573D4D" w:rsidRDefault="00573D4D">
      <w:pPr>
        <w:spacing w:after="0" w:line="360" w:lineRule="auto"/>
        <w:ind w:left="-426"/>
        <w:jc w:val="both"/>
        <w:rPr>
          <w:rFonts w:ascii="Palatino Linotype" w:eastAsia="Palatino Linotype" w:hAnsi="Palatino Linotype" w:cs="Palatino Linotype"/>
          <w:sz w:val="21"/>
          <w:szCs w:val="21"/>
        </w:rPr>
      </w:pPr>
    </w:p>
    <w:p w14:paraId="640846FE" w14:textId="2C986B85" w:rsidR="00573D4D" w:rsidRDefault="00573D4D">
      <w:pPr>
        <w:spacing w:after="0" w:line="360" w:lineRule="auto"/>
        <w:ind w:left="-426"/>
        <w:jc w:val="both"/>
        <w:rPr>
          <w:rFonts w:ascii="Palatino Linotype" w:eastAsia="Palatino Linotype" w:hAnsi="Palatino Linotype" w:cs="Palatino Linotype"/>
          <w:sz w:val="21"/>
          <w:szCs w:val="21"/>
        </w:rPr>
      </w:pPr>
    </w:p>
    <w:p w14:paraId="6E61A0B6" w14:textId="325F4654" w:rsidR="00573D4D" w:rsidRDefault="00573D4D">
      <w:pPr>
        <w:spacing w:after="0" w:line="360" w:lineRule="auto"/>
        <w:ind w:left="-426"/>
        <w:jc w:val="both"/>
        <w:rPr>
          <w:rFonts w:ascii="Palatino Linotype" w:eastAsia="Palatino Linotype" w:hAnsi="Palatino Linotype" w:cs="Palatino Linotype"/>
          <w:sz w:val="21"/>
          <w:szCs w:val="21"/>
        </w:rPr>
      </w:pPr>
    </w:p>
    <w:p w14:paraId="0C19C0B0" w14:textId="5301CDF1" w:rsidR="00573D4D" w:rsidRDefault="00573D4D">
      <w:pPr>
        <w:spacing w:after="0" w:line="360" w:lineRule="auto"/>
        <w:ind w:left="-426"/>
        <w:jc w:val="both"/>
        <w:rPr>
          <w:rFonts w:ascii="Palatino Linotype" w:eastAsia="Palatino Linotype" w:hAnsi="Palatino Linotype" w:cs="Palatino Linotype"/>
          <w:sz w:val="21"/>
          <w:szCs w:val="21"/>
        </w:rPr>
      </w:pPr>
    </w:p>
    <w:p w14:paraId="074684A0" w14:textId="77777777" w:rsidR="00573D4D" w:rsidRPr="002442EC" w:rsidRDefault="00573D4D">
      <w:pPr>
        <w:spacing w:after="0" w:line="360" w:lineRule="auto"/>
        <w:ind w:left="-426"/>
        <w:jc w:val="both"/>
        <w:rPr>
          <w:rFonts w:ascii="Palatino Linotype" w:eastAsia="Palatino Linotype" w:hAnsi="Palatino Linotype" w:cs="Palatino Linotype"/>
          <w:sz w:val="21"/>
          <w:szCs w:val="21"/>
        </w:rPr>
      </w:pPr>
    </w:p>
    <w:sectPr w:rsidR="00573D4D" w:rsidRPr="002442EC">
      <w:headerReference w:type="default" r:id="rId8"/>
      <w:footerReference w:type="default" r:id="rId9"/>
      <w:pgSz w:w="12240" w:h="15840"/>
      <w:pgMar w:top="1871" w:right="900" w:bottom="2836" w:left="1985" w:header="709" w:footer="58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3D54" w14:textId="77777777" w:rsidR="002A3F0C" w:rsidRDefault="002A3F0C">
      <w:pPr>
        <w:spacing w:after="0" w:line="240" w:lineRule="auto"/>
      </w:pPr>
      <w:r>
        <w:separator/>
      </w:r>
    </w:p>
  </w:endnote>
  <w:endnote w:type="continuationSeparator" w:id="0">
    <w:p w14:paraId="250C5A9A" w14:textId="77777777" w:rsidR="002A3F0C" w:rsidRDefault="002A3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2904"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2D696C">
      <w:rPr>
        <w:rFonts w:ascii="Arial" w:eastAsia="Arial" w:hAnsi="Arial" w:cs="Arial"/>
        <w:b/>
        <w:noProof/>
        <w:color w:val="000000"/>
        <w:sz w:val="20"/>
        <w:szCs w:val="20"/>
      </w:rPr>
      <w:t>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2D696C">
      <w:rPr>
        <w:rFonts w:ascii="Arial" w:eastAsia="Arial" w:hAnsi="Arial" w:cs="Arial"/>
        <w:b/>
        <w:noProof/>
        <w:color w:val="000000"/>
        <w:sz w:val="20"/>
        <w:szCs w:val="20"/>
      </w:rPr>
      <w:t>7</w:t>
    </w:r>
    <w:r>
      <w:rPr>
        <w:rFonts w:ascii="Arial" w:eastAsia="Arial" w:hAnsi="Arial" w:cs="Arial"/>
        <w:b/>
        <w:color w:val="000000"/>
        <w:sz w:val="20"/>
        <w:szCs w:val="20"/>
      </w:rPr>
      <w:fldChar w:fldCharType="end"/>
    </w:r>
  </w:p>
  <w:p w14:paraId="016D2A37" w14:textId="77777777" w:rsidR="00600D3F" w:rsidRDefault="00600D3F">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892B4" w14:textId="77777777" w:rsidR="002A3F0C" w:rsidRDefault="002A3F0C">
      <w:pPr>
        <w:spacing w:after="0" w:line="240" w:lineRule="auto"/>
      </w:pPr>
      <w:r>
        <w:separator/>
      </w:r>
    </w:p>
  </w:footnote>
  <w:footnote w:type="continuationSeparator" w:id="0">
    <w:p w14:paraId="357AA474" w14:textId="77777777" w:rsidR="002A3F0C" w:rsidRDefault="002A3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26A1"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noProof/>
        <w:lang w:val="es-MX"/>
      </w:rPr>
      <w:drawing>
        <wp:anchor distT="0" distB="0" distL="0" distR="0" simplePos="0" relativeHeight="251658240" behindDoc="1" locked="0" layoutInCell="1" hidden="0" allowOverlap="1" wp14:anchorId="27C6EBD4" wp14:editId="1551F936">
          <wp:simplePos x="0" y="0"/>
          <wp:positionH relativeFrom="column">
            <wp:posOffset>-1171561</wp:posOffset>
          </wp:positionH>
          <wp:positionV relativeFrom="paragraph">
            <wp:posOffset>-486393</wp:posOffset>
          </wp:positionV>
          <wp:extent cx="7510628" cy="9883775"/>
          <wp:effectExtent l="0" t="0" r="0" b="0"/>
          <wp:wrapNone/>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10628" cy="9883775"/>
                  </a:xfrm>
                  <a:prstGeom prst="rect">
                    <a:avLst/>
                  </a:prstGeom>
                  <a:ln/>
                </pic:spPr>
              </pic:pic>
            </a:graphicData>
          </a:graphic>
        </wp:anchor>
      </w:drawing>
    </w:r>
  </w:p>
  <w:p w14:paraId="34ACD0F2"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VOTO PARTICULAR </w:t>
    </w:r>
  </w:p>
  <w:p w14:paraId="64D8A150" w14:textId="0A45A7DE" w:rsidR="00600D3F" w:rsidRDefault="00665336" w:rsidP="00360E1A">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Recurso de Revisión: </w:t>
    </w:r>
    <w:r w:rsidR="00C0676C">
      <w:rPr>
        <w:rFonts w:ascii="Palatino Linotype" w:eastAsia="Palatino Linotype" w:hAnsi="Palatino Linotype" w:cs="Palatino Linotype"/>
        <w:b/>
        <w:color w:val="000000"/>
        <w:sz w:val="20"/>
        <w:szCs w:val="20"/>
      </w:rPr>
      <w:t>0</w:t>
    </w:r>
    <w:r w:rsidR="0008467E">
      <w:rPr>
        <w:rFonts w:ascii="Palatino Linotype" w:eastAsia="Palatino Linotype" w:hAnsi="Palatino Linotype" w:cs="Palatino Linotype"/>
        <w:b/>
        <w:color w:val="000000"/>
        <w:sz w:val="20"/>
        <w:szCs w:val="20"/>
      </w:rPr>
      <w:t>2946</w:t>
    </w:r>
    <w:r w:rsidR="00360E1A" w:rsidRPr="00360E1A">
      <w:rPr>
        <w:rFonts w:ascii="Palatino Linotype" w:eastAsia="Palatino Linotype" w:hAnsi="Palatino Linotype" w:cs="Palatino Linotype"/>
        <w:b/>
        <w:color w:val="000000"/>
        <w:sz w:val="20"/>
        <w:szCs w:val="20"/>
      </w:rPr>
      <w:t>/INFOEM/IP/RR/202</w:t>
    </w:r>
    <w:r w:rsidR="00C0676C">
      <w:rPr>
        <w:rFonts w:ascii="Palatino Linotype" w:eastAsia="Palatino Linotype" w:hAnsi="Palatino Linotype" w:cs="Palatino Linotype"/>
        <w:b/>
        <w:color w:val="000000"/>
        <w:sz w:val="20"/>
        <w:szCs w:val="20"/>
      </w:rPr>
      <w:t>6</w:t>
    </w:r>
    <w:r w:rsidR="00360E1A" w:rsidRPr="00360E1A">
      <w:rPr>
        <w:rFonts w:ascii="Palatino Linotype" w:eastAsia="Palatino Linotype" w:hAnsi="Palatino Linotype" w:cs="Palatino Linotype"/>
        <w:b/>
        <w:color w:val="000000"/>
        <w:sz w:val="20"/>
        <w:szCs w:val="20"/>
      </w:rPr>
      <w:t xml:space="preserve"> </w:t>
    </w:r>
  </w:p>
  <w:p w14:paraId="60DC4EFC" w14:textId="704203C6" w:rsidR="00461C93" w:rsidRDefault="00665336" w:rsidP="0008467E">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Sujeto Obligado</w:t>
    </w:r>
    <w:r w:rsidR="00EF6764">
      <w:rPr>
        <w:rFonts w:ascii="Palatino Linotype" w:eastAsia="Palatino Linotype" w:hAnsi="Palatino Linotype" w:cs="Palatino Linotype"/>
        <w:b/>
        <w:color w:val="000000"/>
        <w:sz w:val="20"/>
        <w:szCs w:val="20"/>
      </w:rPr>
      <w:t xml:space="preserve">: </w:t>
    </w:r>
    <w:r w:rsidR="0008467E" w:rsidRPr="0008467E">
      <w:rPr>
        <w:rFonts w:ascii="Palatino Linotype" w:eastAsia="Palatino Linotype" w:hAnsi="Palatino Linotype" w:cs="Palatino Linotype"/>
        <w:b/>
        <w:color w:val="000000"/>
        <w:sz w:val="20"/>
        <w:szCs w:val="20"/>
      </w:rPr>
      <w:t>Sistema Municipal Para el</w:t>
    </w:r>
    <w:r w:rsidR="0008467E">
      <w:rPr>
        <w:rFonts w:ascii="Palatino Linotype" w:eastAsia="Palatino Linotype" w:hAnsi="Palatino Linotype" w:cs="Palatino Linotype"/>
        <w:b/>
        <w:color w:val="000000"/>
        <w:sz w:val="20"/>
        <w:szCs w:val="20"/>
      </w:rPr>
      <w:t xml:space="preserve"> </w:t>
    </w:r>
    <w:r w:rsidR="0008467E" w:rsidRPr="0008467E">
      <w:rPr>
        <w:rFonts w:ascii="Palatino Linotype" w:eastAsia="Palatino Linotype" w:hAnsi="Palatino Linotype" w:cs="Palatino Linotype"/>
        <w:b/>
        <w:color w:val="000000"/>
        <w:sz w:val="20"/>
        <w:szCs w:val="20"/>
      </w:rPr>
      <w:t>Desarrollo Integral de la</w:t>
    </w:r>
    <w:r w:rsidR="0008467E">
      <w:rPr>
        <w:rFonts w:ascii="Palatino Linotype" w:eastAsia="Palatino Linotype" w:hAnsi="Palatino Linotype" w:cs="Palatino Linotype"/>
        <w:b/>
        <w:color w:val="000000"/>
        <w:sz w:val="20"/>
        <w:szCs w:val="20"/>
      </w:rPr>
      <w:t xml:space="preserve"> </w:t>
    </w:r>
    <w:r w:rsidR="0008467E" w:rsidRPr="0008467E">
      <w:rPr>
        <w:rFonts w:ascii="Palatino Linotype" w:eastAsia="Palatino Linotype" w:hAnsi="Palatino Linotype" w:cs="Palatino Linotype"/>
        <w:b/>
        <w:color w:val="000000"/>
        <w:sz w:val="20"/>
        <w:szCs w:val="20"/>
      </w:rPr>
      <w:t>Familia de la Paz</w:t>
    </w:r>
  </w:p>
  <w:p w14:paraId="6292CC8F" w14:textId="7343AFB3" w:rsidR="00600D3F" w:rsidRPr="0064517B" w:rsidRDefault="008E0E9F" w:rsidP="00461C93">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Comisionad</w:t>
    </w:r>
    <w:r w:rsidR="0042520D">
      <w:rPr>
        <w:rFonts w:ascii="Palatino Linotype" w:eastAsia="Palatino Linotype" w:hAnsi="Palatino Linotype" w:cs="Palatino Linotype"/>
        <w:b/>
        <w:color w:val="000000"/>
        <w:sz w:val="20"/>
        <w:szCs w:val="20"/>
      </w:rPr>
      <w:t>a</w:t>
    </w:r>
    <w:r w:rsidR="00C45CEC">
      <w:rPr>
        <w:rFonts w:ascii="Palatino Linotype" w:eastAsia="Palatino Linotype" w:hAnsi="Palatino Linotype" w:cs="Palatino Linotype"/>
        <w:b/>
        <w:color w:val="000000"/>
        <w:sz w:val="20"/>
        <w:szCs w:val="20"/>
      </w:rPr>
      <w:t xml:space="preserve"> </w:t>
    </w:r>
    <w:r w:rsidR="00665336">
      <w:rPr>
        <w:rFonts w:ascii="Palatino Linotype" w:eastAsia="Palatino Linotype" w:hAnsi="Palatino Linotype" w:cs="Palatino Linotype"/>
        <w:b/>
        <w:color w:val="000000"/>
        <w:sz w:val="20"/>
        <w:szCs w:val="20"/>
      </w:rPr>
      <w:t xml:space="preserve">Ponente: </w:t>
    </w:r>
    <w:r w:rsidR="00750563" w:rsidRPr="00750563">
      <w:rPr>
        <w:rFonts w:ascii="Palatino Linotype" w:eastAsia="Palatino Linotype" w:hAnsi="Palatino Linotype" w:cs="Palatino Linotype"/>
        <w:b/>
        <w:color w:val="000000"/>
        <w:sz w:val="20"/>
        <w:szCs w:val="20"/>
      </w:rPr>
      <w:t>Guadalupe Ramírez Peña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7545"/>
    <w:multiLevelType w:val="multilevel"/>
    <w:tmpl w:val="6AD29824"/>
    <w:lvl w:ilvl="0">
      <w:start w:val="1"/>
      <w:numFmt w:val="decimal"/>
      <w:lvlText w:val="%1."/>
      <w:lvlJc w:val="left"/>
      <w:pPr>
        <w:ind w:left="4320" w:hanging="360"/>
      </w:pPr>
      <w:rPr>
        <w:rFonts w:ascii="Arial" w:eastAsia="Arial" w:hAnsi="Arial" w:cs="Arial"/>
        <w:b/>
        <w:i w:val="0"/>
      </w:rPr>
    </w:lvl>
    <w:lvl w:ilvl="1">
      <w:start w:val="1"/>
      <w:numFmt w:val="lowerLetter"/>
      <w:lvlText w:val="%2."/>
      <w:lvlJc w:val="left"/>
      <w:pPr>
        <w:ind w:left="3415" w:hanging="360"/>
      </w:pPr>
    </w:lvl>
    <w:lvl w:ilvl="2">
      <w:start w:val="1"/>
      <w:numFmt w:val="upperRoman"/>
      <w:lvlText w:val="%3."/>
      <w:lvlJc w:val="left"/>
      <w:pPr>
        <w:ind w:left="4675" w:hanging="720"/>
      </w:pPr>
    </w:lvl>
    <w:lvl w:ilvl="3">
      <w:start w:val="1"/>
      <w:numFmt w:val="lowerLetter"/>
      <w:lvlText w:val="%4)"/>
      <w:lvlJc w:val="left"/>
      <w:pPr>
        <w:ind w:left="4870" w:hanging="375"/>
      </w:pPr>
      <w:rPr>
        <w:color w:val="000000"/>
        <w:sz w:val="24"/>
        <w:szCs w:val="24"/>
      </w:rPr>
    </w:lvl>
    <w:lvl w:ilvl="4">
      <w:start w:val="1"/>
      <w:numFmt w:val="lowerLetter"/>
      <w:lvlText w:val="%5."/>
      <w:lvlJc w:val="left"/>
      <w:pPr>
        <w:ind w:left="5575" w:hanging="360"/>
      </w:pPr>
    </w:lvl>
    <w:lvl w:ilvl="5">
      <w:start w:val="1"/>
      <w:numFmt w:val="lowerRoman"/>
      <w:lvlText w:val="%6."/>
      <w:lvlJc w:val="right"/>
      <w:pPr>
        <w:ind w:left="6295" w:hanging="180"/>
      </w:pPr>
    </w:lvl>
    <w:lvl w:ilvl="6">
      <w:start w:val="1"/>
      <w:numFmt w:val="decimal"/>
      <w:lvlText w:val="%7."/>
      <w:lvlJc w:val="left"/>
      <w:pPr>
        <w:ind w:left="7015" w:hanging="360"/>
      </w:pPr>
    </w:lvl>
    <w:lvl w:ilvl="7">
      <w:start w:val="1"/>
      <w:numFmt w:val="lowerLetter"/>
      <w:lvlText w:val="%8."/>
      <w:lvlJc w:val="left"/>
      <w:pPr>
        <w:ind w:left="7735" w:hanging="360"/>
      </w:pPr>
    </w:lvl>
    <w:lvl w:ilvl="8">
      <w:start w:val="1"/>
      <w:numFmt w:val="lowerRoman"/>
      <w:lvlText w:val="%9."/>
      <w:lvlJc w:val="right"/>
      <w:pPr>
        <w:ind w:left="8455" w:hanging="180"/>
      </w:pPr>
    </w:lvl>
  </w:abstractNum>
  <w:abstractNum w:abstractNumId="1" w15:restartNumberingAfterBreak="0">
    <w:nsid w:val="0DE53378"/>
    <w:multiLevelType w:val="hybridMultilevel"/>
    <w:tmpl w:val="8E582B04"/>
    <w:lvl w:ilvl="0" w:tplc="47D4F6E0">
      <w:start w:val="5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302FC9"/>
    <w:multiLevelType w:val="multilevel"/>
    <w:tmpl w:val="F7D2DB98"/>
    <w:lvl w:ilvl="0">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0839D1"/>
    <w:multiLevelType w:val="hybridMultilevel"/>
    <w:tmpl w:val="17DCB42A"/>
    <w:lvl w:ilvl="0" w:tplc="F0A0BF90">
      <w:start w:val="1"/>
      <w:numFmt w:val="decimal"/>
      <w:lvlText w:val="%1."/>
      <w:lvlJc w:val="left"/>
      <w:pPr>
        <w:ind w:left="360" w:hanging="360"/>
      </w:pPr>
      <w:rPr>
        <w:rFonts w:ascii="Palatino Linotype" w:hAnsi="Palatino Linotype" w:hint="default"/>
        <w:b/>
        <w:i w:val="0"/>
        <w:color w:val="000000" w:themeColor="text1"/>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E884BCD"/>
    <w:multiLevelType w:val="multilevel"/>
    <w:tmpl w:val="74BAA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3425A3"/>
    <w:multiLevelType w:val="hybridMultilevel"/>
    <w:tmpl w:val="4FCE256C"/>
    <w:lvl w:ilvl="0" w:tplc="080A000F">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4717144">
    <w:abstractNumId w:val="0"/>
  </w:num>
  <w:num w:numId="2" w16cid:durableId="1068915979">
    <w:abstractNumId w:val="4"/>
  </w:num>
  <w:num w:numId="3" w16cid:durableId="1999918383">
    <w:abstractNumId w:val="5"/>
  </w:num>
  <w:num w:numId="4" w16cid:durableId="113406615">
    <w:abstractNumId w:val="3"/>
  </w:num>
  <w:num w:numId="5" w16cid:durableId="1980726965">
    <w:abstractNumId w:val="1"/>
  </w:num>
  <w:num w:numId="6" w16cid:durableId="292755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3F"/>
    <w:rsid w:val="00004B82"/>
    <w:rsid w:val="000204AD"/>
    <w:rsid w:val="0005789E"/>
    <w:rsid w:val="00062D3D"/>
    <w:rsid w:val="0008467E"/>
    <w:rsid w:val="00086534"/>
    <w:rsid w:val="0008684A"/>
    <w:rsid w:val="000877DD"/>
    <w:rsid w:val="000D703B"/>
    <w:rsid w:val="000E088A"/>
    <w:rsid w:val="000E3520"/>
    <w:rsid w:val="000E4299"/>
    <w:rsid w:val="000F0D40"/>
    <w:rsid w:val="000F351F"/>
    <w:rsid w:val="001037B0"/>
    <w:rsid w:val="00123091"/>
    <w:rsid w:val="00125609"/>
    <w:rsid w:val="001304DC"/>
    <w:rsid w:val="00141BE8"/>
    <w:rsid w:val="00142A4A"/>
    <w:rsid w:val="00143B3C"/>
    <w:rsid w:val="00160BDC"/>
    <w:rsid w:val="0017592B"/>
    <w:rsid w:val="001815C9"/>
    <w:rsid w:val="00183615"/>
    <w:rsid w:val="00197125"/>
    <w:rsid w:val="001A2D89"/>
    <w:rsid w:val="001C3256"/>
    <w:rsid w:val="001D3812"/>
    <w:rsid w:val="001F10F4"/>
    <w:rsid w:val="001F2B8E"/>
    <w:rsid w:val="002004D0"/>
    <w:rsid w:val="00205C30"/>
    <w:rsid w:val="0021486C"/>
    <w:rsid w:val="002204AA"/>
    <w:rsid w:val="002215B8"/>
    <w:rsid w:val="0023386F"/>
    <w:rsid w:val="00237671"/>
    <w:rsid w:val="002442EC"/>
    <w:rsid w:val="002479E0"/>
    <w:rsid w:val="00252B6F"/>
    <w:rsid w:val="00254865"/>
    <w:rsid w:val="0029182D"/>
    <w:rsid w:val="002970DB"/>
    <w:rsid w:val="002A3F0C"/>
    <w:rsid w:val="002B37B6"/>
    <w:rsid w:val="002D0821"/>
    <w:rsid w:val="002D64A9"/>
    <w:rsid w:val="002D696C"/>
    <w:rsid w:val="003004AF"/>
    <w:rsid w:val="00314402"/>
    <w:rsid w:val="00317D18"/>
    <w:rsid w:val="003359C2"/>
    <w:rsid w:val="00340785"/>
    <w:rsid w:val="0034121D"/>
    <w:rsid w:val="00360E1A"/>
    <w:rsid w:val="00392D7D"/>
    <w:rsid w:val="00396C94"/>
    <w:rsid w:val="003A0714"/>
    <w:rsid w:val="003C0E80"/>
    <w:rsid w:val="003C335B"/>
    <w:rsid w:val="003E1151"/>
    <w:rsid w:val="003E44BB"/>
    <w:rsid w:val="003E5648"/>
    <w:rsid w:val="003E6624"/>
    <w:rsid w:val="00400895"/>
    <w:rsid w:val="00411552"/>
    <w:rsid w:val="0042520D"/>
    <w:rsid w:val="004275C2"/>
    <w:rsid w:val="00441C8E"/>
    <w:rsid w:val="00450E2E"/>
    <w:rsid w:val="00452E82"/>
    <w:rsid w:val="00461C93"/>
    <w:rsid w:val="00463D04"/>
    <w:rsid w:val="00467A3F"/>
    <w:rsid w:val="0048078A"/>
    <w:rsid w:val="004A06D8"/>
    <w:rsid w:val="004A1F04"/>
    <w:rsid w:val="004C7371"/>
    <w:rsid w:val="004D2499"/>
    <w:rsid w:val="00506523"/>
    <w:rsid w:val="00530821"/>
    <w:rsid w:val="0054185C"/>
    <w:rsid w:val="00573D4D"/>
    <w:rsid w:val="00587DEB"/>
    <w:rsid w:val="005A214E"/>
    <w:rsid w:val="005C3BBB"/>
    <w:rsid w:val="005C473E"/>
    <w:rsid w:val="005E36E4"/>
    <w:rsid w:val="006008C7"/>
    <w:rsid w:val="00600D3F"/>
    <w:rsid w:val="006054D7"/>
    <w:rsid w:val="00606E1F"/>
    <w:rsid w:val="0062509A"/>
    <w:rsid w:val="00633BD1"/>
    <w:rsid w:val="0064517B"/>
    <w:rsid w:val="0065775F"/>
    <w:rsid w:val="00662817"/>
    <w:rsid w:val="00663B01"/>
    <w:rsid w:val="00665336"/>
    <w:rsid w:val="006728D3"/>
    <w:rsid w:val="00684266"/>
    <w:rsid w:val="0068709A"/>
    <w:rsid w:val="0068714B"/>
    <w:rsid w:val="0068739B"/>
    <w:rsid w:val="006969AD"/>
    <w:rsid w:val="006A5447"/>
    <w:rsid w:val="006D7D22"/>
    <w:rsid w:val="006E14F8"/>
    <w:rsid w:val="006E2106"/>
    <w:rsid w:val="006E4E44"/>
    <w:rsid w:val="006F0B9E"/>
    <w:rsid w:val="00700C84"/>
    <w:rsid w:val="00713DC4"/>
    <w:rsid w:val="007176C3"/>
    <w:rsid w:val="00721FAC"/>
    <w:rsid w:val="007268FD"/>
    <w:rsid w:val="00731335"/>
    <w:rsid w:val="00731A57"/>
    <w:rsid w:val="007411DA"/>
    <w:rsid w:val="00750563"/>
    <w:rsid w:val="00765CC6"/>
    <w:rsid w:val="007742A0"/>
    <w:rsid w:val="00781020"/>
    <w:rsid w:val="00781921"/>
    <w:rsid w:val="007A715B"/>
    <w:rsid w:val="007E1258"/>
    <w:rsid w:val="007E3AFA"/>
    <w:rsid w:val="007F0024"/>
    <w:rsid w:val="00811B87"/>
    <w:rsid w:val="00814236"/>
    <w:rsid w:val="008149CB"/>
    <w:rsid w:val="008254AE"/>
    <w:rsid w:val="00825B93"/>
    <w:rsid w:val="00832C0D"/>
    <w:rsid w:val="00840654"/>
    <w:rsid w:val="0085108A"/>
    <w:rsid w:val="008662E6"/>
    <w:rsid w:val="00871A7F"/>
    <w:rsid w:val="008924F5"/>
    <w:rsid w:val="00897EB3"/>
    <w:rsid w:val="008A363B"/>
    <w:rsid w:val="008B31CB"/>
    <w:rsid w:val="008D604F"/>
    <w:rsid w:val="008E0785"/>
    <w:rsid w:val="008E0E9F"/>
    <w:rsid w:val="008E6E7E"/>
    <w:rsid w:val="008F05D5"/>
    <w:rsid w:val="008F174D"/>
    <w:rsid w:val="00900AAA"/>
    <w:rsid w:val="00931190"/>
    <w:rsid w:val="00951462"/>
    <w:rsid w:val="00953187"/>
    <w:rsid w:val="00953DB2"/>
    <w:rsid w:val="00965FA8"/>
    <w:rsid w:val="00970D37"/>
    <w:rsid w:val="0097400A"/>
    <w:rsid w:val="00983B10"/>
    <w:rsid w:val="00983C34"/>
    <w:rsid w:val="009904E0"/>
    <w:rsid w:val="0099694A"/>
    <w:rsid w:val="009A19CF"/>
    <w:rsid w:val="009B4CA4"/>
    <w:rsid w:val="009B6988"/>
    <w:rsid w:val="009C0484"/>
    <w:rsid w:val="009D7D9F"/>
    <w:rsid w:val="009E5CDF"/>
    <w:rsid w:val="00A0222C"/>
    <w:rsid w:val="00A04BA9"/>
    <w:rsid w:val="00A13DA7"/>
    <w:rsid w:val="00A263DC"/>
    <w:rsid w:val="00A742CF"/>
    <w:rsid w:val="00A9489B"/>
    <w:rsid w:val="00A9670F"/>
    <w:rsid w:val="00AA1BF7"/>
    <w:rsid w:val="00AA346F"/>
    <w:rsid w:val="00AB1A8B"/>
    <w:rsid w:val="00AB3765"/>
    <w:rsid w:val="00AC063B"/>
    <w:rsid w:val="00AC5671"/>
    <w:rsid w:val="00AD1E27"/>
    <w:rsid w:val="00AF37CA"/>
    <w:rsid w:val="00B01BD7"/>
    <w:rsid w:val="00B40D33"/>
    <w:rsid w:val="00B43A4F"/>
    <w:rsid w:val="00B561FD"/>
    <w:rsid w:val="00B6035E"/>
    <w:rsid w:val="00B62930"/>
    <w:rsid w:val="00B64D2D"/>
    <w:rsid w:val="00B772CC"/>
    <w:rsid w:val="00B82343"/>
    <w:rsid w:val="00B93E55"/>
    <w:rsid w:val="00BE4A4A"/>
    <w:rsid w:val="00BE7A8A"/>
    <w:rsid w:val="00C0676C"/>
    <w:rsid w:val="00C3216C"/>
    <w:rsid w:val="00C3570C"/>
    <w:rsid w:val="00C45CEC"/>
    <w:rsid w:val="00C67506"/>
    <w:rsid w:val="00C7015F"/>
    <w:rsid w:val="00C803C8"/>
    <w:rsid w:val="00C80809"/>
    <w:rsid w:val="00C84D18"/>
    <w:rsid w:val="00CB03C6"/>
    <w:rsid w:val="00CD653F"/>
    <w:rsid w:val="00CE369D"/>
    <w:rsid w:val="00CE6067"/>
    <w:rsid w:val="00CF441C"/>
    <w:rsid w:val="00D143DA"/>
    <w:rsid w:val="00D17AEA"/>
    <w:rsid w:val="00D233DB"/>
    <w:rsid w:val="00D446E0"/>
    <w:rsid w:val="00D543BC"/>
    <w:rsid w:val="00D62596"/>
    <w:rsid w:val="00D70230"/>
    <w:rsid w:val="00D863AD"/>
    <w:rsid w:val="00D94667"/>
    <w:rsid w:val="00DB4B8F"/>
    <w:rsid w:val="00DB4DB9"/>
    <w:rsid w:val="00DD0181"/>
    <w:rsid w:val="00DD4F63"/>
    <w:rsid w:val="00DE6C95"/>
    <w:rsid w:val="00DF361D"/>
    <w:rsid w:val="00E00C36"/>
    <w:rsid w:val="00E07BDA"/>
    <w:rsid w:val="00E07F74"/>
    <w:rsid w:val="00E32416"/>
    <w:rsid w:val="00E43913"/>
    <w:rsid w:val="00E45A14"/>
    <w:rsid w:val="00E5644A"/>
    <w:rsid w:val="00E61887"/>
    <w:rsid w:val="00E63A41"/>
    <w:rsid w:val="00E63BD9"/>
    <w:rsid w:val="00E723CF"/>
    <w:rsid w:val="00E77C6D"/>
    <w:rsid w:val="00E92689"/>
    <w:rsid w:val="00E94165"/>
    <w:rsid w:val="00EA47D4"/>
    <w:rsid w:val="00EB01F4"/>
    <w:rsid w:val="00EB1C34"/>
    <w:rsid w:val="00EC1923"/>
    <w:rsid w:val="00EC1F6A"/>
    <w:rsid w:val="00EC2472"/>
    <w:rsid w:val="00EC31C9"/>
    <w:rsid w:val="00ED6F49"/>
    <w:rsid w:val="00EF0598"/>
    <w:rsid w:val="00EF5B31"/>
    <w:rsid w:val="00EF6764"/>
    <w:rsid w:val="00F22CE5"/>
    <w:rsid w:val="00F31FC6"/>
    <w:rsid w:val="00F360E8"/>
    <w:rsid w:val="00F54DBA"/>
    <w:rsid w:val="00F72F47"/>
    <w:rsid w:val="00F779A3"/>
    <w:rsid w:val="00F77F71"/>
    <w:rsid w:val="00F842D5"/>
    <w:rsid w:val="00FC6330"/>
    <w:rsid w:val="00FC672E"/>
    <w:rsid w:val="00FC71F0"/>
    <w:rsid w:val="00FD4228"/>
    <w:rsid w:val="00FD581B"/>
    <w:rsid w:val="00FE38D5"/>
    <w:rsid w:val="00FF04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6E79B"/>
  <w15:docId w15:val="{2E8875DA-D0D1-4E2F-93BE-08C27706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200F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0F8D"/>
  </w:style>
  <w:style w:type="paragraph" w:styleId="Piedepgina">
    <w:name w:val="footer"/>
    <w:basedOn w:val="Normal"/>
    <w:link w:val="PiedepginaCar"/>
    <w:uiPriority w:val="99"/>
    <w:unhideWhenUsed/>
    <w:rsid w:val="00200F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0F8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200F8D"/>
    <w:pPr>
      <w:spacing w:after="0" w:line="240" w:lineRule="auto"/>
      <w:ind w:left="708"/>
    </w:pPr>
    <w:rPr>
      <w:rFonts w:ascii="Times New Roman" w:eastAsia="Times New Roman" w:hAnsi="Times New Roman" w:cs="Times New Roman"/>
      <w:sz w:val="24"/>
      <w:szCs w:val="24"/>
      <w:lang w:val="es-MX"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00F8D"/>
    <w:rPr>
      <w:rFonts w:ascii="Times New Roman" w:eastAsia="Times New Roman" w:hAnsi="Times New Roman" w:cs="Times New Roman"/>
      <w:sz w:val="24"/>
      <w:szCs w:val="24"/>
      <w:lang w:val="es-MX" w:eastAsia="es-ES"/>
    </w:rPr>
  </w:style>
  <w:style w:type="character" w:styleId="Hipervnculo">
    <w:name w:val="Hyperlink"/>
    <w:basedOn w:val="Fuentedeprrafopredeter"/>
    <w:uiPriority w:val="99"/>
    <w:unhideWhenUsed/>
    <w:rsid w:val="00DC6217"/>
    <w:rPr>
      <w:rFonts w:cs="Times New Roman"/>
      <w:color w:val="0000FF" w:themeColor="hyperlink"/>
      <w:u w:val="single"/>
    </w:rPr>
  </w:style>
  <w:style w:type="paragraph" w:styleId="NormalWeb">
    <w:name w:val="Normal (Web)"/>
    <w:basedOn w:val="Normal"/>
    <w:uiPriority w:val="99"/>
    <w:unhideWhenUsed/>
    <w:rsid w:val="002D696C"/>
    <w:pPr>
      <w:spacing w:before="100" w:beforeAutospacing="1" w:after="100" w:afterAutospacing="1" w:line="240" w:lineRule="auto"/>
    </w:pPr>
    <w:rPr>
      <w:rFonts w:ascii="Times New Roman" w:eastAsia="Times New Roman" w:hAnsi="Times New Roman" w:cs="Times New Roman"/>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565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aDEjUatGLfWNKaQnGr9qO8Zw==">CgMxLjAyCGguZ2pkZ3hzMghoLnR5amN3dDIJaC4zMGowemxsMgloLjFmb2I5dGUyCWguMXQzaDVzZjIOaC5zZXpuazB2M2t3ZHAyDmgueGV6cjBva2Q1N3RuMgloLjNkeTZ2a20yCWguM3pueXNoNzIJaC4yZXQ5MnAwOAByITFfc1ZBVTk3di04Z3hoc01aT3hWamRxVFpqV1FsWnljNg==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1618</Words>
  <Characters>8903</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Infoem Soporte</cp:lastModifiedBy>
  <cp:revision>6</cp:revision>
  <cp:lastPrinted>2025-06-16T16:25:00Z</cp:lastPrinted>
  <dcterms:created xsi:type="dcterms:W3CDTF">2026-09-18T15:38:00Z</dcterms:created>
  <dcterms:modified xsi:type="dcterms:W3CDTF">2026-09-18T16:13:00Z</dcterms:modified>
</cp:coreProperties>
</file>