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E79C8" w14:textId="77777777" w:rsidR="000248A9" w:rsidRPr="000248A9" w:rsidRDefault="000248A9" w:rsidP="00800EBE">
      <w:pPr>
        <w:spacing w:before="240" w:line="360" w:lineRule="auto"/>
        <w:contextualSpacing/>
        <w:jc w:val="both"/>
        <w:rPr>
          <w:rFonts w:ascii="Palatino Linotype" w:hAnsi="Palatino Linotype" w:cs="Tahoma"/>
          <w:b/>
        </w:rPr>
      </w:pPr>
      <w:r w:rsidRPr="000248A9">
        <w:rPr>
          <w:rFonts w:ascii="Palatino Linotype" w:hAnsi="Palatino Linotype" w:cs="Tahoma"/>
          <w:b/>
        </w:rPr>
        <w:t xml:space="preserve">OPINIÓN PARTICULAR QUE FORMULA EL COMISIONADO LUIS GUSTAVO PARRA NORIEGA, A LA RESOLUCIÓN DEL RECURSO DE REVISIÓN </w:t>
      </w:r>
      <w:r w:rsidR="005F1564">
        <w:rPr>
          <w:rFonts w:ascii="Palatino Linotype" w:hAnsi="Palatino Linotype" w:cs="Tahoma"/>
          <w:b/>
        </w:rPr>
        <w:t>05939</w:t>
      </w:r>
      <w:r w:rsidRPr="000248A9">
        <w:rPr>
          <w:rFonts w:ascii="Palatino Linotype" w:hAnsi="Palatino Linotype" w:cs="Tahoma"/>
          <w:b/>
        </w:rPr>
        <w:t>/INFOEM/</w:t>
      </w:r>
      <w:r w:rsidR="005F1564">
        <w:rPr>
          <w:rFonts w:ascii="Palatino Linotype" w:hAnsi="Palatino Linotype" w:cs="Tahoma"/>
          <w:b/>
        </w:rPr>
        <w:t>AD</w:t>
      </w:r>
      <w:r w:rsidRPr="000248A9">
        <w:rPr>
          <w:rFonts w:ascii="Palatino Linotype" w:hAnsi="Palatino Linotype" w:cs="Tahoma"/>
          <w:b/>
        </w:rPr>
        <w:t>/RR/20</w:t>
      </w:r>
      <w:r w:rsidR="00490073">
        <w:rPr>
          <w:rFonts w:ascii="Palatino Linotype" w:hAnsi="Palatino Linotype" w:cs="Tahoma"/>
          <w:b/>
        </w:rPr>
        <w:t>21</w:t>
      </w:r>
      <w:r w:rsidRPr="000248A9">
        <w:rPr>
          <w:rFonts w:ascii="Palatino Linotype" w:hAnsi="Palatino Linotype" w:cs="Tahoma"/>
          <w:b/>
        </w:rPr>
        <w:t>, PROMOVIDO EN CONTRA DE</w:t>
      </w:r>
      <w:r w:rsidR="005F1564">
        <w:rPr>
          <w:rFonts w:ascii="Palatino Linotype" w:hAnsi="Palatino Linotype" w:cs="Tahoma"/>
          <w:b/>
        </w:rPr>
        <w:t xml:space="preserve"> </w:t>
      </w:r>
      <w:r w:rsidRPr="000248A9">
        <w:rPr>
          <w:rFonts w:ascii="Palatino Linotype" w:hAnsi="Palatino Linotype" w:cs="Tahoma"/>
          <w:b/>
        </w:rPr>
        <w:t>L</w:t>
      </w:r>
      <w:r w:rsidR="005F1564">
        <w:rPr>
          <w:rFonts w:ascii="Palatino Linotype" w:hAnsi="Palatino Linotype" w:cs="Tahoma"/>
          <w:b/>
        </w:rPr>
        <w:t>A</w:t>
      </w:r>
      <w:r w:rsidRPr="000248A9">
        <w:rPr>
          <w:rFonts w:ascii="Palatino Linotype" w:hAnsi="Palatino Linotype" w:cs="Tahoma"/>
          <w:b/>
        </w:rPr>
        <w:t xml:space="preserve"> </w:t>
      </w:r>
      <w:r w:rsidR="005F1564" w:rsidRPr="005F1564">
        <w:rPr>
          <w:rFonts w:ascii="Palatino Linotype" w:hAnsi="Palatino Linotype" w:cs="Tahoma"/>
          <w:b/>
        </w:rPr>
        <w:t>SECRETARÍA DE EDUCACIÓN</w:t>
      </w:r>
      <w:r w:rsidR="009C7FF3">
        <w:rPr>
          <w:rFonts w:ascii="Palatino Linotype" w:hAnsi="Palatino Linotype" w:cs="Tahoma"/>
          <w:b/>
        </w:rPr>
        <w:t>.</w:t>
      </w:r>
    </w:p>
    <w:p w14:paraId="2052D895" w14:textId="77777777" w:rsidR="000248A9" w:rsidRDefault="000248A9" w:rsidP="00800EBE">
      <w:pPr>
        <w:spacing w:before="240" w:line="360" w:lineRule="auto"/>
        <w:contextualSpacing/>
        <w:jc w:val="both"/>
        <w:rPr>
          <w:rFonts w:ascii="Tahoma" w:hAnsi="Tahoma" w:cs="Tahoma"/>
          <w:b/>
          <w:sz w:val="24"/>
          <w:szCs w:val="24"/>
        </w:rPr>
      </w:pPr>
    </w:p>
    <w:p w14:paraId="254B8753" w14:textId="77777777" w:rsidR="003053C0" w:rsidRPr="000248A9" w:rsidRDefault="009C7FF3" w:rsidP="00800EBE">
      <w:pPr>
        <w:spacing w:before="240" w:line="360" w:lineRule="auto"/>
        <w:contextualSpacing/>
        <w:jc w:val="both"/>
        <w:rPr>
          <w:rFonts w:ascii="Palatino Linotype" w:hAnsi="Palatino Linotype" w:cs="Tahoma"/>
        </w:rPr>
      </w:pPr>
      <w:r w:rsidRPr="009C7FF3">
        <w:rPr>
          <w:rFonts w:ascii="Palatino Linotype" w:hAnsi="Palatino Linotype" w:cs="Tahoma"/>
        </w:rPr>
        <w:t>En términos de lo dispuesto por el artículo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45, 48, fracción I, de los Lineamientos para el funcionamiento del Pleno y las Comisiones del Instituto de Transparencia, Acceso a la Información Pública y Protección de Datos Personales del Estado de México y Municipios</w:t>
      </w:r>
      <w:r w:rsidR="000248A9" w:rsidRPr="000248A9">
        <w:rPr>
          <w:rFonts w:ascii="Palatino Linotype" w:hAnsi="Palatino Linotype" w:cs="Tahoma"/>
        </w:rPr>
        <w:t xml:space="preserve">, emito la presente </w:t>
      </w:r>
      <w:r w:rsidR="000248A9" w:rsidRPr="000248A9">
        <w:rPr>
          <w:rFonts w:ascii="Palatino Linotype" w:hAnsi="Palatino Linotype" w:cs="Tahoma"/>
          <w:b/>
        </w:rPr>
        <w:t>Opinión Particular</w:t>
      </w:r>
      <w:r w:rsidR="000248A9" w:rsidRPr="000248A9">
        <w:rPr>
          <w:rFonts w:ascii="Palatino Linotype" w:hAnsi="Palatino Linotype" w:cs="Tahoma"/>
        </w:rPr>
        <w:t xml:space="preserve"> p</w:t>
      </w:r>
      <w:r w:rsidR="0065115D">
        <w:rPr>
          <w:rFonts w:ascii="Palatino Linotype" w:hAnsi="Palatino Linotype" w:cs="Tahoma"/>
        </w:rPr>
        <w:t xml:space="preserve">ara abordar los motivos por los cuales voté a favor de la </w:t>
      </w:r>
      <w:r w:rsidR="000248A9" w:rsidRPr="000248A9">
        <w:rPr>
          <w:rFonts w:ascii="Palatino Linotype" w:hAnsi="Palatino Linotype" w:cs="Tahoma"/>
        </w:rPr>
        <w:t xml:space="preserve">Resolución del Recurso de Revisión </w:t>
      </w:r>
      <w:r w:rsidR="005F1564">
        <w:rPr>
          <w:rFonts w:ascii="Palatino Linotype" w:hAnsi="Palatino Linotype" w:cs="Tahoma"/>
          <w:b/>
        </w:rPr>
        <w:t>005939</w:t>
      </w:r>
      <w:r w:rsidR="00227540" w:rsidRPr="00227540">
        <w:rPr>
          <w:rFonts w:ascii="Palatino Linotype" w:hAnsi="Palatino Linotype" w:cs="Tahoma"/>
          <w:b/>
        </w:rPr>
        <w:t>/INFOEM/IP/RR/20</w:t>
      </w:r>
      <w:r w:rsidR="00490073">
        <w:rPr>
          <w:rFonts w:ascii="Palatino Linotype" w:hAnsi="Palatino Linotype" w:cs="Tahoma"/>
          <w:b/>
        </w:rPr>
        <w:t>21</w:t>
      </w:r>
      <w:r w:rsidR="000248A9" w:rsidRPr="000248A9">
        <w:rPr>
          <w:rFonts w:ascii="Palatino Linotype" w:hAnsi="Palatino Linotype" w:cs="Tahoma"/>
        </w:rPr>
        <w:t>.</w:t>
      </w:r>
    </w:p>
    <w:p w14:paraId="5D9341A9" w14:textId="77777777" w:rsidR="000248A9" w:rsidRPr="004A74EE" w:rsidRDefault="000248A9" w:rsidP="00800EBE">
      <w:pPr>
        <w:spacing w:before="240" w:line="360" w:lineRule="auto"/>
        <w:contextualSpacing/>
        <w:jc w:val="both"/>
        <w:rPr>
          <w:rFonts w:ascii="Tahoma" w:hAnsi="Tahoma" w:cs="Tahoma"/>
          <w:sz w:val="24"/>
          <w:szCs w:val="24"/>
        </w:rPr>
      </w:pPr>
    </w:p>
    <w:p w14:paraId="754AC74F" w14:textId="58E6645F" w:rsidR="008B5925" w:rsidRDefault="00884096" w:rsidP="00800EBE">
      <w:pPr>
        <w:spacing w:before="240" w:line="360" w:lineRule="auto"/>
        <w:contextualSpacing/>
        <w:jc w:val="both"/>
        <w:rPr>
          <w:rFonts w:ascii="Palatino Linotype" w:hAnsi="Palatino Linotype" w:cs="Tahoma"/>
        </w:rPr>
      </w:pPr>
      <w:r w:rsidRPr="00227540">
        <w:rPr>
          <w:rFonts w:ascii="Palatino Linotype" w:hAnsi="Palatino Linotype" w:cs="Tahoma"/>
        </w:rPr>
        <w:t>E</w:t>
      </w:r>
      <w:r w:rsidR="00015770" w:rsidRPr="00227540">
        <w:rPr>
          <w:rFonts w:ascii="Palatino Linotype" w:hAnsi="Palatino Linotype" w:cs="Tahoma"/>
        </w:rPr>
        <w:t>l R</w:t>
      </w:r>
      <w:r w:rsidR="003053C0" w:rsidRPr="00227540">
        <w:rPr>
          <w:rFonts w:ascii="Palatino Linotype" w:hAnsi="Palatino Linotype" w:cs="Tahoma"/>
        </w:rPr>
        <w:t>ecurso</w:t>
      </w:r>
      <w:r w:rsidR="00015770" w:rsidRPr="00227540">
        <w:rPr>
          <w:rFonts w:ascii="Palatino Linotype" w:hAnsi="Palatino Linotype" w:cs="Tahoma"/>
        </w:rPr>
        <w:t xml:space="preserve"> de Revisión que nos ocupa,</w:t>
      </w:r>
      <w:r w:rsidR="003053C0" w:rsidRPr="00227540">
        <w:rPr>
          <w:rFonts w:ascii="Palatino Linotype" w:hAnsi="Palatino Linotype" w:cs="Tahoma"/>
        </w:rPr>
        <w:t xml:space="preserve"> derivó de una so</w:t>
      </w:r>
      <w:r w:rsidR="000B0712">
        <w:rPr>
          <w:rFonts w:ascii="Palatino Linotype" w:hAnsi="Palatino Linotype" w:cs="Tahoma"/>
        </w:rPr>
        <w:t xml:space="preserve">licitud en la que </w:t>
      </w:r>
      <w:r w:rsidR="005F1564">
        <w:rPr>
          <w:rFonts w:ascii="Palatino Linotype" w:hAnsi="Palatino Linotype" w:cs="Tahoma"/>
        </w:rPr>
        <w:t xml:space="preserve">un </w:t>
      </w:r>
      <w:r w:rsidR="000B0712" w:rsidRPr="00227540">
        <w:rPr>
          <w:rFonts w:ascii="Palatino Linotype" w:hAnsi="Palatino Linotype" w:cs="Tahoma"/>
        </w:rPr>
        <w:t xml:space="preserve">Particular </w:t>
      </w:r>
      <w:r w:rsidR="003053C0" w:rsidRPr="00227540">
        <w:rPr>
          <w:rFonts w:ascii="Palatino Linotype" w:hAnsi="Palatino Linotype" w:cs="Tahoma"/>
        </w:rPr>
        <w:t>requirió a</w:t>
      </w:r>
      <w:r w:rsidR="005F1564">
        <w:rPr>
          <w:rFonts w:ascii="Palatino Linotype" w:hAnsi="Palatino Linotype" w:cs="Tahoma"/>
        </w:rPr>
        <w:t xml:space="preserve"> </w:t>
      </w:r>
      <w:r w:rsidR="003053C0" w:rsidRPr="00227540">
        <w:rPr>
          <w:rFonts w:ascii="Palatino Linotype" w:hAnsi="Palatino Linotype" w:cs="Tahoma"/>
        </w:rPr>
        <w:t>l</w:t>
      </w:r>
      <w:r w:rsidR="005F1564">
        <w:rPr>
          <w:rFonts w:ascii="Palatino Linotype" w:hAnsi="Palatino Linotype" w:cs="Tahoma"/>
        </w:rPr>
        <w:t>a Secretaría de Educación información relacionada con su menor hija</w:t>
      </w:r>
      <w:r w:rsidR="00E06D70">
        <w:rPr>
          <w:rFonts w:ascii="Palatino Linotype" w:hAnsi="Palatino Linotype" w:cs="Tahoma"/>
        </w:rPr>
        <w:t xml:space="preserve">; esto es, solicitó ser informado si su hija menor de edad </w:t>
      </w:r>
      <w:r w:rsidR="005F1564" w:rsidRPr="005F1564">
        <w:rPr>
          <w:rFonts w:ascii="Palatino Linotype" w:hAnsi="Palatino Linotype" w:cs="Tahoma"/>
        </w:rPr>
        <w:t>se encuentra inscrita</w:t>
      </w:r>
      <w:r w:rsidR="00E06D70">
        <w:rPr>
          <w:rFonts w:ascii="Palatino Linotype" w:hAnsi="Palatino Linotype" w:cs="Tahoma"/>
        </w:rPr>
        <w:t xml:space="preserve"> en una escuela determinada</w:t>
      </w:r>
      <w:r w:rsidR="005F1564" w:rsidRPr="005F1564">
        <w:rPr>
          <w:rFonts w:ascii="Palatino Linotype" w:hAnsi="Palatino Linotype" w:cs="Tahoma"/>
        </w:rPr>
        <w:t>, así como sus historiales académicos</w:t>
      </w:r>
      <w:r w:rsidR="00E06D70">
        <w:rPr>
          <w:rFonts w:ascii="Palatino Linotype" w:hAnsi="Palatino Linotype" w:cs="Tahoma"/>
        </w:rPr>
        <w:t xml:space="preserve">. En </w:t>
      </w:r>
      <w:r w:rsidR="00EC45A0" w:rsidRPr="005F1564">
        <w:rPr>
          <w:rFonts w:ascii="Palatino Linotype" w:hAnsi="Palatino Linotype" w:cs="Tahoma"/>
        </w:rPr>
        <w:t>respuesta</w:t>
      </w:r>
      <w:r w:rsidR="00E06D70">
        <w:rPr>
          <w:rFonts w:ascii="Palatino Linotype" w:hAnsi="Palatino Linotype" w:cs="Tahoma"/>
        </w:rPr>
        <w:t>,</w:t>
      </w:r>
      <w:r w:rsidR="00EC45A0" w:rsidRPr="005F1564">
        <w:rPr>
          <w:rFonts w:ascii="Palatino Linotype" w:hAnsi="Palatino Linotype" w:cs="Tahoma"/>
        </w:rPr>
        <w:t xml:space="preserve"> </w:t>
      </w:r>
      <w:r w:rsidR="00E06D70">
        <w:rPr>
          <w:rFonts w:ascii="Palatino Linotype" w:hAnsi="Palatino Linotype" w:cs="Tahoma"/>
        </w:rPr>
        <w:t>la dependencia a través del SARCOEM</w:t>
      </w:r>
      <w:r w:rsidR="00490073" w:rsidRPr="005F1564">
        <w:rPr>
          <w:rFonts w:ascii="Palatino Linotype" w:hAnsi="Palatino Linotype"/>
        </w:rPr>
        <w:t xml:space="preserve"> señaló que </w:t>
      </w:r>
      <w:r w:rsidR="005F1564" w:rsidRPr="005F1564">
        <w:rPr>
          <w:rFonts w:ascii="Palatino Linotype" w:hAnsi="Palatino Linotype"/>
        </w:rPr>
        <w:t>en el periodo escolar actual y anterior, no se tiene registro de que esté inscrita</w:t>
      </w:r>
      <w:r w:rsidR="00EC45A0" w:rsidRPr="005F1564">
        <w:rPr>
          <w:rFonts w:ascii="Palatino Linotype" w:hAnsi="Palatino Linotype" w:cs="Tahoma"/>
        </w:rPr>
        <w:t xml:space="preserve">, </w:t>
      </w:r>
      <w:r w:rsidR="005F1564">
        <w:rPr>
          <w:rFonts w:ascii="Palatino Linotype" w:hAnsi="Palatino Linotype" w:cs="Tahoma"/>
        </w:rPr>
        <w:t xml:space="preserve">posteriormente </w:t>
      </w:r>
      <w:r w:rsidR="00490073" w:rsidRPr="005F1564">
        <w:rPr>
          <w:rFonts w:ascii="Palatino Linotype" w:hAnsi="Palatino Linotype" w:cs="Tahoma"/>
        </w:rPr>
        <w:t xml:space="preserve">el Particular se inconformó </w:t>
      </w:r>
      <w:r w:rsidR="005F1564">
        <w:rPr>
          <w:rFonts w:ascii="Palatino Linotype" w:hAnsi="Palatino Linotype" w:cs="Tahoma"/>
        </w:rPr>
        <w:t>al no poder ver la respuesta</w:t>
      </w:r>
      <w:r w:rsidR="00490073" w:rsidRPr="005F1564">
        <w:rPr>
          <w:rFonts w:ascii="Palatino Linotype" w:hAnsi="Palatino Linotype" w:cs="Tahoma"/>
        </w:rPr>
        <w:t xml:space="preserve">, </w:t>
      </w:r>
      <w:r w:rsidR="00E06D70">
        <w:rPr>
          <w:rFonts w:ascii="Palatino Linotype" w:hAnsi="Palatino Linotype" w:cs="Tahoma"/>
        </w:rPr>
        <w:t>por lo que,</w:t>
      </w:r>
      <w:r w:rsidR="005F1564">
        <w:rPr>
          <w:rFonts w:ascii="Palatino Linotype" w:hAnsi="Palatino Linotype" w:cs="Tahoma"/>
        </w:rPr>
        <w:t xml:space="preserve"> vía informe justificado el Sujeto Obligado manifestó haber ampliado el periodo de búsqueda de la información y localizó un historial académico de la menor en el ciclo escolar 2017-2018</w:t>
      </w:r>
      <w:r w:rsidR="00E06D70">
        <w:rPr>
          <w:rFonts w:ascii="Palatino Linotype" w:hAnsi="Palatino Linotype" w:cs="Tahoma"/>
        </w:rPr>
        <w:t xml:space="preserve"> y le indicó que </w:t>
      </w:r>
      <w:r w:rsidR="005F1564">
        <w:rPr>
          <w:rFonts w:ascii="Palatino Linotype" w:hAnsi="Palatino Linotype" w:cs="Tahoma"/>
        </w:rPr>
        <w:t xml:space="preserve">lo ponía a disposición del Particular previa acreditación de su identidad. </w:t>
      </w:r>
    </w:p>
    <w:p w14:paraId="50CD1683" w14:textId="77777777" w:rsidR="008B5925" w:rsidRDefault="008B5925" w:rsidP="00800EBE">
      <w:pPr>
        <w:spacing w:before="240" w:line="360" w:lineRule="auto"/>
        <w:contextualSpacing/>
        <w:jc w:val="both"/>
        <w:rPr>
          <w:rFonts w:ascii="Palatino Linotype" w:hAnsi="Palatino Linotype" w:cs="Tahoma"/>
        </w:rPr>
      </w:pPr>
    </w:p>
    <w:p w14:paraId="647FB70C" w14:textId="3C329CA1" w:rsidR="00532534" w:rsidRDefault="00AA7C80" w:rsidP="002C17F0">
      <w:pPr>
        <w:spacing w:line="360" w:lineRule="auto"/>
        <w:contextualSpacing/>
        <w:jc w:val="both"/>
        <w:rPr>
          <w:rFonts w:ascii="Palatino Linotype" w:hAnsi="Palatino Linotype"/>
        </w:rPr>
      </w:pPr>
      <w:r>
        <w:rPr>
          <w:rFonts w:ascii="Palatino Linotype" w:hAnsi="Palatino Linotype"/>
        </w:rPr>
        <w:lastRenderedPageBreak/>
        <w:t>Establecido lo anterior, es de señalar que se comparte lo plasmado en la Resolución del Recurso de Revisión citado al rubro</w:t>
      </w:r>
      <w:r w:rsidR="00532534">
        <w:rPr>
          <w:rFonts w:ascii="Palatino Linotype" w:hAnsi="Palatino Linotype"/>
        </w:rPr>
        <w:t xml:space="preserve"> por la Comisionada Ponente</w:t>
      </w:r>
      <w:r>
        <w:rPr>
          <w:rFonts w:ascii="Palatino Linotype" w:hAnsi="Palatino Linotype"/>
        </w:rPr>
        <w:t>, ya que el Particular</w:t>
      </w:r>
      <w:r w:rsidR="00532534">
        <w:rPr>
          <w:rFonts w:ascii="Palatino Linotype" w:hAnsi="Palatino Linotype"/>
        </w:rPr>
        <w:t xml:space="preserve"> para acceder a la información</w:t>
      </w:r>
      <w:r>
        <w:rPr>
          <w:rFonts w:ascii="Palatino Linotype" w:hAnsi="Palatino Linotype"/>
        </w:rPr>
        <w:t xml:space="preserve"> deberá acreditar que aún cuenta con la patria potestad de la menor de la cual solicita la información y que sus derechos no se encuentran suspendidos </w:t>
      </w:r>
      <w:r w:rsidR="0054764D">
        <w:rPr>
          <w:rFonts w:ascii="Palatino Linotype" w:hAnsi="Palatino Linotype"/>
        </w:rPr>
        <w:t xml:space="preserve">o cancelados </w:t>
      </w:r>
      <w:r>
        <w:rPr>
          <w:rFonts w:ascii="Palatino Linotype" w:hAnsi="Palatino Linotype"/>
        </w:rPr>
        <w:t>por alguna determinación judicial</w:t>
      </w:r>
      <w:r w:rsidR="00532534">
        <w:rPr>
          <w:rFonts w:ascii="Palatino Linotype" w:hAnsi="Palatino Linotype"/>
        </w:rPr>
        <w:t>, de tal suerte que acompaño el proyectos en sus términos, pues se aborda la necesidad de acreditar ante la autoridad el derecho de acceder a los datos personales de un menor.</w:t>
      </w:r>
    </w:p>
    <w:p w14:paraId="5C82989D" w14:textId="77777777" w:rsidR="00532534" w:rsidRDefault="00532534" w:rsidP="002C17F0">
      <w:pPr>
        <w:spacing w:line="360" w:lineRule="auto"/>
        <w:contextualSpacing/>
        <w:jc w:val="both"/>
        <w:rPr>
          <w:rFonts w:ascii="Palatino Linotype" w:hAnsi="Palatino Linotype"/>
        </w:rPr>
      </w:pPr>
    </w:p>
    <w:p w14:paraId="0D78B6BD" w14:textId="40A69C14" w:rsidR="0054764D" w:rsidRDefault="00532534" w:rsidP="002C17F0">
      <w:pPr>
        <w:spacing w:line="360" w:lineRule="auto"/>
        <w:contextualSpacing/>
        <w:jc w:val="both"/>
        <w:rPr>
          <w:rFonts w:ascii="Palatino Linotype" w:hAnsi="Palatino Linotype"/>
        </w:rPr>
      </w:pPr>
      <w:r>
        <w:rPr>
          <w:rFonts w:ascii="Palatino Linotype" w:hAnsi="Palatino Linotype"/>
        </w:rPr>
        <w:t>Ahora bien, el motivo de la presente Opinión Particular radica en destacar que</w:t>
      </w:r>
      <w:r w:rsidR="0060539E">
        <w:rPr>
          <w:rFonts w:ascii="Palatino Linotype" w:hAnsi="Palatino Linotype"/>
        </w:rPr>
        <w:t xml:space="preserve"> la Secretaría de Educación no debió realizar pronunciamiento </w:t>
      </w:r>
      <w:r>
        <w:rPr>
          <w:rFonts w:ascii="Palatino Linotype" w:hAnsi="Palatino Linotype"/>
        </w:rPr>
        <w:t xml:space="preserve">alguno </w:t>
      </w:r>
      <w:r w:rsidR="0060539E">
        <w:rPr>
          <w:rFonts w:ascii="Palatino Linotype" w:hAnsi="Palatino Linotype"/>
        </w:rPr>
        <w:t>sobre la información solicitada ni en sentido afirmativo ni en sentido negativo,</w:t>
      </w:r>
      <w:r w:rsidR="00B50EC3">
        <w:rPr>
          <w:rFonts w:ascii="Palatino Linotype" w:hAnsi="Palatino Linotype"/>
        </w:rPr>
        <w:t xml:space="preserve"> de manera directa por el SARCOEM, sin constatar previamente que quien solicita la información en efecto es padre, madre o tutor de la meno y tiene los derechos de la patria potestad; esto en virtud de que una solicitud de estas dimensiones pudiera llegar a poner</w:t>
      </w:r>
      <w:r w:rsidR="001167D5" w:rsidRPr="001167D5">
        <w:rPr>
          <w:rFonts w:ascii="Palatino Linotype" w:hAnsi="Palatino Linotype"/>
        </w:rPr>
        <w:t xml:space="preserve"> en riesg</w:t>
      </w:r>
      <w:r w:rsidR="0029674E">
        <w:rPr>
          <w:rFonts w:ascii="Palatino Linotype" w:hAnsi="Palatino Linotype"/>
        </w:rPr>
        <w:t>o la vida de los menores,</w:t>
      </w:r>
      <w:r w:rsidR="001167D5" w:rsidRPr="001167D5">
        <w:rPr>
          <w:rFonts w:ascii="Palatino Linotype" w:hAnsi="Palatino Linotype"/>
        </w:rPr>
        <w:t xml:space="preserve"> la madre</w:t>
      </w:r>
      <w:r w:rsidR="001167D5">
        <w:rPr>
          <w:rFonts w:ascii="Palatino Linotype" w:hAnsi="Palatino Linotype"/>
        </w:rPr>
        <w:t xml:space="preserve"> o de quien tenga la guarda y custodia</w:t>
      </w:r>
      <w:r w:rsidR="0060539E">
        <w:rPr>
          <w:rFonts w:ascii="Palatino Linotype" w:hAnsi="Palatino Linotype"/>
        </w:rPr>
        <w:t>.</w:t>
      </w:r>
    </w:p>
    <w:p w14:paraId="52BE748B" w14:textId="6F89EB0F" w:rsidR="00EA5518" w:rsidRDefault="00EA5518" w:rsidP="002C17F0">
      <w:pPr>
        <w:spacing w:line="360" w:lineRule="auto"/>
        <w:contextualSpacing/>
        <w:jc w:val="both"/>
        <w:rPr>
          <w:rFonts w:ascii="Palatino Linotype" w:hAnsi="Palatino Linotype"/>
        </w:rPr>
      </w:pPr>
    </w:p>
    <w:p w14:paraId="190B943D" w14:textId="374DD824" w:rsidR="00EA5518" w:rsidRDefault="00EA5518" w:rsidP="002C17F0">
      <w:pPr>
        <w:spacing w:line="360" w:lineRule="auto"/>
        <w:contextualSpacing/>
        <w:jc w:val="both"/>
        <w:rPr>
          <w:rFonts w:ascii="Palatino Linotype" w:hAnsi="Palatino Linotype"/>
        </w:rPr>
      </w:pPr>
      <w:r w:rsidRPr="00E60140">
        <w:rPr>
          <w:rFonts w:ascii="Palatino Linotype" w:hAnsi="Palatino Linotype"/>
        </w:rPr>
        <w:t>Si bien</w:t>
      </w:r>
      <w:r w:rsidR="00252219" w:rsidRPr="00E60140">
        <w:rPr>
          <w:rFonts w:ascii="Palatino Linotype" w:hAnsi="Palatino Linotype"/>
        </w:rPr>
        <w:t>,</w:t>
      </w:r>
      <w:r w:rsidRPr="00E60140">
        <w:rPr>
          <w:rFonts w:ascii="Palatino Linotype" w:hAnsi="Palatino Linotype"/>
        </w:rPr>
        <w:t xml:space="preserve"> como parte de la máxima protección que brindan los derechos humanos, el acceso a datos personales de menores pudiera ser utilizado por un padre</w:t>
      </w:r>
      <w:r w:rsidR="00252219" w:rsidRPr="00E60140">
        <w:rPr>
          <w:rFonts w:ascii="Palatino Linotype" w:hAnsi="Palatino Linotype"/>
        </w:rPr>
        <w:t xml:space="preserve"> o</w:t>
      </w:r>
      <w:r w:rsidRPr="00E60140">
        <w:rPr>
          <w:rFonts w:ascii="Palatino Linotype" w:hAnsi="Palatino Linotype"/>
        </w:rPr>
        <w:t xml:space="preserve"> madre que busca a su hijo o hija</w:t>
      </w:r>
      <w:r w:rsidR="00252219" w:rsidRPr="00E60140">
        <w:rPr>
          <w:rFonts w:ascii="Palatino Linotype" w:hAnsi="Palatino Linotype"/>
        </w:rPr>
        <w:t xml:space="preserve"> por haber sido sustraído del seno familiar sin el consentimiento del otro, como llega a suceder y que el resultado de la búsque</w:t>
      </w:r>
      <w:r w:rsidR="00E60140" w:rsidRPr="00E60140">
        <w:rPr>
          <w:rFonts w:ascii="Palatino Linotype" w:hAnsi="Palatino Linotype"/>
        </w:rPr>
        <w:t xml:space="preserve">da le permita </w:t>
      </w:r>
      <w:r w:rsidR="00E60140">
        <w:rPr>
          <w:rFonts w:ascii="Palatino Linotype" w:hAnsi="Palatino Linotype"/>
        </w:rPr>
        <w:t xml:space="preserve">tanta el padre o madre </w:t>
      </w:r>
      <w:r w:rsidR="00E60140" w:rsidRPr="00E60140">
        <w:rPr>
          <w:rFonts w:ascii="Palatino Linotype" w:hAnsi="Palatino Linotype"/>
        </w:rPr>
        <w:t>ser restituido en sus derechos igual que al menor</w:t>
      </w:r>
      <w:r w:rsidR="00E60140">
        <w:rPr>
          <w:rFonts w:ascii="Palatino Linotype" w:hAnsi="Palatino Linotype"/>
        </w:rPr>
        <w:t xml:space="preserve"> quien obtendría la convivencia negada</w:t>
      </w:r>
      <w:r w:rsidR="00E60140" w:rsidRPr="00E60140">
        <w:rPr>
          <w:rFonts w:ascii="Palatino Linotype" w:hAnsi="Palatino Linotype"/>
        </w:rPr>
        <w:t xml:space="preserve">; también lo es que, en sentido negativo una madre y sus hijos </w:t>
      </w:r>
      <w:r w:rsidR="00E60140">
        <w:rPr>
          <w:rFonts w:ascii="Palatino Linotype" w:hAnsi="Palatino Linotype"/>
        </w:rPr>
        <w:t xml:space="preserve">que </w:t>
      </w:r>
      <w:r w:rsidR="00E60140" w:rsidRPr="00E60140">
        <w:rPr>
          <w:rFonts w:ascii="Palatino Linotype" w:hAnsi="Palatino Linotype"/>
        </w:rPr>
        <w:t>hayan escapado de violencia intrafamiliar</w:t>
      </w:r>
      <w:r w:rsidR="00E60140">
        <w:rPr>
          <w:rFonts w:ascii="Palatino Linotype" w:hAnsi="Palatino Linotype"/>
        </w:rPr>
        <w:t>, puedan ser encontrados y consecuencia de ello, poner en riesgo su vida, salud o seguridad.</w:t>
      </w:r>
    </w:p>
    <w:p w14:paraId="4069A90E" w14:textId="30875EF8" w:rsidR="00E60140" w:rsidRDefault="00E60140" w:rsidP="002C17F0">
      <w:pPr>
        <w:spacing w:line="360" w:lineRule="auto"/>
        <w:contextualSpacing/>
        <w:jc w:val="both"/>
        <w:rPr>
          <w:rFonts w:ascii="Palatino Linotype" w:hAnsi="Palatino Linotype"/>
        </w:rPr>
      </w:pPr>
    </w:p>
    <w:p w14:paraId="0C9D5D68" w14:textId="2CA3800D" w:rsidR="0060539E" w:rsidRPr="00D0748C" w:rsidRDefault="00E60140" w:rsidP="0060539E">
      <w:pPr>
        <w:spacing w:line="360" w:lineRule="auto"/>
        <w:contextualSpacing/>
        <w:jc w:val="both"/>
        <w:rPr>
          <w:rFonts w:ascii="Palatino Linotype" w:hAnsi="Palatino Linotype"/>
        </w:rPr>
      </w:pPr>
      <w:r>
        <w:rPr>
          <w:rFonts w:ascii="Palatino Linotype" w:hAnsi="Palatino Linotype"/>
        </w:rPr>
        <w:lastRenderedPageBreak/>
        <w:t>En el primer supuesto, acudir ante la autoridad escolar le permitiría acreditar que se encuentra buscando a su hijo</w:t>
      </w:r>
      <w:r w:rsidR="00D0748C">
        <w:rPr>
          <w:rFonts w:ascii="Palatino Linotype" w:hAnsi="Palatino Linotype"/>
        </w:rPr>
        <w:t xml:space="preserve"> o</w:t>
      </w:r>
      <w:r>
        <w:rPr>
          <w:rFonts w:ascii="Palatino Linotype" w:hAnsi="Palatino Linotype"/>
        </w:rPr>
        <w:t xml:space="preserve"> hija</w:t>
      </w:r>
      <w:r w:rsidR="00D0748C">
        <w:rPr>
          <w:rFonts w:ascii="Palatino Linotype" w:hAnsi="Palatino Linotype"/>
        </w:rPr>
        <w:t xml:space="preserve"> y la escuela podría indicar si el menor está registrado en la escuela o no, ya que dicho actuar es en beneficio del menor y sus derechos; pero en el segundo caso, puede tratarse de un hecho en su perjuicio, basados en la premisa de que </w:t>
      </w:r>
      <w:r w:rsidR="0060539E">
        <w:rPr>
          <w:rFonts w:ascii="Palatino Linotype" w:hAnsi="Palatino Linotype"/>
        </w:rPr>
        <w:t>u</w:t>
      </w:r>
      <w:r w:rsidR="0060539E">
        <w:rPr>
          <w:rFonts w:ascii="Palatino Linotype" w:hAnsi="Palatino Linotype"/>
          <w:lang w:val="es-MX"/>
        </w:rPr>
        <w:t>n padre</w:t>
      </w:r>
      <w:r w:rsidR="0060539E" w:rsidRPr="0060539E">
        <w:rPr>
          <w:rFonts w:ascii="Palatino Linotype" w:hAnsi="Palatino Linotype"/>
          <w:lang w:val="es-MX"/>
        </w:rPr>
        <w:t xml:space="preserve"> responsable sabe dónde </w:t>
      </w:r>
      <w:r w:rsidR="0060539E">
        <w:rPr>
          <w:rFonts w:ascii="Palatino Linotype" w:hAnsi="Palatino Linotype"/>
          <w:lang w:val="es-MX"/>
        </w:rPr>
        <w:t>estudia</w:t>
      </w:r>
      <w:r w:rsidR="001167D5">
        <w:rPr>
          <w:rFonts w:ascii="Palatino Linotype" w:hAnsi="Palatino Linotype"/>
          <w:lang w:val="es-MX"/>
        </w:rPr>
        <w:t>n sus hijos</w:t>
      </w:r>
      <w:r w:rsidR="0060539E">
        <w:rPr>
          <w:rFonts w:ascii="Palatino Linotype" w:hAnsi="Palatino Linotype"/>
          <w:lang w:val="es-MX"/>
        </w:rPr>
        <w:t xml:space="preserve"> y </w:t>
      </w:r>
      <w:r w:rsidR="0060539E" w:rsidRPr="0060539E">
        <w:rPr>
          <w:rFonts w:ascii="Palatino Linotype" w:hAnsi="Palatino Linotype"/>
          <w:lang w:val="es-MX"/>
        </w:rPr>
        <w:t xml:space="preserve">no </w:t>
      </w:r>
      <w:r w:rsidR="0060539E">
        <w:rPr>
          <w:rFonts w:ascii="Palatino Linotype" w:hAnsi="Palatino Linotype"/>
          <w:lang w:val="es-MX"/>
        </w:rPr>
        <w:t>tendría por qué preguntar la escuela a la que asiste</w:t>
      </w:r>
      <w:r w:rsidR="001167D5">
        <w:rPr>
          <w:rFonts w:ascii="Palatino Linotype" w:hAnsi="Palatino Linotype"/>
          <w:lang w:val="es-MX"/>
        </w:rPr>
        <w:t>n</w:t>
      </w:r>
      <w:r w:rsidR="0060539E">
        <w:rPr>
          <w:rFonts w:ascii="Palatino Linotype" w:hAnsi="Palatino Linotype"/>
          <w:lang w:val="es-MX"/>
        </w:rPr>
        <w:t>.</w:t>
      </w:r>
    </w:p>
    <w:p w14:paraId="0C151974" w14:textId="77777777" w:rsidR="0060539E" w:rsidRDefault="0060539E" w:rsidP="002C17F0">
      <w:pPr>
        <w:spacing w:line="360" w:lineRule="auto"/>
        <w:contextualSpacing/>
        <w:jc w:val="both"/>
        <w:rPr>
          <w:rFonts w:ascii="Palatino Linotype" w:hAnsi="Palatino Linotype"/>
        </w:rPr>
      </w:pPr>
    </w:p>
    <w:p w14:paraId="207E333C" w14:textId="62C9CC12" w:rsidR="002C17F0" w:rsidRDefault="002C17F0" w:rsidP="002C17F0">
      <w:pPr>
        <w:spacing w:line="360" w:lineRule="auto"/>
        <w:contextualSpacing/>
        <w:jc w:val="both"/>
        <w:rPr>
          <w:rFonts w:ascii="Palatino Linotype" w:hAnsi="Palatino Linotype"/>
        </w:rPr>
      </w:pPr>
      <w:r>
        <w:rPr>
          <w:rFonts w:ascii="Palatino Linotype" w:hAnsi="Palatino Linotype"/>
        </w:rPr>
        <w:t xml:space="preserve">Aunado a lo anterior, es preciso señalar que es necesario analizar este caso, bajo la mira del principio </w:t>
      </w:r>
      <w:r w:rsidRPr="00C27724">
        <w:rPr>
          <w:rFonts w:ascii="Palatino Linotype" w:hAnsi="Palatino Linotype"/>
        </w:rPr>
        <w:t xml:space="preserve">del </w:t>
      </w:r>
      <w:r w:rsidRPr="00C27724">
        <w:rPr>
          <w:rFonts w:ascii="Palatino Linotype" w:hAnsi="Palatino Linotype"/>
          <w:i/>
        </w:rPr>
        <w:t xml:space="preserve">interés superior del niño, </w:t>
      </w:r>
      <w:r w:rsidRPr="00C27724">
        <w:rPr>
          <w:rFonts w:ascii="Palatino Linotype" w:hAnsi="Palatino Linotype"/>
        </w:rPr>
        <w:t>o también</w:t>
      </w:r>
      <w:r>
        <w:rPr>
          <w:rFonts w:ascii="Palatino Linotype" w:hAnsi="Palatino Linotype"/>
        </w:rPr>
        <w:t xml:space="preserve"> denominado </w:t>
      </w:r>
      <w:r>
        <w:rPr>
          <w:rFonts w:ascii="Palatino Linotype" w:hAnsi="Palatino Linotype"/>
          <w:i/>
        </w:rPr>
        <w:t xml:space="preserve">interés superior del menor, </w:t>
      </w:r>
      <w:r w:rsidR="001167D5">
        <w:rPr>
          <w:rFonts w:ascii="Palatino Linotype" w:hAnsi="Palatino Linotype"/>
        </w:rPr>
        <w:t>o</w:t>
      </w:r>
      <w:r>
        <w:rPr>
          <w:rFonts w:ascii="Palatino Linotype" w:hAnsi="Palatino Linotype"/>
          <w:i/>
        </w:rPr>
        <w:t xml:space="preserve"> interés superior de los niños, niñas y adolescentes, </w:t>
      </w:r>
      <w:r>
        <w:rPr>
          <w:rFonts w:ascii="Palatino Linotype" w:hAnsi="Palatino Linotype"/>
        </w:rPr>
        <w:t xml:space="preserve">para fines del presente asunto se denominará en términos del </w:t>
      </w:r>
      <w:r>
        <w:rPr>
          <w:rFonts w:ascii="Palatino Linotype" w:hAnsi="Palatino Linotype"/>
          <w:i/>
        </w:rPr>
        <w:t xml:space="preserve">interés superior de los niños, niñas y adolescentes, </w:t>
      </w:r>
      <w:r>
        <w:rPr>
          <w:rFonts w:ascii="Palatino Linotype" w:hAnsi="Palatino Linotype"/>
        </w:rPr>
        <w:t>a fin de continuar con un lenguaje inclusivo.</w:t>
      </w:r>
    </w:p>
    <w:p w14:paraId="24805233" w14:textId="77777777" w:rsidR="002C17F0" w:rsidRDefault="002C17F0" w:rsidP="002C17F0">
      <w:pPr>
        <w:spacing w:line="360" w:lineRule="auto"/>
        <w:contextualSpacing/>
        <w:jc w:val="both"/>
        <w:rPr>
          <w:rFonts w:ascii="Palatino Linotype" w:hAnsi="Palatino Linotype"/>
        </w:rPr>
      </w:pPr>
    </w:p>
    <w:p w14:paraId="69DE3A5A" w14:textId="77777777" w:rsidR="002C17F0" w:rsidRDefault="002C17F0" w:rsidP="002C17F0">
      <w:pPr>
        <w:spacing w:line="360" w:lineRule="auto"/>
        <w:contextualSpacing/>
        <w:jc w:val="both"/>
        <w:rPr>
          <w:rFonts w:ascii="Palatino Linotype" w:hAnsi="Palatino Linotype"/>
        </w:rPr>
      </w:pPr>
      <w:r>
        <w:rPr>
          <w:rFonts w:ascii="Palatino Linotype" w:hAnsi="Palatino Linotype"/>
        </w:rPr>
        <w:t xml:space="preserve">En este sentido, el principio del </w:t>
      </w:r>
      <w:r>
        <w:rPr>
          <w:rFonts w:ascii="Palatino Linotype" w:hAnsi="Palatino Linotype"/>
          <w:i/>
        </w:rPr>
        <w:t xml:space="preserve">interés superior de los niños, niñas y adolescentes, </w:t>
      </w:r>
      <w:r>
        <w:rPr>
          <w:rFonts w:ascii="Palatino Linotype" w:hAnsi="Palatino Linotype"/>
        </w:rPr>
        <w:t xml:space="preserve">encuentra su fundamento al igual que el principio </w:t>
      </w:r>
      <w:r>
        <w:rPr>
          <w:rFonts w:ascii="Palatino Linotype" w:hAnsi="Palatino Linotype"/>
          <w:i/>
        </w:rPr>
        <w:t xml:space="preserve">pro persona, </w:t>
      </w:r>
      <w:r>
        <w:rPr>
          <w:rFonts w:ascii="Palatino Linotype" w:hAnsi="Palatino Linotype"/>
        </w:rPr>
        <w:t xml:space="preserve">en aplicación de lo dispuesto en el artículo 1° de la </w:t>
      </w:r>
      <w:r w:rsidRPr="007902CF">
        <w:rPr>
          <w:rFonts w:ascii="Palatino Linotype" w:hAnsi="Palatino Linotype" w:cs="Tahoma"/>
        </w:rPr>
        <w:t>Constitución Política de los Estados Unidos Mexicanos</w:t>
      </w:r>
      <w:r>
        <w:rPr>
          <w:rFonts w:ascii="Palatino Linotype" w:hAnsi="Palatino Linotype" w:cs="Tahoma"/>
        </w:rPr>
        <w:t>;</w:t>
      </w:r>
      <w:r>
        <w:rPr>
          <w:rFonts w:ascii="Palatino Linotype" w:hAnsi="Palatino Linotype"/>
        </w:rPr>
        <w:t xml:space="preserve"> a partir de su modificación en el año 2011, que permite la aplicación ineludible de tratados internacionales en el ordenamiento jurídico mexicano. </w:t>
      </w:r>
    </w:p>
    <w:p w14:paraId="0D718802" w14:textId="77777777" w:rsidR="002C17F0" w:rsidRDefault="002C17F0" w:rsidP="002C17F0">
      <w:pPr>
        <w:spacing w:line="360" w:lineRule="auto"/>
        <w:contextualSpacing/>
        <w:jc w:val="both"/>
        <w:rPr>
          <w:rFonts w:ascii="Palatino Linotype" w:eastAsia="Calibri" w:hAnsi="Palatino Linotype" w:cs="Tahoma"/>
          <w:bCs/>
        </w:rPr>
      </w:pPr>
    </w:p>
    <w:p w14:paraId="577B6B20" w14:textId="77777777" w:rsidR="002C17F0" w:rsidRDefault="002C17F0" w:rsidP="002C17F0">
      <w:pPr>
        <w:spacing w:line="360" w:lineRule="auto"/>
        <w:contextualSpacing/>
        <w:jc w:val="both"/>
        <w:rPr>
          <w:rFonts w:ascii="Palatino Linotype" w:eastAsia="Calibri" w:hAnsi="Palatino Linotype" w:cs="Tahoma"/>
          <w:bCs/>
        </w:rPr>
      </w:pPr>
      <w:r>
        <w:rPr>
          <w:rFonts w:ascii="Palatino Linotype" w:eastAsia="Calibri" w:hAnsi="Palatino Linotype" w:cs="Tahoma"/>
          <w:bCs/>
        </w:rPr>
        <w:t xml:space="preserve">En este contexto, se debe precisar la existencia de la Convención sobre los derechos del niño, en el que el Estado Mexicano formó parte y del cual se dictó convenio que fue ratificado por el Senado de la República y que puede consultarse en la liga de internet: </w:t>
      </w:r>
      <w:hyperlink r:id="rId8" w:history="1">
        <w:r w:rsidRPr="004B1D6D">
          <w:rPr>
            <w:rStyle w:val="Hipervnculo"/>
            <w:rFonts w:ascii="Palatino Linotype" w:eastAsia="Calibri" w:hAnsi="Palatino Linotype" w:cs="Tahoma"/>
            <w:bCs/>
          </w:rPr>
          <w:t>https://www.cndh.org.mx/sites/default/files/documentos/2018-11/convencion_derechos_nino.pdf</w:t>
        </w:r>
      </w:hyperlink>
      <w:r>
        <w:rPr>
          <w:rFonts w:ascii="Palatino Linotype" w:eastAsia="Calibri" w:hAnsi="Palatino Linotype" w:cs="Tahoma"/>
          <w:bCs/>
        </w:rPr>
        <w:t xml:space="preserve"> , en cuyo preámbulo se determinó lo siguiente:</w:t>
      </w:r>
    </w:p>
    <w:p w14:paraId="34C97F85" w14:textId="77777777" w:rsidR="002C17F0" w:rsidRDefault="002C17F0" w:rsidP="002C17F0">
      <w:pPr>
        <w:spacing w:line="360" w:lineRule="auto"/>
        <w:contextualSpacing/>
        <w:jc w:val="both"/>
        <w:rPr>
          <w:rFonts w:ascii="Palatino Linotype" w:eastAsia="Calibri" w:hAnsi="Palatino Linotype" w:cs="Tahoma"/>
          <w:bCs/>
        </w:rPr>
      </w:pPr>
    </w:p>
    <w:p w14:paraId="312DE370" w14:textId="77777777" w:rsidR="002C17F0" w:rsidRPr="00922729" w:rsidRDefault="002C17F0" w:rsidP="002C17F0">
      <w:pPr>
        <w:spacing w:line="360" w:lineRule="auto"/>
        <w:ind w:left="567" w:right="539"/>
        <w:contextualSpacing/>
        <w:jc w:val="both"/>
        <w:rPr>
          <w:rFonts w:ascii="Palatino Linotype" w:hAnsi="Palatino Linotype"/>
          <w:b/>
          <w:bCs/>
          <w:i/>
          <w:sz w:val="20"/>
        </w:rPr>
      </w:pPr>
      <w:r w:rsidRPr="001167D5">
        <w:rPr>
          <w:rFonts w:ascii="Palatino Linotype" w:hAnsi="Palatino Linotype"/>
          <w:i/>
          <w:sz w:val="20"/>
        </w:rPr>
        <w:lastRenderedPageBreak/>
        <w:t xml:space="preserve">… Reconociendo que el niño, para el pleno y armonioso desarrollo de su personalidad, debe crecer en el seno de la familia, </w:t>
      </w:r>
      <w:r w:rsidRPr="00922729">
        <w:rPr>
          <w:rFonts w:ascii="Palatino Linotype" w:hAnsi="Palatino Linotype"/>
          <w:b/>
          <w:bCs/>
          <w:i/>
          <w:sz w:val="20"/>
        </w:rPr>
        <w:t xml:space="preserve">en un ambiente de felicidad, amor y comprensión, </w:t>
      </w:r>
    </w:p>
    <w:p w14:paraId="487B1C86" w14:textId="77777777" w:rsidR="002C17F0" w:rsidRPr="001167D5" w:rsidRDefault="002C17F0" w:rsidP="002C17F0">
      <w:pPr>
        <w:spacing w:line="360" w:lineRule="auto"/>
        <w:ind w:left="567" w:right="539"/>
        <w:contextualSpacing/>
        <w:jc w:val="both"/>
        <w:rPr>
          <w:rFonts w:ascii="Palatino Linotype" w:hAnsi="Palatino Linotype"/>
          <w:i/>
          <w:sz w:val="20"/>
        </w:rPr>
      </w:pPr>
      <w:r w:rsidRPr="001167D5">
        <w:rPr>
          <w:rFonts w:ascii="Palatino Linotype" w:hAnsi="Palatino Linotype"/>
          <w:i/>
          <w:sz w:val="20"/>
        </w:rPr>
        <w:t>Considerando que el niño debe estar plenamente preparado para una vida independiente en sociedad y ser educado en el espíritu de los ideales proclamados en la Carta de las Naciones Unidas y, en particular, en un espíritu de paz, dignidad, tolerancia, libertad, igualdad y solidaridad,</w:t>
      </w:r>
    </w:p>
    <w:p w14:paraId="36021C8B" w14:textId="77777777" w:rsidR="002C17F0" w:rsidRPr="001167D5" w:rsidRDefault="002C17F0" w:rsidP="002C17F0">
      <w:pPr>
        <w:spacing w:line="360" w:lineRule="auto"/>
        <w:ind w:left="567" w:right="539"/>
        <w:contextualSpacing/>
        <w:jc w:val="both"/>
        <w:rPr>
          <w:rFonts w:ascii="Palatino Linotype" w:hAnsi="Palatino Linotype"/>
          <w:i/>
          <w:sz w:val="20"/>
        </w:rPr>
      </w:pPr>
      <w:r w:rsidRPr="001167D5">
        <w:rPr>
          <w:rFonts w:ascii="Palatino Linotype" w:hAnsi="Palatino Linotype"/>
          <w:i/>
          <w:sz w:val="20"/>
        </w:rPr>
        <w:t>…</w:t>
      </w:r>
    </w:p>
    <w:p w14:paraId="0A0DCE80" w14:textId="77777777" w:rsidR="002C17F0" w:rsidRPr="001167D5" w:rsidRDefault="002C17F0" w:rsidP="002C17F0">
      <w:pPr>
        <w:spacing w:line="360" w:lineRule="auto"/>
        <w:ind w:left="567" w:right="539"/>
        <w:contextualSpacing/>
        <w:jc w:val="both"/>
        <w:rPr>
          <w:rFonts w:ascii="Palatino Linotype" w:hAnsi="Palatino Linotype"/>
          <w:i/>
          <w:sz w:val="20"/>
        </w:rPr>
      </w:pPr>
      <w:r w:rsidRPr="001167D5">
        <w:rPr>
          <w:rFonts w:ascii="Palatino Linotype" w:hAnsi="Palatino Linotype"/>
          <w:i/>
          <w:sz w:val="20"/>
        </w:rPr>
        <w:t>Teniendo presente que, como se indica en la Declaración de los Derechos del Niño, "el niño, por su falta de madurez física y mental, necesita protección y cuidado especiales, incluso la debida protección legal, tanto antes como después del nacimiento",</w:t>
      </w:r>
    </w:p>
    <w:p w14:paraId="4EB7BB59" w14:textId="77777777" w:rsidR="002C17F0" w:rsidRPr="001167D5" w:rsidRDefault="002C17F0" w:rsidP="002C17F0">
      <w:pPr>
        <w:spacing w:line="360" w:lineRule="auto"/>
        <w:ind w:left="567" w:right="539"/>
        <w:contextualSpacing/>
        <w:jc w:val="both"/>
        <w:rPr>
          <w:rFonts w:ascii="Palatino Linotype" w:eastAsia="Calibri" w:hAnsi="Palatino Linotype" w:cs="Tahoma"/>
          <w:bCs/>
          <w:i/>
          <w:sz w:val="20"/>
        </w:rPr>
      </w:pPr>
      <w:r w:rsidRPr="001167D5">
        <w:rPr>
          <w:rFonts w:ascii="Palatino Linotype" w:hAnsi="Palatino Linotype"/>
          <w:i/>
          <w:sz w:val="20"/>
        </w:rPr>
        <w:t>…</w:t>
      </w:r>
    </w:p>
    <w:p w14:paraId="799B1DAB" w14:textId="77777777" w:rsidR="002C17F0" w:rsidRDefault="002C17F0" w:rsidP="002C17F0">
      <w:pPr>
        <w:spacing w:line="360" w:lineRule="auto"/>
        <w:contextualSpacing/>
        <w:jc w:val="both"/>
        <w:rPr>
          <w:rFonts w:ascii="Palatino Linotype" w:eastAsia="Calibri" w:hAnsi="Palatino Linotype" w:cs="Tahoma"/>
          <w:bCs/>
        </w:rPr>
      </w:pPr>
    </w:p>
    <w:p w14:paraId="4ECE2F3E" w14:textId="72A6B676" w:rsidR="002C17F0" w:rsidRDefault="002C17F0" w:rsidP="002C17F0">
      <w:pPr>
        <w:spacing w:line="360" w:lineRule="auto"/>
        <w:contextualSpacing/>
        <w:jc w:val="both"/>
        <w:rPr>
          <w:rFonts w:ascii="Palatino Linotype" w:eastAsia="Calibri" w:hAnsi="Palatino Linotype" w:cs="Tahoma"/>
          <w:bCs/>
        </w:rPr>
      </w:pPr>
      <w:r>
        <w:rPr>
          <w:rFonts w:ascii="Palatino Linotype" w:eastAsia="Calibri" w:hAnsi="Palatino Linotype" w:cs="Tahoma"/>
          <w:bCs/>
        </w:rPr>
        <w:t>En dicho convenio se determinó expresamente en el artículo 3</w:t>
      </w:r>
      <w:r w:rsidR="00D0748C">
        <w:rPr>
          <w:rFonts w:ascii="Palatino Linotype" w:eastAsia="Calibri" w:hAnsi="Palatino Linotype" w:cs="Tahoma"/>
          <w:bCs/>
        </w:rPr>
        <w:t>°</w:t>
      </w:r>
      <w:r>
        <w:rPr>
          <w:rFonts w:ascii="Palatino Linotype" w:eastAsia="Calibri" w:hAnsi="Palatino Linotype" w:cs="Tahoma"/>
          <w:bCs/>
        </w:rPr>
        <w:t xml:space="preserve"> la obligación por parte de los Estados miembros para garantizar la protección de los menores, de igual forma el artículo 27 se atrae al estudio en virtud de los motivos que impulsan el presente asunto, artículos que a la letra señalan:</w:t>
      </w:r>
    </w:p>
    <w:p w14:paraId="56F73CC2" w14:textId="77777777" w:rsidR="002C17F0" w:rsidRDefault="002C17F0" w:rsidP="002C17F0">
      <w:pPr>
        <w:spacing w:line="360" w:lineRule="auto"/>
        <w:ind w:left="567" w:right="539"/>
        <w:contextualSpacing/>
        <w:jc w:val="both"/>
        <w:rPr>
          <w:rFonts w:ascii="Palatino Linotype" w:hAnsi="Palatino Linotype"/>
          <w:i/>
        </w:rPr>
      </w:pPr>
    </w:p>
    <w:p w14:paraId="65E2B325" w14:textId="77777777" w:rsidR="002C17F0" w:rsidRPr="001167D5" w:rsidRDefault="002C17F0" w:rsidP="002C17F0">
      <w:pPr>
        <w:spacing w:line="360" w:lineRule="auto"/>
        <w:ind w:left="567" w:right="539"/>
        <w:contextualSpacing/>
        <w:jc w:val="both"/>
        <w:rPr>
          <w:rFonts w:ascii="Palatino Linotype" w:hAnsi="Palatino Linotype"/>
          <w:i/>
          <w:sz w:val="20"/>
        </w:rPr>
      </w:pPr>
      <w:r w:rsidRPr="001167D5">
        <w:rPr>
          <w:rFonts w:ascii="Palatino Linotype" w:hAnsi="Palatino Linotype"/>
          <w:i/>
          <w:sz w:val="20"/>
        </w:rPr>
        <w:t xml:space="preserve">ARTÍCULO 3 </w:t>
      </w:r>
    </w:p>
    <w:p w14:paraId="44FF7605" w14:textId="77777777" w:rsidR="002C17F0" w:rsidRPr="001167D5" w:rsidRDefault="002C17F0" w:rsidP="002C17F0">
      <w:pPr>
        <w:spacing w:line="360" w:lineRule="auto"/>
        <w:ind w:left="567" w:right="539"/>
        <w:contextualSpacing/>
        <w:jc w:val="both"/>
        <w:rPr>
          <w:rFonts w:ascii="Palatino Linotype" w:hAnsi="Palatino Linotype"/>
          <w:i/>
          <w:sz w:val="20"/>
        </w:rPr>
      </w:pPr>
      <w:r w:rsidRPr="001167D5">
        <w:rPr>
          <w:rFonts w:ascii="Palatino Linotype" w:hAnsi="Palatino Linotype"/>
          <w:i/>
          <w:sz w:val="20"/>
        </w:rPr>
        <w:t xml:space="preserve">1. En todas las medidas concernientes a los niños que tomen las instituciones públicas o privadas de bienestar social, los tribunales, las autoridades administrativas o los órganos legislativos, una consideración primordial a que se atenderá será el interés superior del niño. </w:t>
      </w:r>
    </w:p>
    <w:p w14:paraId="175F8705" w14:textId="77777777" w:rsidR="002C17F0" w:rsidRPr="001167D5" w:rsidRDefault="002C17F0" w:rsidP="002C17F0">
      <w:pPr>
        <w:spacing w:line="360" w:lineRule="auto"/>
        <w:ind w:left="567" w:right="539"/>
        <w:contextualSpacing/>
        <w:jc w:val="both"/>
        <w:rPr>
          <w:rFonts w:ascii="Palatino Linotype" w:hAnsi="Palatino Linotype"/>
          <w:i/>
          <w:sz w:val="20"/>
        </w:rPr>
      </w:pPr>
      <w:r w:rsidRPr="001167D5">
        <w:rPr>
          <w:rFonts w:ascii="Palatino Linotype" w:hAnsi="Palatino Linotype"/>
          <w:i/>
          <w:sz w:val="20"/>
        </w:rPr>
        <w:t xml:space="preserve">2. Los Estados Partes </w:t>
      </w:r>
      <w:r w:rsidRPr="001167D5">
        <w:rPr>
          <w:rFonts w:ascii="Palatino Linotype" w:hAnsi="Palatino Linotype"/>
          <w:b/>
          <w:i/>
          <w:sz w:val="20"/>
        </w:rPr>
        <w:t>se comprometen a asegurar al niño la protección y el cuidado que sean necesarios para su bienestar, teniendo en cuenta los derechos y deberes de sus padres, tutores u otras personas responsables de él ante la ley</w:t>
      </w:r>
      <w:r w:rsidRPr="001167D5">
        <w:rPr>
          <w:rFonts w:ascii="Palatino Linotype" w:hAnsi="Palatino Linotype"/>
          <w:i/>
          <w:sz w:val="20"/>
        </w:rPr>
        <w:t xml:space="preserve"> y, con ese fin, tomarán todas las medidas legislativas y administrativas adecuadas. </w:t>
      </w:r>
    </w:p>
    <w:p w14:paraId="46CB7F31" w14:textId="77777777" w:rsidR="002C17F0" w:rsidRPr="001167D5" w:rsidRDefault="002C17F0" w:rsidP="002C17F0">
      <w:pPr>
        <w:spacing w:line="360" w:lineRule="auto"/>
        <w:ind w:left="567" w:right="539"/>
        <w:contextualSpacing/>
        <w:jc w:val="both"/>
        <w:rPr>
          <w:rFonts w:ascii="Palatino Linotype" w:hAnsi="Palatino Linotype"/>
          <w:i/>
          <w:sz w:val="20"/>
        </w:rPr>
      </w:pPr>
    </w:p>
    <w:p w14:paraId="07DB535F" w14:textId="77777777" w:rsidR="002C17F0" w:rsidRPr="001167D5" w:rsidRDefault="002C17F0" w:rsidP="002C17F0">
      <w:pPr>
        <w:spacing w:line="360" w:lineRule="auto"/>
        <w:ind w:left="567" w:right="539"/>
        <w:contextualSpacing/>
        <w:jc w:val="both"/>
        <w:rPr>
          <w:rFonts w:ascii="Palatino Linotype" w:hAnsi="Palatino Linotype"/>
          <w:i/>
          <w:sz w:val="20"/>
        </w:rPr>
      </w:pPr>
      <w:r w:rsidRPr="001167D5">
        <w:rPr>
          <w:rFonts w:ascii="Palatino Linotype" w:hAnsi="Palatino Linotype"/>
          <w:i/>
          <w:sz w:val="20"/>
        </w:rPr>
        <w:t xml:space="preserve">3 Los Estados Partes se asegurarán de que las instituciones, servicios y establecimientos encargados del cuidado o la protección de los niños cumplan las normas establecidas por las </w:t>
      </w:r>
      <w:r w:rsidRPr="001167D5">
        <w:rPr>
          <w:rFonts w:ascii="Palatino Linotype" w:hAnsi="Palatino Linotype"/>
          <w:i/>
          <w:sz w:val="20"/>
        </w:rPr>
        <w:lastRenderedPageBreak/>
        <w:t>autoridades competentes, especialmente en materia de seguridad, sanidad, número y competencia de su personal, así como en relación con la existencia de una supervisión adecuada.</w:t>
      </w:r>
    </w:p>
    <w:p w14:paraId="041A0B74" w14:textId="77777777" w:rsidR="002C17F0" w:rsidRPr="001167D5" w:rsidRDefault="002C17F0" w:rsidP="002C17F0">
      <w:pPr>
        <w:spacing w:line="360" w:lineRule="auto"/>
        <w:ind w:left="567" w:right="539"/>
        <w:contextualSpacing/>
        <w:jc w:val="both"/>
        <w:rPr>
          <w:rFonts w:ascii="Palatino Linotype" w:hAnsi="Palatino Linotype"/>
          <w:i/>
          <w:sz w:val="20"/>
        </w:rPr>
      </w:pPr>
    </w:p>
    <w:p w14:paraId="76360D7F" w14:textId="77777777" w:rsidR="002C17F0" w:rsidRPr="001167D5" w:rsidRDefault="002C17F0" w:rsidP="002C17F0">
      <w:pPr>
        <w:spacing w:line="360" w:lineRule="auto"/>
        <w:ind w:left="567" w:right="539"/>
        <w:contextualSpacing/>
        <w:jc w:val="both"/>
        <w:rPr>
          <w:rFonts w:ascii="Palatino Linotype" w:hAnsi="Palatino Linotype"/>
          <w:i/>
          <w:sz w:val="20"/>
        </w:rPr>
      </w:pPr>
      <w:r w:rsidRPr="001167D5">
        <w:rPr>
          <w:rFonts w:ascii="Palatino Linotype" w:hAnsi="Palatino Linotype"/>
          <w:i/>
          <w:sz w:val="20"/>
        </w:rPr>
        <w:t xml:space="preserve">ARTÍCULO 27 </w:t>
      </w:r>
    </w:p>
    <w:p w14:paraId="12B0AF5C" w14:textId="77777777" w:rsidR="002C17F0" w:rsidRPr="001167D5" w:rsidRDefault="002C17F0" w:rsidP="002C17F0">
      <w:pPr>
        <w:spacing w:line="360" w:lineRule="auto"/>
        <w:ind w:left="567" w:right="539"/>
        <w:contextualSpacing/>
        <w:jc w:val="both"/>
        <w:rPr>
          <w:rFonts w:ascii="Palatino Linotype" w:hAnsi="Palatino Linotype"/>
          <w:i/>
          <w:sz w:val="20"/>
        </w:rPr>
      </w:pPr>
      <w:r w:rsidRPr="001167D5">
        <w:rPr>
          <w:rFonts w:ascii="Palatino Linotype" w:hAnsi="Palatino Linotype"/>
          <w:i/>
          <w:sz w:val="20"/>
        </w:rPr>
        <w:t xml:space="preserve">1. Los Estados Partes reconocen el derecho de todo niño a un nivel de vida adecuado para su desarrollo físico, mental, espiritual, moral y social. </w:t>
      </w:r>
    </w:p>
    <w:p w14:paraId="1F441765" w14:textId="77777777" w:rsidR="002C17F0" w:rsidRPr="001167D5" w:rsidRDefault="002C17F0" w:rsidP="002C17F0">
      <w:pPr>
        <w:spacing w:line="360" w:lineRule="auto"/>
        <w:ind w:left="567" w:right="539"/>
        <w:contextualSpacing/>
        <w:jc w:val="both"/>
        <w:rPr>
          <w:rFonts w:ascii="Palatino Linotype" w:hAnsi="Palatino Linotype"/>
          <w:i/>
          <w:sz w:val="20"/>
        </w:rPr>
      </w:pPr>
      <w:r w:rsidRPr="001167D5">
        <w:rPr>
          <w:rFonts w:ascii="Palatino Linotype" w:hAnsi="Palatino Linotype"/>
          <w:i/>
          <w:sz w:val="20"/>
        </w:rPr>
        <w:t xml:space="preserve">2. A los padres u otras personas encargadas del niño les incumbe la responsabilidad primordial de proporcionar, dentro de sus posibilidades y medios económicos, las condiciones de vida que sean necesarias para el desarrollo del niño. </w:t>
      </w:r>
    </w:p>
    <w:p w14:paraId="12422F4C" w14:textId="77777777" w:rsidR="002C17F0" w:rsidRPr="001167D5" w:rsidRDefault="002C17F0" w:rsidP="002C17F0">
      <w:pPr>
        <w:spacing w:line="360" w:lineRule="auto"/>
        <w:ind w:left="567" w:right="539"/>
        <w:contextualSpacing/>
        <w:jc w:val="both"/>
        <w:rPr>
          <w:rFonts w:ascii="Palatino Linotype" w:hAnsi="Palatino Linotype"/>
          <w:i/>
          <w:sz w:val="20"/>
        </w:rPr>
      </w:pPr>
      <w:r w:rsidRPr="001167D5">
        <w:rPr>
          <w:rFonts w:ascii="Palatino Linotype" w:hAnsi="Palatino Linotype"/>
          <w:i/>
          <w:sz w:val="20"/>
        </w:rPr>
        <w:t xml:space="preserve">3. </w:t>
      </w:r>
      <w:r w:rsidRPr="001167D5">
        <w:rPr>
          <w:rFonts w:ascii="Palatino Linotype" w:hAnsi="Palatino Linotype"/>
          <w:b/>
          <w:i/>
          <w:sz w:val="20"/>
        </w:rPr>
        <w:t xml:space="preserve">Los Estados Partes, de acuerdo con las condiciones nacionales y con arreglo a sus medios, adoptarán medidas apropiadas para ayudar a los padres y a otras personas responsables por el niño a dar efectividad a este derecho </w:t>
      </w:r>
      <w:r w:rsidRPr="001167D5">
        <w:rPr>
          <w:rFonts w:ascii="Palatino Linotype" w:hAnsi="Palatino Linotype"/>
          <w:i/>
          <w:sz w:val="20"/>
        </w:rPr>
        <w:t xml:space="preserve">y, en caso necesario, proporcionarán asistencia material y programas de apoyo, particularmente con respecto a la nutrición, el vestuario y la vivienda. </w:t>
      </w:r>
    </w:p>
    <w:p w14:paraId="101D3388" w14:textId="77777777" w:rsidR="002C17F0" w:rsidRPr="001167D5" w:rsidRDefault="002C17F0" w:rsidP="002C17F0">
      <w:pPr>
        <w:spacing w:line="360" w:lineRule="auto"/>
        <w:ind w:left="567" w:right="539"/>
        <w:contextualSpacing/>
        <w:jc w:val="both"/>
        <w:rPr>
          <w:rFonts w:ascii="Palatino Linotype" w:hAnsi="Palatino Linotype"/>
          <w:i/>
          <w:sz w:val="20"/>
        </w:rPr>
      </w:pPr>
      <w:r w:rsidRPr="001167D5">
        <w:rPr>
          <w:rFonts w:ascii="Palatino Linotype" w:hAnsi="Palatino Linotype"/>
          <w:i/>
          <w:sz w:val="20"/>
        </w:rPr>
        <w:t xml:space="preserve">4. </w:t>
      </w:r>
      <w:r w:rsidRPr="00D0748C">
        <w:rPr>
          <w:rFonts w:ascii="Palatino Linotype" w:hAnsi="Palatino Linotype"/>
          <w:bCs/>
          <w:i/>
          <w:sz w:val="20"/>
        </w:rPr>
        <w:t>Los Estados Partes tomarán todas las medidas apropiadas para asegurar el pago de la pensión alimenticia por parte de los padres u otras personas que tengan la responsabilidad financiera por el niño,</w:t>
      </w:r>
      <w:r w:rsidRPr="001167D5">
        <w:rPr>
          <w:rFonts w:ascii="Palatino Linotype" w:hAnsi="Palatino Linotype"/>
          <w:i/>
          <w:sz w:val="20"/>
        </w:rPr>
        <w:t xml:space="preserve"> tanto si viven en el Estado Parte como si viven en el extranjero. En particular, cuando la persona que tenga la responsabilidad financiera por el niño resida en un Estado diferente de aquel en que resida el niño, los Estados Partes promoverán la adhesión a los convenios internacionales o la concertación de dichos convenios, así como la concertación de cualesquiera otros arreglos apropiados.</w:t>
      </w:r>
    </w:p>
    <w:p w14:paraId="4B4E8F5E" w14:textId="00B2CA9A" w:rsidR="002C17F0" w:rsidRPr="00D0748C" w:rsidRDefault="002C17F0" w:rsidP="002C17F0">
      <w:pPr>
        <w:tabs>
          <w:tab w:val="left" w:pos="284"/>
        </w:tabs>
        <w:spacing w:line="360" w:lineRule="auto"/>
        <w:ind w:left="567" w:right="539"/>
        <w:contextualSpacing/>
        <w:jc w:val="both"/>
        <w:rPr>
          <w:rFonts w:ascii="Palatino Linotype" w:hAnsi="Palatino Linotype"/>
          <w:sz w:val="20"/>
          <w:szCs w:val="20"/>
        </w:rPr>
      </w:pPr>
      <w:r w:rsidRPr="00D0748C">
        <w:rPr>
          <w:rFonts w:ascii="Palatino Linotype" w:hAnsi="Palatino Linotype"/>
          <w:sz w:val="20"/>
          <w:szCs w:val="20"/>
        </w:rPr>
        <w:t>(Énfasis añadido)</w:t>
      </w:r>
      <w:r w:rsidR="00D0748C" w:rsidRPr="00D0748C">
        <w:rPr>
          <w:rFonts w:ascii="Palatino Linotype" w:hAnsi="Palatino Linotype"/>
          <w:sz w:val="20"/>
          <w:szCs w:val="20"/>
        </w:rPr>
        <w:t>.</w:t>
      </w:r>
    </w:p>
    <w:p w14:paraId="1FDEF460" w14:textId="77777777" w:rsidR="002C17F0" w:rsidRDefault="002C17F0" w:rsidP="002C17F0">
      <w:pPr>
        <w:spacing w:line="360" w:lineRule="auto"/>
        <w:contextualSpacing/>
        <w:jc w:val="both"/>
        <w:rPr>
          <w:rFonts w:ascii="Palatino Linotype" w:hAnsi="Palatino Linotype"/>
          <w:i/>
        </w:rPr>
      </w:pPr>
    </w:p>
    <w:p w14:paraId="4751B794" w14:textId="5AD1D603" w:rsidR="002C17F0" w:rsidRDefault="002C17F0" w:rsidP="002C17F0">
      <w:pPr>
        <w:spacing w:line="360" w:lineRule="auto"/>
        <w:contextualSpacing/>
        <w:jc w:val="both"/>
        <w:rPr>
          <w:rFonts w:ascii="Palatino Linotype" w:eastAsia="Calibri" w:hAnsi="Palatino Linotype" w:cs="Tahoma"/>
          <w:bCs/>
        </w:rPr>
      </w:pPr>
      <w:r>
        <w:rPr>
          <w:rFonts w:ascii="Palatino Linotype" w:eastAsia="Calibri" w:hAnsi="Palatino Linotype" w:cs="Tahoma"/>
          <w:bCs/>
        </w:rPr>
        <w:t xml:space="preserve">Derivado de lo anterior se robustece la necesidad de que todos los órganos y entes que conforman el Estado Mexicano, aseguren la protección de los niños y niñas que forman parte la sociedad y aun cuando, son menores de edad, se les garanticen los derechos humanos consagrados a favor de cualquier persona que forme parte del territorio mexicano; de igual forma se consagra un derecho a favor del menor y que resulta responsabilidad del Estado; </w:t>
      </w:r>
      <w:r>
        <w:rPr>
          <w:rFonts w:ascii="Palatino Linotype" w:eastAsia="Calibri" w:hAnsi="Palatino Linotype" w:cs="Tahoma"/>
          <w:bCs/>
        </w:rPr>
        <w:lastRenderedPageBreak/>
        <w:t xml:space="preserve">en el que se deben otorgar todas las medidas necesarias para garantizar que los niños y niñas logren acceder </w:t>
      </w:r>
      <w:r w:rsidR="00D0748C">
        <w:rPr>
          <w:rFonts w:ascii="Palatino Linotype" w:eastAsia="Calibri" w:hAnsi="Palatino Linotype" w:cs="Tahoma"/>
          <w:bCs/>
        </w:rPr>
        <w:t>tanto a la estabilidad emocional de los menores como financiera</w:t>
      </w:r>
      <w:r>
        <w:rPr>
          <w:rFonts w:ascii="Palatino Linotype" w:eastAsia="Calibri" w:hAnsi="Palatino Linotype" w:cs="Tahoma"/>
          <w:bCs/>
        </w:rPr>
        <w:t xml:space="preserve">. </w:t>
      </w:r>
    </w:p>
    <w:p w14:paraId="24FC8527" w14:textId="77777777" w:rsidR="002C17F0" w:rsidRDefault="002C17F0" w:rsidP="002C17F0">
      <w:pPr>
        <w:spacing w:line="360" w:lineRule="auto"/>
        <w:contextualSpacing/>
        <w:jc w:val="both"/>
        <w:rPr>
          <w:rFonts w:ascii="Palatino Linotype" w:eastAsia="Calibri" w:hAnsi="Palatino Linotype" w:cs="Tahoma"/>
          <w:bCs/>
        </w:rPr>
      </w:pPr>
    </w:p>
    <w:p w14:paraId="068D0196" w14:textId="77777777" w:rsidR="002C17F0" w:rsidRPr="0044743B" w:rsidRDefault="002C17F0" w:rsidP="002C17F0">
      <w:pPr>
        <w:spacing w:line="360" w:lineRule="auto"/>
        <w:contextualSpacing/>
        <w:jc w:val="both"/>
        <w:rPr>
          <w:rFonts w:ascii="Palatino Linotype" w:eastAsia="Calibri" w:hAnsi="Palatino Linotype" w:cs="Tahoma"/>
          <w:bCs/>
        </w:rPr>
      </w:pPr>
      <w:r>
        <w:rPr>
          <w:rFonts w:ascii="Palatino Linotype" w:eastAsia="Calibri" w:hAnsi="Palatino Linotype" w:cs="Tahoma"/>
          <w:bCs/>
        </w:rPr>
        <w:t xml:space="preserve">Al respecto, el </w:t>
      </w:r>
      <w:r w:rsidRPr="0044743B">
        <w:rPr>
          <w:rFonts w:ascii="Palatino Linotype" w:hAnsi="Palatino Linotype"/>
        </w:rPr>
        <w:t xml:space="preserve">Comité de los Derechos del Niño, </w:t>
      </w:r>
      <w:r>
        <w:rPr>
          <w:rFonts w:ascii="Palatino Linotype" w:hAnsi="Palatino Linotype"/>
        </w:rPr>
        <w:t xml:space="preserve">en la </w:t>
      </w:r>
      <w:r w:rsidRPr="0044743B">
        <w:rPr>
          <w:rFonts w:ascii="Palatino Linotype" w:hAnsi="Palatino Linotype"/>
        </w:rPr>
        <w:t>Observación General No. 14, sobre el derecho del niño a que su interés superior sea una consideración primordial (artículo 3, párrafo 1)</w:t>
      </w:r>
      <w:r>
        <w:rPr>
          <w:rFonts w:ascii="Palatino Linotype" w:hAnsi="Palatino Linotype"/>
        </w:rPr>
        <w:t>, de</w:t>
      </w:r>
      <w:r w:rsidRPr="0044743B">
        <w:rPr>
          <w:rFonts w:ascii="Palatino Linotype" w:hAnsi="Palatino Linotype"/>
        </w:rPr>
        <w:t xml:space="preserve"> 29 de mayo de 2013</w:t>
      </w:r>
      <w:r>
        <w:rPr>
          <w:rFonts w:ascii="Palatino Linotype" w:hAnsi="Palatino Linotype"/>
        </w:rPr>
        <w:t xml:space="preserve">; documento que se puede consultar en la liga de internet: </w:t>
      </w:r>
      <w:hyperlink r:id="rId9" w:history="1">
        <w:r w:rsidRPr="004B1D6D">
          <w:rPr>
            <w:rStyle w:val="Hipervnculo"/>
            <w:rFonts w:ascii="Palatino Linotype" w:hAnsi="Palatino Linotype"/>
          </w:rPr>
          <w:t>https://www.observatoriodelainfancia.es/ficherosoia/documentos/3990_d_CRC.C.GC.14_sp.pdf</w:t>
        </w:r>
      </w:hyperlink>
      <w:r>
        <w:rPr>
          <w:rFonts w:ascii="Palatino Linotype" w:hAnsi="Palatino Linotype"/>
        </w:rPr>
        <w:t xml:space="preserve">; y que en su </w:t>
      </w:r>
      <w:r w:rsidRPr="0044743B">
        <w:rPr>
          <w:rFonts w:ascii="Palatino Linotype" w:hAnsi="Palatino Linotype"/>
        </w:rPr>
        <w:t>párrafo 39</w:t>
      </w:r>
      <w:r>
        <w:rPr>
          <w:rFonts w:ascii="Palatino Linotype" w:hAnsi="Palatino Linotype"/>
        </w:rPr>
        <w:t>, establece lo siguiente:</w:t>
      </w:r>
    </w:p>
    <w:p w14:paraId="6A8297DA" w14:textId="77777777" w:rsidR="002C17F0" w:rsidRDefault="002C17F0" w:rsidP="002C17F0">
      <w:pPr>
        <w:spacing w:line="360" w:lineRule="auto"/>
        <w:contextualSpacing/>
        <w:jc w:val="both"/>
        <w:rPr>
          <w:rFonts w:ascii="Palatino Linotype" w:eastAsia="Calibri" w:hAnsi="Palatino Linotype" w:cs="Tahoma"/>
          <w:bCs/>
        </w:rPr>
      </w:pPr>
    </w:p>
    <w:p w14:paraId="2F088786" w14:textId="5AE1D8F6" w:rsidR="002C17F0" w:rsidRPr="001167D5" w:rsidRDefault="00024ECB" w:rsidP="002C17F0">
      <w:pPr>
        <w:spacing w:line="360" w:lineRule="auto"/>
        <w:ind w:left="567" w:right="539"/>
        <w:contextualSpacing/>
        <w:jc w:val="both"/>
        <w:rPr>
          <w:rFonts w:ascii="Palatino Linotype" w:hAnsi="Palatino Linotype"/>
          <w:i/>
          <w:sz w:val="20"/>
        </w:rPr>
      </w:pPr>
      <w:r>
        <w:rPr>
          <w:rFonts w:ascii="Palatino Linotype" w:hAnsi="Palatino Linotype"/>
          <w:i/>
          <w:sz w:val="20"/>
        </w:rPr>
        <w:t xml:space="preserve">(..) </w:t>
      </w:r>
      <w:r w:rsidR="002C17F0" w:rsidRPr="001167D5">
        <w:rPr>
          <w:rFonts w:ascii="Palatino Linotype" w:hAnsi="Palatino Linotype"/>
          <w:i/>
          <w:sz w:val="20"/>
        </w:rPr>
        <w:t>las autoridades y los responsables de la toma de decisiones habrán de analizar y sopesar los derechos de todos los interesados, teniendo en cuenta que el derecho del niño a que su interés superior sea una consideración primordial significa que los intereses del niño tienen máxima prioridad y no son una de tantas consideraciones. Por tanto, se debe conceder más importancia a lo que sea mejor para el niño.</w:t>
      </w:r>
    </w:p>
    <w:p w14:paraId="7543E6C9" w14:textId="77777777" w:rsidR="002C17F0" w:rsidRPr="0044743B" w:rsidRDefault="002C17F0" w:rsidP="002C17F0">
      <w:pPr>
        <w:spacing w:line="360" w:lineRule="auto"/>
        <w:ind w:left="567" w:right="539"/>
        <w:contextualSpacing/>
        <w:jc w:val="both"/>
        <w:rPr>
          <w:rFonts w:ascii="Palatino Linotype" w:eastAsia="Calibri" w:hAnsi="Palatino Linotype" w:cs="Tahoma"/>
          <w:bCs/>
          <w:i/>
        </w:rPr>
      </w:pPr>
    </w:p>
    <w:p w14:paraId="48F99552" w14:textId="77777777" w:rsidR="002C17F0" w:rsidRDefault="002C17F0" w:rsidP="002C17F0">
      <w:pPr>
        <w:spacing w:line="360" w:lineRule="auto"/>
        <w:contextualSpacing/>
        <w:jc w:val="both"/>
        <w:rPr>
          <w:rFonts w:ascii="Palatino Linotype" w:hAnsi="Palatino Linotype" w:cs="Tahoma"/>
          <w:bCs/>
        </w:rPr>
      </w:pPr>
      <w:r>
        <w:rPr>
          <w:rFonts w:ascii="Palatino Linotype" w:hAnsi="Palatino Linotype" w:cs="Tahoma"/>
          <w:bCs/>
        </w:rPr>
        <w:t xml:space="preserve">Derivado de lo antes expuesto se advierte que el principio del </w:t>
      </w:r>
      <w:r>
        <w:rPr>
          <w:rFonts w:ascii="Palatino Linotype" w:hAnsi="Palatino Linotype" w:cs="Tahoma"/>
          <w:bCs/>
          <w:i/>
        </w:rPr>
        <w:t xml:space="preserve">interés superior de los niños, niñas y adolescentes, </w:t>
      </w:r>
      <w:r>
        <w:rPr>
          <w:rFonts w:ascii="Palatino Linotype" w:hAnsi="Palatino Linotype" w:cs="Tahoma"/>
          <w:bCs/>
        </w:rPr>
        <w:t xml:space="preserve">puede ser interpretado como la responsabilidad que tienen los juzgadores para adoptar las medidas que otorguen mayor protección a los menores y que ante el posible análisis de contraposición de derechos, siempre se habrá de adoptar por la decisión que resulte mejor para los menores de edad. </w:t>
      </w:r>
    </w:p>
    <w:p w14:paraId="29E23EA3" w14:textId="77777777" w:rsidR="002C17F0" w:rsidRDefault="002C17F0" w:rsidP="002C17F0">
      <w:pPr>
        <w:spacing w:line="360" w:lineRule="auto"/>
        <w:contextualSpacing/>
        <w:jc w:val="both"/>
        <w:rPr>
          <w:rFonts w:ascii="Palatino Linotype" w:hAnsi="Palatino Linotype" w:cs="Tahoma"/>
          <w:bCs/>
        </w:rPr>
      </w:pPr>
    </w:p>
    <w:p w14:paraId="6789B081" w14:textId="1AC59B5D" w:rsidR="002C17F0" w:rsidRDefault="002C17F0" w:rsidP="002C17F0">
      <w:pPr>
        <w:spacing w:line="360" w:lineRule="auto"/>
        <w:contextualSpacing/>
        <w:jc w:val="both"/>
        <w:rPr>
          <w:rFonts w:ascii="Palatino Linotype" w:hAnsi="Palatino Linotype" w:cs="Tahoma"/>
          <w:bCs/>
        </w:rPr>
      </w:pPr>
      <w:r>
        <w:rPr>
          <w:rFonts w:ascii="Palatino Linotype" w:hAnsi="Palatino Linotype" w:cs="Tahoma"/>
          <w:bCs/>
        </w:rPr>
        <w:t xml:space="preserve">Ahora bien, </w:t>
      </w:r>
      <w:r w:rsidR="00E631E8">
        <w:rPr>
          <w:rFonts w:ascii="Palatino Linotype" w:hAnsi="Palatino Linotype" w:cs="Tahoma"/>
          <w:bCs/>
        </w:rPr>
        <w:t xml:space="preserve">el </w:t>
      </w:r>
      <w:r>
        <w:rPr>
          <w:rFonts w:ascii="Palatino Linotype" w:hAnsi="Palatino Linotype" w:cs="Tahoma"/>
          <w:bCs/>
        </w:rPr>
        <w:t xml:space="preserve">orden jurídico mexicano, cuenta con la </w:t>
      </w:r>
      <w:r w:rsidRPr="00BC3988">
        <w:rPr>
          <w:rFonts w:ascii="Palatino Linotype" w:hAnsi="Palatino Linotype" w:cs="Tahoma"/>
          <w:bCs/>
          <w:i/>
        </w:rPr>
        <w:t>Ley General de los Derechos de Niñas, Niños y Adolescentes</w:t>
      </w:r>
      <w:r>
        <w:rPr>
          <w:rFonts w:ascii="Palatino Linotype" w:hAnsi="Palatino Linotype" w:cs="Tahoma"/>
          <w:bCs/>
          <w:i/>
        </w:rPr>
        <w:t xml:space="preserve">, </w:t>
      </w:r>
      <w:r>
        <w:rPr>
          <w:rFonts w:ascii="Palatino Linotype" w:hAnsi="Palatino Linotype" w:cs="Tahoma"/>
          <w:bCs/>
        </w:rPr>
        <w:t>la cual en su artículo 2 párrafo segundo prevé lo siguiente:</w:t>
      </w:r>
    </w:p>
    <w:p w14:paraId="28453508" w14:textId="77777777" w:rsidR="002C17F0" w:rsidRDefault="002C17F0" w:rsidP="002C17F0">
      <w:pPr>
        <w:spacing w:line="360" w:lineRule="auto"/>
        <w:ind w:left="567" w:right="539"/>
        <w:contextualSpacing/>
        <w:jc w:val="both"/>
        <w:rPr>
          <w:rFonts w:ascii="Palatino Linotype" w:hAnsi="Palatino Linotype"/>
          <w:i/>
        </w:rPr>
      </w:pPr>
    </w:p>
    <w:p w14:paraId="02104A87" w14:textId="77777777" w:rsidR="002C17F0" w:rsidRPr="001167D5" w:rsidRDefault="002C17F0" w:rsidP="002C17F0">
      <w:pPr>
        <w:spacing w:line="360" w:lineRule="auto"/>
        <w:ind w:left="567" w:right="539"/>
        <w:contextualSpacing/>
        <w:jc w:val="both"/>
        <w:rPr>
          <w:rFonts w:ascii="Palatino Linotype" w:hAnsi="Palatino Linotype"/>
          <w:i/>
          <w:sz w:val="20"/>
        </w:rPr>
      </w:pPr>
      <w:r w:rsidRPr="001167D5">
        <w:rPr>
          <w:rFonts w:ascii="Palatino Linotype" w:hAnsi="Palatino Linotype"/>
          <w:i/>
          <w:sz w:val="20"/>
        </w:rPr>
        <w:t>Artículo 2. Para garantizar la protección de los derechos de niñas, niños y adolescentes, las autoridades realizarán las acciones y tomarán medidas, de conformidad con los principios establecidos en la presente Ley. Para tal efecto, deberán:</w:t>
      </w:r>
    </w:p>
    <w:p w14:paraId="4607CF9F" w14:textId="77777777" w:rsidR="002C17F0" w:rsidRPr="001167D5" w:rsidRDefault="002C17F0" w:rsidP="002C17F0">
      <w:pPr>
        <w:spacing w:line="360" w:lineRule="auto"/>
        <w:ind w:left="567" w:right="539"/>
        <w:contextualSpacing/>
        <w:jc w:val="both"/>
        <w:rPr>
          <w:rFonts w:ascii="Palatino Linotype" w:hAnsi="Palatino Linotype"/>
          <w:i/>
          <w:sz w:val="20"/>
        </w:rPr>
      </w:pPr>
      <w:r w:rsidRPr="001167D5">
        <w:rPr>
          <w:rFonts w:ascii="Palatino Linotype" w:hAnsi="Palatino Linotype"/>
          <w:i/>
          <w:sz w:val="20"/>
        </w:rPr>
        <w:lastRenderedPageBreak/>
        <w:t>…</w:t>
      </w:r>
    </w:p>
    <w:p w14:paraId="34B4D18B" w14:textId="77777777" w:rsidR="002C17F0" w:rsidRPr="001167D5" w:rsidRDefault="002C17F0" w:rsidP="002C17F0">
      <w:pPr>
        <w:spacing w:line="360" w:lineRule="auto"/>
        <w:ind w:left="567" w:right="539"/>
        <w:contextualSpacing/>
        <w:jc w:val="both"/>
        <w:rPr>
          <w:rFonts w:ascii="Palatino Linotype" w:hAnsi="Palatino Linotype"/>
          <w:i/>
          <w:sz w:val="20"/>
        </w:rPr>
      </w:pPr>
      <w:r w:rsidRPr="001167D5">
        <w:rPr>
          <w:rFonts w:ascii="Palatino Linotype" w:hAnsi="Palatino Linotype"/>
          <w:i/>
          <w:sz w:val="20"/>
        </w:rPr>
        <w:t xml:space="preserve">El </w:t>
      </w:r>
      <w:r w:rsidRPr="001167D5">
        <w:rPr>
          <w:rFonts w:ascii="Palatino Linotype" w:hAnsi="Palatino Linotype"/>
          <w:b/>
          <w:i/>
          <w:sz w:val="20"/>
        </w:rPr>
        <w:t>interés superior de la niñez deberá ser considerado de manera primordial en la toma de decisiones sobre una cuestión debatida que involucre niñas, niños y adolescentes</w:t>
      </w:r>
      <w:r w:rsidRPr="001167D5">
        <w:rPr>
          <w:rFonts w:ascii="Palatino Linotype" w:hAnsi="Palatino Linotype"/>
          <w:i/>
          <w:sz w:val="20"/>
        </w:rPr>
        <w:t>. Cuando se presenten diferentes interpretaciones, se atenderá a lo establecido en la Constitución y en los tratados internacionales de que México forma parte.</w:t>
      </w:r>
    </w:p>
    <w:p w14:paraId="17D7969E" w14:textId="77777777" w:rsidR="002C17F0" w:rsidRPr="001167D5" w:rsidRDefault="002C17F0" w:rsidP="002C17F0">
      <w:pPr>
        <w:spacing w:line="360" w:lineRule="auto"/>
        <w:ind w:left="567" w:right="539"/>
        <w:contextualSpacing/>
        <w:jc w:val="both"/>
        <w:rPr>
          <w:rFonts w:ascii="Palatino Linotype" w:hAnsi="Palatino Linotype"/>
          <w:i/>
          <w:sz w:val="20"/>
        </w:rPr>
      </w:pPr>
      <w:r w:rsidRPr="001167D5">
        <w:rPr>
          <w:rFonts w:ascii="Palatino Linotype" w:hAnsi="Palatino Linotype"/>
          <w:i/>
          <w:sz w:val="20"/>
        </w:rPr>
        <w:t>…</w:t>
      </w:r>
    </w:p>
    <w:p w14:paraId="44B9EC10" w14:textId="77777777" w:rsidR="002C17F0" w:rsidRPr="00BC3988" w:rsidRDefault="002C17F0" w:rsidP="002C17F0">
      <w:pPr>
        <w:tabs>
          <w:tab w:val="left" w:pos="284"/>
        </w:tabs>
        <w:spacing w:line="360" w:lineRule="auto"/>
        <w:ind w:left="567" w:right="539"/>
        <w:contextualSpacing/>
        <w:jc w:val="both"/>
        <w:rPr>
          <w:rFonts w:ascii="Palatino Linotype" w:hAnsi="Palatino Linotype"/>
        </w:rPr>
      </w:pPr>
      <w:r>
        <w:rPr>
          <w:rFonts w:ascii="Palatino Linotype" w:hAnsi="Palatino Linotype"/>
        </w:rPr>
        <w:t>(Énfasis añadido)</w:t>
      </w:r>
    </w:p>
    <w:p w14:paraId="2BA1F249" w14:textId="77777777" w:rsidR="002C17F0" w:rsidRDefault="002C17F0" w:rsidP="002C17F0">
      <w:pPr>
        <w:spacing w:line="360" w:lineRule="auto"/>
        <w:contextualSpacing/>
        <w:jc w:val="both"/>
        <w:rPr>
          <w:rFonts w:ascii="Palatino Linotype" w:hAnsi="Palatino Linotype" w:cs="Tahoma"/>
          <w:bCs/>
        </w:rPr>
      </w:pPr>
    </w:p>
    <w:p w14:paraId="43BD783F" w14:textId="53B47135" w:rsidR="002C17F0" w:rsidRDefault="00E631E8" w:rsidP="002C17F0">
      <w:pPr>
        <w:spacing w:line="360" w:lineRule="auto"/>
        <w:contextualSpacing/>
        <w:jc w:val="both"/>
        <w:rPr>
          <w:rFonts w:ascii="Palatino Linotype" w:hAnsi="Palatino Linotype" w:cs="Tahoma"/>
          <w:bCs/>
        </w:rPr>
      </w:pPr>
      <w:r>
        <w:rPr>
          <w:rFonts w:ascii="Palatino Linotype" w:hAnsi="Palatino Linotype" w:cs="Tahoma"/>
          <w:bCs/>
        </w:rPr>
        <w:t>Por su parte</w:t>
      </w:r>
      <w:r w:rsidR="002C17F0">
        <w:rPr>
          <w:rFonts w:ascii="Palatino Linotype" w:hAnsi="Palatino Linotype" w:cs="Tahoma"/>
          <w:bCs/>
        </w:rPr>
        <w:t xml:space="preserve">, la Suprema Corte de Justicia de la Nación ha emitido diversos criterios de interpretación en el marco de aplicación del </w:t>
      </w:r>
      <w:r w:rsidR="002C17F0">
        <w:rPr>
          <w:rFonts w:ascii="Palatino Linotype" w:hAnsi="Palatino Linotype" w:cs="Tahoma"/>
          <w:bCs/>
          <w:i/>
        </w:rPr>
        <w:t xml:space="preserve">principio de interés superior de menor, </w:t>
      </w:r>
      <w:r w:rsidR="002C17F0">
        <w:rPr>
          <w:rFonts w:ascii="Palatino Linotype" w:hAnsi="Palatino Linotype" w:cs="Tahoma"/>
          <w:bCs/>
        </w:rPr>
        <w:t xml:space="preserve">al respecto se atrae al estudio la Jurisprudencia con el número de </w:t>
      </w:r>
      <w:r w:rsidR="002C17F0" w:rsidRPr="00FA0FB4">
        <w:rPr>
          <w:rFonts w:ascii="Palatino Linotype" w:hAnsi="Palatino Linotype" w:cs="Tahoma"/>
          <w:bCs/>
        </w:rPr>
        <w:t>Registro: 2020401</w:t>
      </w:r>
      <w:r w:rsidR="002C17F0">
        <w:rPr>
          <w:rFonts w:ascii="Palatino Linotype" w:hAnsi="Palatino Linotype" w:cs="Tahoma"/>
          <w:bCs/>
        </w:rPr>
        <w:t>, que a la letra precisa:</w:t>
      </w:r>
    </w:p>
    <w:p w14:paraId="56BAEBB7" w14:textId="77777777" w:rsidR="002C17F0" w:rsidRDefault="002C17F0" w:rsidP="002C17F0">
      <w:pPr>
        <w:spacing w:line="360" w:lineRule="auto"/>
        <w:contextualSpacing/>
        <w:jc w:val="both"/>
        <w:rPr>
          <w:rFonts w:ascii="Palatino Linotype" w:hAnsi="Palatino Linotype" w:cs="Tahoma"/>
          <w:bCs/>
        </w:rPr>
      </w:pPr>
    </w:p>
    <w:p w14:paraId="5BF1BBB9" w14:textId="77777777" w:rsidR="002C17F0" w:rsidRPr="001167D5" w:rsidRDefault="002C17F0" w:rsidP="002C17F0">
      <w:pPr>
        <w:spacing w:line="360" w:lineRule="auto"/>
        <w:ind w:left="567" w:right="539"/>
        <w:contextualSpacing/>
        <w:jc w:val="both"/>
        <w:rPr>
          <w:rFonts w:ascii="Palatino Linotype" w:hAnsi="Palatino Linotype" w:cs="Tahoma"/>
          <w:b/>
          <w:bCs/>
          <w:i/>
          <w:sz w:val="20"/>
        </w:rPr>
      </w:pPr>
      <w:r w:rsidRPr="001167D5">
        <w:rPr>
          <w:rFonts w:ascii="Palatino Linotype" w:hAnsi="Palatino Linotype" w:cs="Tahoma"/>
          <w:b/>
          <w:bCs/>
          <w:i/>
          <w:sz w:val="20"/>
        </w:rPr>
        <w:t>Jurisprudencia</w:t>
      </w:r>
    </w:p>
    <w:p w14:paraId="63BB85CA" w14:textId="77777777" w:rsidR="002C17F0" w:rsidRPr="001167D5" w:rsidRDefault="002C17F0" w:rsidP="002C17F0">
      <w:pPr>
        <w:spacing w:line="360" w:lineRule="auto"/>
        <w:ind w:left="567" w:right="539"/>
        <w:contextualSpacing/>
        <w:jc w:val="both"/>
        <w:rPr>
          <w:rFonts w:ascii="Palatino Linotype" w:hAnsi="Palatino Linotype" w:cs="Tahoma"/>
          <w:b/>
          <w:bCs/>
          <w:i/>
          <w:sz w:val="20"/>
        </w:rPr>
      </w:pPr>
      <w:r w:rsidRPr="001167D5">
        <w:rPr>
          <w:rFonts w:ascii="Palatino Linotype" w:hAnsi="Palatino Linotype" w:cs="Tahoma"/>
          <w:b/>
          <w:bCs/>
          <w:i/>
          <w:sz w:val="20"/>
        </w:rPr>
        <w:t>Décima Época</w:t>
      </w:r>
      <w:r w:rsidRPr="001167D5">
        <w:rPr>
          <w:rFonts w:ascii="Palatino Linotype" w:hAnsi="Palatino Linotype" w:cs="Tahoma"/>
          <w:b/>
          <w:bCs/>
          <w:i/>
          <w:sz w:val="20"/>
        </w:rPr>
        <w:tab/>
      </w:r>
    </w:p>
    <w:p w14:paraId="2C089191" w14:textId="77777777" w:rsidR="002C17F0" w:rsidRPr="001167D5" w:rsidRDefault="002C17F0" w:rsidP="002C17F0">
      <w:pPr>
        <w:spacing w:line="360" w:lineRule="auto"/>
        <w:ind w:left="567" w:right="539"/>
        <w:contextualSpacing/>
        <w:jc w:val="both"/>
        <w:rPr>
          <w:rFonts w:ascii="Palatino Linotype" w:hAnsi="Palatino Linotype" w:cs="Tahoma"/>
          <w:b/>
          <w:bCs/>
          <w:i/>
          <w:sz w:val="20"/>
        </w:rPr>
      </w:pPr>
      <w:r w:rsidRPr="001167D5">
        <w:rPr>
          <w:rFonts w:ascii="Palatino Linotype" w:hAnsi="Palatino Linotype" w:cs="Tahoma"/>
          <w:b/>
          <w:bCs/>
          <w:i/>
          <w:sz w:val="20"/>
        </w:rPr>
        <w:t>Instancia: Segunda Sala</w:t>
      </w:r>
      <w:r w:rsidRPr="001167D5">
        <w:rPr>
          <w:rFonts w:ascii="Palatino Linotype" w:hAnsi="Palatino Linotype" w:cs="Tahoma"/>
          <w:b/>
          <w:bCs/>
          <w:i/>
          <w:sz w:val="20"/>
        </w:rPr>
        <w:tab/>
      </w:r>
    </w:p>
    <w:p w14:paraId="5FC532D4" w14:textId="77777777" w:rsidR="002C17F0" w:rsidRPr="001167D5" w:rsidRDefault="002C17F0" w:rsidP="002C17F0">
      <w:pPr>
        <w:spacing w:line="360" w:lineRule="auto"/>
        <w:ind w:left="567" w:right="539"/>
        <w:contextualSpacing/>
        <w:jc w:val="both"/>
        <w:rPr>
          <w:rFonts w:ascii="Palatino Linotype" w:hAnsi="Palatino Linotype" w:cs="Tahoma"/>
          <w:b/>
          <w:bCs/>
          <w:i/>
          <w:sz w:val="20"/>
        </w:rPr>
      </w:pPr>
      <w:r w:rsidRPr="001167D5">
        <w:rPr>
          <w:rFonts w:ascii="Palatino Linotype" w:hAnsi="Palatino Linotype" w:cs="Tahoma"/>
          <w:b/>
          <w:bCs/>
          <w:i/>
          <w:sz w:val="20"/>
        </w:rPr>
        <w:t>Fuente: Gaceta del Semanario Judicial de la Federación Libro 69, Agosto de 2019, Tomo III</w:t>
      </w:r>
    </w:p>
    <w:p w14:paraId="2B3BCFF9" w14:textId="77777777" w:rsidR="002C17F0" w:rsidRPr="001167D5" w:rsidRDefault="002C17F0" w:rsidP="002C17F0">
      <w:pPr>
        <w:spacing w:line="360" w:lineRule="auto"/>
        <w:ind w:left="567" w:right="539"/>
        <w:contextualSpacing/>
        <w:jc w:val="both"/>
        <w:rPr>
          <w:rFonts w:ascii="Palatino Linotype" w:hAnsi="Palatino Linotype" w:cs="Tahoma"/>
          <w:b/>
          <w:bCs/>
          <w:i/>
          <w:sz w:val="20"/>
        </w:rPr>
      </w:pPr>
      <w:r w:rsidRPr="001167D5">
        <w:rPr>
          <w:rFonts w:ascii="Palatino Linotype" w:hAnsi="Palatino Linotype" w:cs="Tahoma"/>
          <w:b/>
          <w:bCs/>
          <w:i/>
          <w:sz w:val="20"/>
        </w:rPr>
        <w:t>Materia(s): Constitucional</w:t>
      </w:r>
    </w:p>
    <w:p w14:paraId="30A65EF2" w14:textId="77777777" w:rsidR="002C17F0" w:rsidRPr="001167D5" w:rsidRDefault="002C17F0" w:rsidP="002C17F0">
      <w:pPr>
        <w:spacing w:line="360" w:lineRule="auto"/>
        <w:ind w:left="567" w:right="539"/>
        <w:contextualSpacing/>
        <w:jc w:val="both"/>
        <w:rPr>
          <w:rFonts w:ascii="Palatino Linotype" w:hAnsi="Palatino Linotype" w:cs="Tahoma"/>
          <w:b/>
          <w:bCs/>
          <w:i/>
          <w:sz w:val="20"/>
        </w:rPr>
      </w:pPr>
      <w:r w:rsidRPr="001167D5">
        <w:rPr>
          <w:rFonts w:ascii="Palatino Linotype" w:hAnsi="Palatino Linotype" w:cs="Tahoma"/>
          <w:b/>
          <w:bCs/>
          <w:i/>
          <w:sz w:val="20"/>
        </w:rPr>
        <w:t>Tesis:</w:t>
      </w:r>
      <w:r w:rsidRPr="001167D5">
        <w:rPr>
          <w:rFonts w:ascii="Palatino Linotype" w:hAnsi="Palatino Linotype" w:cs="Tahoma"/>
          <w:b/>
          <w:bCs/>
          <w:i/>
          <w:sz w:val="20"/>
        </w:rPr>
        <w:tab/>
        <w:t>2a./J. 113/2019 (10a.)</w:t>
      </w:r>
    </w:p>
    <w:p w14:paraId="79953B6F" w14:textId="77777777" w:rsidR="002C17F0" w:rsidRPr="001167D5" w:rsidRDefault="002C17F0" w:rsidP="002C17F0">
      <w:pPr>
        <w:spacing w:line="360" w:lineRule="auto"/>
        <w:ind w:left="567" w:right="539"/>
        <w:contextualSpacing/>
        <w:jc w:val="both"/>
        <w:rPr>
          <w:rFonts w:ascii="Palatino Linotype" w:hAnsi="Palatino Linotype" w:cs="Tahoma"/>
          <w:b/>
          <w:bCs/>
          <w:i/>
          <w:sz w:val="20"/>
        </w:rPr>
      </w:pPr>
      <w:r w:rsidRPr="001167D5">
        <w:rPr>
          <w:rFonts w:ascii="Palatino Linotype" w:hAnsi="Palatino Linotype" w:cs="Tahoma"/>
          <w:b/>
          <w:bCs/>
          <w:i/>
          <w:sz w:val="20"/>
        </w:rPr>
        <w:t>Página: 2328</w:t>
      </w:r>
    </w:p>
    <w:p w14:paraId="6D160323" w14:textId="77777777" w:rsidR="002C17F0" w:rsidRPr="001167D5" w:rsidRDefault="002C17F0" w:rsidP="002C17F0">
      <w:pPr>
        <w:spacing w:line="360" w:lineRule="auto"/>
        <w:ind w:left="567" w:right="539"/>
        <w:contextualSpacing/>
        <w:jc w:val="both"/>
        <w:rPr>
          <w:rFonts w:ascii="Palatino Linotype" w:hAnsi="Palatino Linotype" w:cs="Tahoma"/>
          <w:b/>
          <w:bCs/>
          <w:i/>
          <w:sz w:val="20"/>
        </w:rPr>
      </w:pPr>
      <w:r w:rsidRPr="001167D5">
        <w:rPr>
          <w:rFonts w:ascii="Palatino Linotype" w:hAnsi="Palatino Linotype" w:cs="Tahoma"/>
          <w:b/>
          <w:bCs/>
          <w:i/>
          <w:sz w:val="20"/>
        </w:rPr>
        <w:t>DERECHOS DE LAS NIÑAS, NIÑOS Y ADOLESCENTES. EL INTERÉS SUPERIOR DEL MENOR SE ERIGE COMO LA CONSIDERACIÓN PRIMORDIAL QUE DEBE DE ATENDERSE EN CUALQUIER DECISIÓN QUE LES AFECTE.</w:t>
      </w:r>
    </w:p>
    <w:p w14:paraId="008352A0" w14:textId="77777777" w:rsidR="002C17F0" w:rsidRPr="001167D5" w:rsidRDefault="002C17F0" w:rsidP="002C17F0">
      <w:pPr>
        <w:spacing w:line="360" w:lineRule="auto"/>
        <w:ind w:left="567" w:right="539"/>
        <w:contextualSpacing/>
        <w:jc w:val="both"/>
        <w:rPr>
          <w:rFonts w:ascii="Palatino Linotype" w:hAnsi="Palatino Linotype" w:cs="Tahoma"/>
          <w:bCs/>
          <w:i/>
          <w:sz w:val="20"/>
        </w:rPr>
      </w:pPr>
    </w:p>
    <w:p w14:paraId="49056FCF" w14:textId="77777777" w:rsidR="002C17F0" w:rsidRPr="001167D5" w:rsidRDefault="002C17F0" w:rsidP="002C17F0">
      <w:pPr>
        <w:spacing w:line="360" w:lineRule="auto"/>
        <w:ind w:left="567" w:right="539"/>
        <w:contextualSpacing/>
        <w:jc w:val="both"/>
        <w:rPr>
          <w:rFonts w:ascii="Palatino Linotype" w:hAnsi="Palatino Linotype" w:cs="Tahoma"/>
          <w:b/>
          <w:bCs/>
          <w:i/>
          <w:sz w:val="20"/>
        </w:rPr>
      </w:pPr>
      <w:r w:rsidRPr="001167D5">
        <w:rPr>
          <w:rFonts w:ascii="Palatino Linotype" w:hAnsi="Palatino Linotype" w:cs="Tahoma"/>
          <w:bCs/>
          <w:i/>
          <w:sz w:val="20"/>
        </w:rPr>
        <w:t xml:space="preserve">El artículo 2, segundo párrafo, de la Ley General de los Derechos de Niñas, Niños y Adolescentes prevé que el "interés superior de la niñez deberá ser considerado de manera primordial en la toma de decisiones sobre una cuestión debatida que involucre niñas, niños y adolescentes"; </w:t>
      </w:r>
      <w:r w:rsidRPr="001167D5">
        <w:rPr>
          <w:rFonts w:ascii="Palatino Linotype" w:hAnsi="Palatino Linotype" w:cs="Tahoma"/>
          <w:b/>
          <w:bCs/>
          <w:i/>
          <w:sz w:val="20"/>
        </w:rPr>
        <w:t xml:space="preserve">de ahí que </w:t>
      </w:r>
      <w:r w:rsidRPr="001167D5">
        <w:rPr>
          <w:rFonts w:ascii="Palatino Linotype" w:hAnsi="Palatino Linotype" w:cs="Tahoma"/>
          <w:b/>
          <w:bCs/>
          <w:i/>
          <w:sz w:val="20"/>
        </w:rPr>
        <w:lastRenderedPageBreak/>
        <w:t>cuando se tome una decisión que les afecte en lo individual o colectivo, "se deberán evaluar y ponderar las posibles repercusiones a fin de salvaguardar su interés superior y sus garantías procesales".</w:t>
      </w:r>
      <w:r w:rsidRPr="001167D5">
        <w:rPr>
          <w:rFonts w:ascii="Palatino Linotype" w:hAnsi="Palatino Linotype" w:cs="Tahoma"/>
          <w:bCs/>
          <w:i/>
          <w:sz w:val="20"/>
        </w:rPr>
        <w:t xml:space="preserve"> Al respecto, </w:t>
      </w:r>
      <w:r w:rsidRPr="001167D5">
        <w:rPr>
          <w:rFonts w:ascii="Palatino Linotype" w:hAnsi="Palatino Linotype" w:cs="Tahoma"/>
          <w:b/>
          <w:bCs/>
          <w:i/>
          <w:sz w:val="20"/>
        </w:rPr>
        <w:t>debe destacarse que el interés superior del menor es un concepto triple, al ser: (I) un derecho sustantivo; (II) un principio jurídico interpretativo fundamental; y (III) una norma de procedimiento</w:t>
      </w:r>
      <w:r w:rsidRPr="001167D5">
        <w:rPr>
          <w:rFonts w:ascii="Palatino Linotype" w:hAnsi="Palatino Linotype" w:cs="Tahoma"/>
          <w:bCs/>
          <w:i/>
          <w:sz w:val="20"/>
        </w:rPr>
        <w:t xml:space="preserve">. El derecho del interés superior del menor prescribe que se observe "en todas las decisiones y medidas relacionadas con el niño", lo que significa que, en "cualquier medida que tenga que ver con uno o varios niños, su interés superior deberá ser una consideración primordial a que se atenderá", lo cual incluye no sólo las decisiones, sino también todos los actos, conductas, propuestas, servicios, procedimientos y demás iniciativas. Así, las decisiones particulares adoptadas por las autoridades administrativas –en esferas relativas a la educación, el cuidado, la salud, el medio ambiente, las condiciones de vida, la protección, el asilo, la inmigración y el acceso a la nacionalidad, entre otras– deben evaluarse en función del interés superior del niño y han de estar guiadas por él, al igual que todas las medidas de aplicación, ya que la consideración del interés superior del niño como algo primordial requiere tomar conciencia de la importancia de sus intereses en </w:t>
      </w:r>
      <w:r w:rsidRPr="001167D5">
        <w:rPr>
          <w:rFonts w:ascii="Palatino Linotype" w:hAnsi="Palatino Linotype" w:cs="Tahoma"/>
          <w:b/>
          <w:bCs/>
          <w:i/>
          <w:sz w:val="20"/>
        </w:rPr>
        <w:t>todas las medidas y tener la voluntad de dar prioridad a esos intereses en todas las circunstancias, pero sobre todo cuando las medidas tengan efectos indiscutibles en los niños de que se trate.</w:t>
      </w:r>
    </w:p>
    <w:p w14:paraId="709F2E11" w14:textId="77777777" w:rsidR="002C17F0" w:rsidRPr="001167D5" w:rsidRDefault="002C17F0" w:rsidP="002C17F0">
      <w:pPr>
        <w:spacing w:line="360" w:lineRule="auto"/>
        <w:ind w:left="567" w:right="539"/>
        <w:contextualSpacing/>
        <w:jc w:val="both"/>
        <w:rPr>
          <w:rFonts w:ascii="Palatino Linotype" w:hAnsi="Palatino Linotype" w:cs="Tahoma"/>
          <w:b/>
          <w:bCs/>
          <w:i/>
          <w:sz w:val="20"/>
        </w:rPr>
      </w:pPr>
    </w:p>
    <w:p w14:paraId="25B72DA0" w14:textId="77777777" w:rsidR="002C17F0" w:rsidRPr="001167D5" w:rsidRDefault="002C17F0" w:rsidP="002C17F0">
      <w:pPr>
        <w:spacing w:line="360" w:lineRule="auto"/>
        <w:ind w:left="567" w:right="539"/>
        <w:contextualSpacing/>
        <w:jc w:val="both"/>
        <w:rPr>
          <w:rFonts w:ascii="Palatino Linotype" w:hAnsi="Palatino Linotype" w:cs="Tahoma"/>
          <w:bCs/>
          <w:i/>
          <w:sz w:val="20"/>
        </w:rPr>
      </w:pPr>
      <w:r w:rsidRPr="001167D5">
        <w:rPr>
          <w:rFonts w:ascii="Palatino Linotype" w:hAnsi="Palatino Linotype" w:cs="Tahoma"/>
          <w:bCs/>
          <w:i/>
          <w:sz w:val="20"/>
        </w:rPr>
        <w:t>Amparo en revisión 203/2016. Rosario Celine Becerril Alba y otro. 9 de noviembre de 2016. Cinco votos de los Ministros Eduardo Medina Mora I., Javier Laynez Potisek, José Fernando Franco González Salas, Margarita Beatriz Luna Ramos y Alberto Pérez Dayán; votó en contra de consideraciones Margarita Beatriz Luna Ramos. Ponente: Alberto Pérez Dayán. Secretario: Isidro Emmanuel Muñoz Acevedo.</w:t>
      </w:r>
    </w:p>
    <w:p w14:paraId="7F5E18E1" w14:textId="77777777" w:rsidR="002C17F0" w:rsidRPr="001167D5" w:rsidRDefault="002C17F0" w:rsidP="002C17F0">
      <w:pPr>
        <w:spacing w:line="360" w:lineRule="auto"/>
        <w:ind w:left="567" w:right="539"/>
        <w:contextualSpacing/>
        <w:jc w:val="both"/>
        <w:rPr>
          <w:rFonts w:ascii="Palatino Linotype" w:hAnsi="Palatino Linotype" w:cs="Tahoma"/>
          <w:bCs/>
          <w:i/>
          <w:sz w:val="20"/>
        </w:rPr>
      </w:pPr>
    </w:p>
    <w:p w14:paraId="57ED740F" w14:textId="77777777" w:rsidR="002C17F0" w:rsidRPr="001167D5" w:rsidRDefault="002C17F0" w:rsidP="002C17F0">
      <w:pPr>
        <w:spacing w:line="360" w:lineRule="auto"/>
        <w:ind w:left="567" w:right="539"/>
        <w:contextualSpacing/>
        <w:jc w:val="both"/>
        <w:rPr>
          <w:rFonts w:ascii="Palatino Linotype" w:hAnsi="Palatino Linotype" w:cs="Tahoma"/>
          <w:bCs/>
          <w:i/>
          <w:sz w:val="20"/>
        </w:rPr>
      </w:pPr>
      <w:r w:rsidRPr="001167D5">
        <w:rPr>
          <w:rFonts w:ascii="Palatino Linotype" w:hAnsi="Palatino Linotype" w:cs="Tahoma"/>
          <w:bCs/>
          <w:i/>
          <w:sz w:val="20"/>
        </w:rPr>
        <w:t xml:space="preserve">Amparo en revisión 800/2017. Martha Patricia Martínez Macías y otra. 29 de noviembre de 2017. Cinco votos de los Ministros Alberto Pérez Dayán, Javier Laynez Potisek, José Fernando Franco González Salas, Margarita Beatriz Luna Ramos y Eduardo Medina Mora I.; votó en contra de consideraciones Margarita Beatriz Luna Ramos. Ponente: Alberto Pérez Dayán. Secretario: Isidro Emmanuel Muñoz Acevedo. </w:t>
      </w:r>
    </w:p>
    <w:p w14:paraId="4B8A5B42" w14:textId="77777777" w:rsidR="002C17F0" w:rsidRPr="001167D5" w:rsidRDefault="002C17F0" w:rsidP="002C17F0">
      <w:pPr>
        <w:spacing w:line="360" w:lineRule="auto"/>
        <w:ind w:left="567" w:right="539"/>
        <w:contextualSpacing/>
        <w:jc w:val="both"/>
        <w:rPr>
          <w:rFonts w:ascii="Palatino Linotype" w:hAnsi="Palatino Linotype" w:cs="Tahoma"/>
          <w:bCs/>
          <w:i/>
          <w:sz w:val="20"/>
        </w:rPr>
      </w:pPr>
    </w:p>
    <w:p w14:paraId="15DBDDD4" w14:textId="77777777" w:rsidR="002C17F0" w:rsidRPr="001167D5" w:rsidRDefault="002C17F0" w:rsidP="002C17F0">
      <w:pPr>
        <w:spacing w:line="360" w:lineRule="auto"/>
        <w:ind w:left="567" w:right="539"/>
        <w:contextualSpacing/>
        <w:jc w:val="both"/>
        <w:rPr>
          <w:rFonts w:ascii="Palatino Linotype" w:hAnsi="Palatino Linotype" w:cs="Tahoma"/>
          <w:bCs/>
          <w:i/>
          <w:sz w:val="20"/>
        </w:rPr>
      </w:pPr>
      <w:r w:rsidRPr="001167D5">
        <w:rPr>
          <w:rFonts w:ascii="Palatino Linotype" w:hAnsi="Palatino Linotype" w:cs="Tahoma"/>
          <w:bCs/>
          <w:i/>
          <w:sz w:val="20"/>
        </w:rPr>
        <w:t xml:space="preserve">Amparo directo 16/2018. Guadalupe García Olguín y otros. 10 de octubre de 2018. Unanimidad de cuatro votos de los Ministros Javier Laynez Potisek, José Fernando Franco González Salas, Margarita Beatriz Luna Ramos y Eduardo Medina Mora I.; votó en contra de consideraciones José Fernando Franco González Salas y con reserva de criterio Eduardo Medina Mora I.; unanimidad de votos en relación con el criterio contenido en esta tesis. Ausente: Alberto Pérez Dayán. Ponente: Margarita Beatriz Luna Ramos. Secretario: Alfredo Villeda Ayala. </w:t>
      </w:r>
    </w:p>
    <w:p w14:paraId="2ED9C23E" w14:textId="77777777" w:rsidR="002C17F0" w:rsidRPr="001167D5" w:rsidRDefault="002C17F0" w:rsidP="002C17F0">
      <w:pPr>
        <w:spacing w:line="360" w:lineRule="auto"/>
        <w:ind w:left="567" w:right="539"/>
        <w:contextualSpacing/>
        <w:jc w:val="both"/>
        <w:rPr>
          <w:rFonts w:ascii="Palatino Linotype" w:hAnsi="Palatino Linotype" w:cs="Tahoma"/>
          <w:bCs/>
          <w:i/>
          <w:sz w:val="20"/>
        </w:rPr>
      </w:pPr>
    </w:p>
    <w:p w14:paraId="72FD8F26" w14:textId="77777777" w:rsidR="002C17F0" w:rsidRPr="001167D5" w:rsidRDefault="002C17F0" w:rsidP="002C17F0">
      <w:pPr>
        <w:spacing w:line="360" w:lineRule="auto"/>
        <w:ind w:left="567" w:right="539"/>
        <w:contextualSpacing/>
        <w:jc w:val="both"/>
        <w:rPr>
          <w:rFonts w:ascii="Palatino Linotype" w:hAnsi="Palatino Linotype" w:cs="Tahoma"/>
          <w:bCs/>
          <w:i/>
          <w:sz w:val="20"/>
        </w:rPr>
      </w:pPr>
      <w:r w:rsidRPr="001167D5">
        <w:rPr>
          <w:rFonts w:ascii="Palatino Linotype" w:hAnsi="Palatino Linotype" w:cs="Tahoma"/>
          <w:bCs/>
          <w:i/>
          <w:sz w:val="20"/>
        </w:rPr>
        <w:t xml:space="preserve">Amparo directo 22/2016. Francisco López Espinoza, en su carácter de tutor legal del menor Francisco David Alonso López. 5 de diciembre de 2018. Mayoría de cuatro votos de los Ministros Alberto Pérez Dayán, Javier Laynez Potisek, Margarita Beatriz Luna Ramos y Eduardo Medina Mora I.; unanimidad de votos en relación con el criterio contenido en esta tesis; votó en contra de algunas consideraciones Margarita Beatriz Luna Ramos. Disidente: José Fernando Franco González Salas. Ponente: Javier Laynez Potisek. Secretario: Ron Snipeliski Nischli. </w:t>
      </w:r>
    </w:p>
    <w:p w14:paraId="0469A1B7" w14:textId="77777777" w:rsidR="002C17F0" w:rsidRPr="001167D5" w:rsidRDefault="002C17F0" w:rsidP="002C17F0">
      <w:pPr>
        <w:spacing w:line="360" w:lineRule="auto"/>
        <w:ind w:left="567" w:right="539"/>
        <w:contextualSpacing/>
        <w:jc w:val="both"/>
        <w:rPr>
          <w:rFonts w:ascii="Palatino Linotype" w:hAnsi="Palatino Linotype" w:cs="Tahoma"/>
          <w:bCs/>
          <w:i/>
          <w:sz w:val="20"/>
        </w:rPr>
      </w:pPr>
    </w:p>
    <w:p w14:paraId="636D9529" w14:textId="77777777" w:rsidR="002C17F0" w:rsidRPr="001167D5" w:rsidRDefault="002C17F0" w:rsidP="002C17F0">
      <w:pPr>
        <w:spacing w:line="360" w:lineRule="auto"/>
        <w:ind w:left="567" w:right="539"/>
        <w:contextualSpacing/>
        <w:jc w:val="both"/>
        <w:rPr>
          <w:rFonts w:ascii="Palatino Linotype" w:hAnsi="Palatino Linotype" w:cs="Tahoma"/>
          <w:bCs/>
          <w:i/>
          <w:sz w:val="20"/>
        </w:rPr>
      </w:pPr>
      <w:r w:rsidRPr="001167D5">
        <w:rPr>
          <w:rFonts w:ascii="Palatino Linotype" w:hAnsi="Palatino Linotype" w:cs="Tahoma"/>
          <w:bCs/>
          <w:i/>
          <w:sz w:val="20"/>
        </w:rPr>
        <w:t xml:space="preserve">Amparo en revisión 815/2018. Julia Baltazar Granados, en representación del menor Fabio Ángel Baca Baltazar. 22 de mayo de 2019. Mayoría de cuatro votos de los Ministros Alberto Pérez Dayán, Eduardo Medina Mora I., José Fernando Franco González Salas y Javier Laynez Potisek. Disidente y Ponente: Yasmín Esquivel Mossa. Secretario: Fausto Gorbea Ortiz. </w:t>
      </w:r>
    </w:p>
    <w:p w14:paraId="7E00421F" w14:textId="77777777" w:rsidR="002C17F0" w:rsidRPr="001167D5" w:rsidRDefault="002C17F0" w:rsidP="002C17F0">
      <w:pPr>
        <w:spacing w:line="360" w:lineRule="auto"/>
        <w:ind w:left="567" w:right="539"/>
        <w:contextualSpacing/>
        <w:jc w:val="both"/>
        <w:rPr>
          <w:rFonts w:ascii="Palatino Linotype" w:hAnsi="Palatino Linotype" w:cs="Tahoma"/>
          <w:bCs/>
          <w:i/>
          <w:sz w:val="20"/>
        </w:rPr>
      </w:pPr>
    </w:p>
    <w:p w14:paraId="6AF5A59B" w14:textId="77777777" w:rsidR="002C17F0" w:rsidRPr="001167D5" w:rsidRDefault="002C17F0" w:rsidP="002C17F0">
      <w:pPr>
        <w:spacing w:line="360" w:lineRule="auto"/>
        <w:ind w:left="567" w:right="539"/>
        <w:contextualSpacing/>
        <w:jc w:val="both"/>
        <w:rPr>
          <w:rFonts w:ascii="Palatino Linotype" w:hAnsi="Palatino Linotype" w:cs="Tahoma"/>
          <w:bCs/>
          <w:sz w:val="20"/>
        </w:rPr>
      </w:pPr>
      <w:r w:rsidRPr="001167D5">
        <w:rPr>
          <w:rFonts w:ascii="Palatino Linotype" w:hAnsi="Palatino Linotype" w:cs="Tahoma"/>
          <w:bCs/>
          <w:i/>
          <w:sz w:val="20"/>
        </w:rPr>
        <w:t>Tesis de jurisprudencia 113/2019 (10a.). Aprobada por la Segunda Sala de este Alto Tribunal, en sesión privada del diez de julio de dos mil diecinueve.</w:t>
      </w:r>
    </w:p>
    <w:p w14:paraId="6CDF1F5F" w14:textId="77777777" w:rsidR="002C17F0" w:rsidRPr="001167D5" w:rsidRDefault="002C17F0" w:rsidP="002C17F0">
      <w:pPr>
        <w:spacing w:line="360" w:lineRule="auto"/>
        <w:ind w:left="567" w:right="539"/>
        <w:contextualSpacing/>
        <w:jc w:val="both"/>
        <w:rPr>
          <w:rFonts w:ascii="Palatino Linotype" w:hAnsi="Palatino Linotype" w:cs="Tahoma"/>
          <w:bCs/>
          <w:sz w:val="20"/>
        </w:rPr>
      </w:pPr>
    </w:p>
    <w:p w14:paraId="46C3674A" w14:textId="77777777" w:rsidR="002C17F0" w:rsidRPr="001167D5" w:rsidRDefault="002C17F0" w:rsidP="002C17F0">
      <w:pPr>
        <w:spacing w:line="360" w:lineRule="auto"/>
        <w:ind w:left="567" w:right="539"/>
        <w:contextualSpacing/>
        <w:jc w:val="both"/>
        <w:rPr>
          <w:rFonts w:ascii="Palatino Linotype" w:hAnsi="Palatino Linotype" w:cs="Tahoma"/>
          <w:bCs/>
          <w:i/>
          <w:sz w:val="20"/>
        </w:rPr>
      </w:pPr>
      <w:r w:rsidRPr="001167D5">
        <w:rPr>
          <w:rFonts w:ascii="Palatino Linotype" w:hAnsi="Palatino Linotype" w:cs="Tahoma"/>
          <w:bCs/>
          <w:i/>
          <w:sz w:val="20"/>
        </w:rPr>
        <w:t>Esta tesis se publicó el viernes 16 de agosto de 2019 a las 10:24 horas en el Semanario Judicial de la Federación y, por ende, se considera de aplicación obligatoria a partir del lunes 19 de agosto de 2019, para los efectos previstos en el punto séptimo del Acuerdo General Plenario 19/2013.</w:t>
      </w:r>
    </w:p>
    <w:p w14:paraId="515E4B63" w14:textId="77777777" w:rsidR="002C17F0" w:rsidRDefault="002C17F0" w:rsidP="002C17F0">
      <w:pPr>
        <w:spacing w:line="360" w:lineRule="auto"/>
        <w:contextualSpacing/>
        <w:jc w:val="both"/>
        <w:rPr>
          <w:rFonts w:ascii="Palatino Linotype" w:hAnsi="Palatino Linotype" w:cs="Tahoma"/>
          <w:bCs/>
        </w:rPr>
      </w:pPr>
    </w:p>
    <w:p w14:paraId="1B2C4203" w14:textId="2E231BC7" w:rsidR="004645C9" w:rsidRDefault="002C17F0" w:rsidP="008B32E6">
      <w:pPr>
        <w:spacing w:line="360" w:lineRule="auto"/>
        <w:contextualSpacing/>
        <w:jc w:val="both"/>
        <w:rPr>
          <w:rFonts w:ascii="Palatino Linotype" w:hAnsi="Palatino Linotype" w:cs="Tahoma"/>
          <w:bCs/>
        </w:rPr>
      </w:pPr>
      <w:r>
        <w:rPr>
          <w:rFonts w:ascii="Palatino Linotype" w:hAnsi="Palatino Linotype" w:cs="Tahoma"/>
          <w:bCs/>
        </w:rPr>
        <w:t xml:space="preserve">Por lo antes expuesto se advierte que las autoridades del Estado deben procurar que las decisiones que se tomen garanticen y protejan a los niños, niñas y adolescentes en el proceso </w:t>
      </w:r>
      <w:r>
        <w:rPr>
          <w:rFonts w:ascii="Palatino Linotype" w:hAnsi="Palatino Linotype" w:cs="Tahoma"/>
          <w:bCs/>
        </w:rPr>
        <w:lastRenderedPageBreak/>
        <w:t>de garantizar sus derechos; aunado a que en cualquier controversia, se deberá tomar la decisión que más beneficie a los menores.</w:t>
      </w:r>
      <w:r w:rsidR="00E631E8">
        <w:rPr>
          <w:rFonts w:ascii="Palatino Linotype" w:hAnsi="Palatino Linotype" w:cs="Tahoma"/>
          <w:bCs/>
        </w:rPr>
        <w:t xml:space="preserve"> </w:t>
      </w:r>
      <w:r>
        <w:rPr>
          <w:rFonts w:ascii="Palatino Linotype" w:hAnsi="Palatino Linotype" w:cs="Tahoma"/>
          <w:bCs/>
        </w:rPr>
        <w:t xml:space="preserve">Bajo el contexto normativo y la aplicación de los principios </w:t>
      </w:r>
      <w:r>
        <w:rPr>
          <w:rFonts w:ascii="Palatino Linotype" w:hAnsi="Palatino Linotype" w:cs="Tahoma"/>
          <w:bCs/>
          <w:i/>
        </w:rPr>
        <w:t xml:space="preserve">pro persona </w:t>
      </w:r>
      <w:r>
        <w:rPr>
          <w:rFonts w:ascii="Palatino Linotype" w:hAnsi="Palatino Linotype" w:cs="Tahoma"/>
          <w:bCs/>
        </w:rPr>
        <w:t xml:space="preserve">y de </w:t>
      </w:r>
      <w:r>
        <w:rPr>
          <w:rFonts w:ascii="Palatino Linotype" w:hAnsi="Palatino Linotype" w:cs="Tahoma"/>
          <w:bCs/>
          <w:i/>
        </w:rPr>
        <w:t xml:space="preserve">interés superior de los niños, niñas y adolescentes, </w:t>
      </w:r>
      <w:r>
        <w:rPr>
          <w:rFonts w:ascii="Palatino Linotype" w:hAnsi="Palatino Linotype" w:cs="Tahoma"/>
          <w:bCs/>
        </w:rPr>
        <w:t xml:space="preserve">así como bajo los principios que garantizan el ejercicio de los </w:t>
      </w:r>
      <w:r w:rsidRPr="00C27724">
        <w:rPr>
          <w:rFonts w:ascii="Palatino Linotype" w:hAnsi="Palatino Linotype" w:cs="Tahoma"/>
          <w:bCs/>
        </w:rPr>
        <w:t>Derechos ARCO (Acceso, Rectificación, Cancelación y</w:t>
      </w:r>
      <w:r w:rsidRPr="008D0087">
        <w:rPr>
          <w:rFonts w:ascii="Palatino Linotype" w:hAnsi="Palatino Linotype" w:cs="Tahoma"/>
          <w:bCs/>
        </w:rPr>
        <w:t xml:space="preserve"> Oposición de datos personales)</w:t>
      </w:r>
      <w:r>
        <w:rPr>
          <w:rFonts w:ascii="Palatino Linotype" w:hAnsi="Palatino Linotype" w:cs="Tahoma"/>
          <w:bCs/>
        </w:rPr>
        <w:t xml:space="preserve"> de los menores que hacen uso de los mismos a través de sus representantes, </w:t>
      </w:r>
      <w:r w:rsidR="008B32E6">
        <w:rPr>
          <w:rFonts w:ascii="Palatino Linotype" w:hAnsi="Palatino Linotype" w:cs="Tahoma"/>
          <w:bCs/>
        </w:rPr>
        <w:t xml:space="preserve">considero que en el presente caso el Sujeto Obligado debió omitir dar respuesta en sentido afirmativo y/o negativo ya que en el presente caso puede haber afectaciones al </w:t>
      </w:r>
      <w:r w:rsidR="008B32E6" w:rsidRPr="008B32E6">
        <w:rPr>
          <w:rFonts w:ascii="Palatino Linotype" w:hAnsi="Palatino Linotype" w:cs="Tahoma"/>
          <w:bCs/>
        </w:rPr>
        <w:t xml:space="preserve">interés superior de </w:t>
      </w:r>
      <w:r w:rsidR="008B32E6">
        <w:rPr>
          <w:rFonts w:ascii="Palatino Linotype" w:hAnsi="Palatino Linotype" w:cs="Tahoma"/>
          <w:bCs/>
        </w:rPr>
        <w:t>un menor.</w:t>
      </w:r>
    </w:p>
    <w:p w14:paraId="13ED5A51" w14:textId="13AE91AC" w:rsidR="00E631E8" w:rsidRDefault="00E631E8" w:rsidP="008B32E6">
      <w:pPr>
        <w:spacing w:line="360" w:lineRule="auto"/>
        <w:contextualSpacing/>
        <w:jc w:val="both"/>
        <w:rPr>
          <w:rFonts w:ascii="Palatino Linotype" w:hAnsi="Palatino Linotype" w:cs="Tahoma"/>
          <w:bCs/>
        </w:rPr>
      </w:pPr>
    </w:p>
    <w:p w14:paraId="0BED394C" w14:textId="62834EBC" w:rsidR="008A5BC5" w:rsidRDefault="00E631E8" w:rsidP="00B2336C">
      <w:pPr>
        <w:spacing w:line="360" w:lineRule="auto"/>
        <w:contextualSpacing/>
        <w:jc w:val="both"/>
        <w:rPr>
          <w:rFonts w:ascii="Palatino Linotype" w:hAnsi="Palatino Linotype" w:cs="Tahoma"/>
          <w:bCs/>
        </w:rPr>
      </w:pPr>
      <w:r>
        <w:rPr>
          <w:rFonts w:ascii="Palatino Linotype" w:hAnsi="Palatino Linotype" w:cs="Tahoma"/>
          <w:bCs/>
        </w:rPr>
        <w:t>Por tal motivo es imperativo que la Secretaría de Educación primero acredite la plena vigencia de los derechos de los padres y su identidad, antes de entregar información sensible de menores de edad</w:t>
      </w:r>
      <w:r w:rsidR="00B2336C">
        <w:rPr>
          <w:rFonts w:ascii="Palatino Linotype" w:hAnsi="Palatino Linotype" w:cs="Tahoma"/>
          <w:bCs/>
        </w:rPr>
        <w:t>, ya que es su obligación tomar todas las medidas de protección en favor de los niños, niñas y adolescentes.</w:t>
      </w:r>
    </w:p>
    <w:p w14:paraId="62705A90" w14:textId="77777777" w:rsidR="00B2336C" w:rsidRDefault="00B2336C" w:rsidP="00B2336C">
      <w:pPr>
        <w:spacing w:line="360" w:lineRule="auto"/>
        <w:contextualSpacing/>
        <w:jc w:val="both"/>
        <w:rPr>
          <w:rFonts w:ascii="Palatino Linotype" w:hAnsi="Palatino Linotype" w:cs="Tahoma"/>
        </w:rPr>
      </w:pPr>
    </w:p>
    <w:p w14:paraId="26BBC1AC" w14:textId="091B0CC3" w:rsidR="003512C9" w:rsidRDefault="003053C0" w:rsidP="00800EBE">
      <w:pPr>
        <w:spacing w:before="240" w:line="360" w:lineRule="auto"/>
        <w:contextualSpacing/>
        <w:jc w:val="both"/>
        <w:rPr>
          <w:rFonts w:ascii="Palatino Linotype" w:hAnsi="Palatino Linotype" w:cs="Tahoma"/>
        </w:rPr>
      </w:pPr>
      <w:r w:rsidRPr="004A08D3">
        <w:rPr>
          <w:rFonts w:ascii="Palatino Linotype" w:hAnsi="Palatino Linotype" w:cs="Tahoma"/>
        </w:rPr>
        <w:t xml:space="preserve">Así, con base en los razonamientos expuestos, se emite la presente </w:t>
      </w:r>
      <w:r w:rsidR="00AE42C2" w:rsidRPr="008A5BC5">
        <w:rPr>
          <w:rFonts w:ascii="Palatino Linotype" w:hAnsi="Palatino Linotype" w:cs="Tahoma"/>
          <w:b/>
        </w:rPr>
        <w:t>O</w:t>
      </w:r>
      <w:r w:rsidRPr="008A5BC5">
        <w:rPr>
          <w:rFonts w:ascii="Palatino Linotype" w:hAnsi="Palatino Linotype" w:cs="Tahoma"/>
          <w:b/>
        </w:rPr>
        <w:t xml:space="preserve">pinión </w:t>
      </w:r>
      <w:r w:rsidR="00AE42C2" w:rsidRPr="008A5BC5">
        <w:rPr>
          <w:rFonts w:ascii="Palatino Linotype" w:hAnsi="Palatino Linotype" w:cs="Tahoma"/>
          <w:b/>
        </w:rPr>
        <w:t>P</w:t>
      </w:r>
      <w:r w:rsidRPr="008A5BC5">
        <w:rPr>
          <w:rFonts w:ascii="Palatino Linotype" w:hAnsi="Palatino Linotype" w:cs="Tahoma"/>
          <w:b/>
        </w:rPr>
        <w:t>articular</w:t>
      </w:r>
      <w:r w:rsidRPr="004A08D3">
        <w:rPr>
          <w:rFonts w:ascii="Palatino Linotype" w:hAnsi="Palatino Linotype" w:cs="Tahoma"/>
        </w:rPr>
        <w:t>.</w:t>
      </w:r>
      <w:r w:rsidR="008B32E6">
        <w:rPr>
          <w:rFonts w:ascii="Palatino Linotype" w:hAnsi="Palatino Linotype" w:cs="Tahoma"/>
        </w:rPr>
        <w:t xml:space="preserve"> --</w:t>
      </w:r>
      <w:r w:rsidR="001E0147">
        <w:rPr>
          <w:rFonts w:ascii="Palatino Linotype" w:hAnsi="Palatino Linotype" w:cs="Tahoma"/>
        </w:rPr>
        <w:t>-------------------------------------------------------------------------------------------------------------------------------------------------------------------------------------------------------------------------------------------------</w:t>
      </w:r>
      <w:r w:rsidR="008B32E6">
        <w:rPr>
          <w:rFonts w:ascii="Palatino Linotype" w:hAnsi="Palatino Linotype" w:cs="Tahoma"/>
        </w:rPr>
        <w:t>--</w:t>
      </w:r>
    </w:p>
    <w:p w14:paraId="0C01ABA5" w14:textId="77777777" w:rsidR="008B32E6" w:rsidRDefault="008B32E6" w:rsidP="00800EBE">
      <w:pPr>
        <w:spacing w:before="240" w:line="360" w:lineRule="auto"/>
        <w:contextualSpacing/>
        <w:jc w:val="both"/>
        <w:rPr>
          <w:rFonts w:ascii="Palatino Linotype" w:hAnsi="Palatino Linotype" w:cs="Tahoma"/>
        </w:rPr>
      </w:pPr>
    </w:p>
    <w:p w14:paraId="37228959" w14:textId="77777777" w:rsidR="008B32E6" w:rsidRDefault="008B32E6" w:rsidP="00800EBE">
      <w:pPr>
        <w:spacing w:before="240" w:line="360" w:lineRule="auto"/>
        <w:contextualSpacing/>
        <w:jc w:val="both"/>
        <w:rPr>
          <w:rFonts w:ascii="Palatino Linotype" w:hAnsi="Palatino Linotype" w:cs="Tahoma"/>
        </w:rPr>
      </w:pPr>
    </w:p>
    <w:p w14:paraId="42FBDBD8" w14:textId="77777777" w:rsidR="008B32E6" w:rsidRDefault="008B32E6" w:rsidP="00800EBE">
      <w:pPr>
        <w:spacing w:before="240" w:line="360" w:lineRule="auto"/>
        <w:contextualSpacing/>
        <w:jc w:val="both"/>
        <w:rPr>
          <w:rFonts w:ascii="Palatino Linotype" w:hAnsi="Palatino Linotype" w:cs="Tahoma"/>
        </w:rPr>
      </w:pPr>
    </w:p>
    <w:p w14:paraId="532DD65E" w14:textId="77777777" w:rsidR="008B32E6" w:rsidRDefault="008B32E6" w:rsidP="00800EBE">
      <w:pPr>
        <w:spacing w:before="240" w:line="360" w:lineRule="auto"/>
        <w:contextualSpacing/>
        <w:jc w:val="both"/>
        <w:rPr>
          <w:rFonts w:ascii="Palatino Linotype" w:hAnsi="Palatino Linotype" w:cs="Tahoma"/>
        </w:rPr>
      </w:pPr>
    </w:p>
    <w:p w14:paraId="2085B961" w14:textId="77777777" w:rsidR="008B32E6" w:rsidRDefault="008B32E6" w:rsidP="00800EBE">
      <w:pPr>
        <w:spacing w:before="240" w:line="360" w:lineRule="auto"/>
        <w:contextualSpacing/>
        <w:jc w:val="both"/>
        <w:rPr>
          <w:rFonts w:ascii="Palatino Linotype" w:hAnsi="Palatino Linotype" w:cs="Tahoma"/>
        </w:rPr>
      </w:pPr>
    </w:p>
    <w:p w14:paraId="452580ED" w14:textId="77777777" w:rsidR="008B32E6" w:rsidRDefault="008B32E6" w:rsidP="00800EBE">
      <w:pPr>
        <w:spacing w:before="240" w:line="360" w:lineRule="auto"/>
        <w:contextualSpacing/>
        <w:jc w:val="both"/>
        <w:rPr>
          <w:rFonts w:ascii="Palatino Linotype" w:hAnsi="Palatino Linotype" w:cs="Tahoma"/>
        </w:rPr>
      </w:pPr>
    </w:p>
    <w:p w14:paraId="4ACFD0E6" w14:textId="77777777" w:rsidR="008B32E6" w:rsidRDefault="008B32E6" w:rsidP="00800EBE">
      <w:pPr>
        <w:spacing w:before="240" w:line="360" w:lineRule="auto"/>
        <w:contextualSpacing/>
        <w:jc w:val="both"/>
        <w:rPr>
          <w:rFonts w:ascii="Palatino Linotype" w:hAnsi="Palatino Linotype" w:cs="Tahoma"/>
        </w:rPr>
      </w:pPr>
    </w:p>
    <w:p w14:paraId="218DE85D" w14:textId="77777777" w:rsidR="008B32E6" w:rsidRDefault="008B32E6" w:rsidP="00800EBE">
      <w:pPr>
        <w:spacing w:before="240" w:line="360" w:lineRule="auto"/>
        <w:contextualSpacing/>
        <w:jc w:val="both"/>
        <w:rPr>
          <w:rFonts w:ascii="Palatino Linotype" w:hAnsi="Palatino Linotype" w:cs="Tahoma"/>
        </w:rPr>
      </w:pPr>
    </w:p>
    <w:p w14:paraId="5C180556" w14:textId="77777777" w:rsidR="008B32E6" w:rsidRDefault="008B32E6" w:rsidP="00800EBE">
      <w:pPr>
        <w:spacing w:before="240" w:line="360" w:lineRule="auto"/>
        <w:contextualSpacing/>
        <w:jc w:val="both"/>
        <w:rPr>
          <w:rFonts w:ascii="Palatino Linotype" w:hAnsi="Palatino Linotype" w:cs="Tahoma"/>
        </w:rPr>
      </w:pPr>
    </w:p>
    <w:p w14:paraId="20918E02" w14:textId="77777777" w:rsidR="008B32E6" w:rsidRDefault="008B32E6" w:rsidP="00800EBE">
      <w:pPr>
        <w:spacing w:before="240" w:line="360" w:lineRule="auto"/>
        <w:contextualSpacing/>
        <w:jc w:val="both"/>
        <w:rPr>
          <w:rFonts w:ascii="Palatino Linotype" w:hAnsi="Palatino Linotype" w:cs="Tahoma"/>
        </w:rPr>
      </w:pPr>
    </w:p>
    <w:p w14:paraId="0B01AD6F" w14:textId="77777777" w:rsidR="008B32E6" w:rsidRDefault="008B32E6" w:rsidP="00800EBE">
      <w:pPr>
        <w:spacing w:before="240" w:line="360" w:lineRule="auto"/>
        <w:contextualSpacing/>
        <w:jc w:val="both"/>
        <w:rPr>
          <w:rFonts w:ascii="Palatino Linotype" w:hAnsi="Palatino Linotype" w:cs="Tahoma"/>
        </w:rPr>
      </w:pPr>
    </w:p>
    <w:p w14:paraId="5A673278" w14:textId="77777777" w:rsidR="008B32E6" w:rsidRDefault="008B32E6" w:rsidP="00800EBE">
      <w:pPr>
        <w:spacing w:before="240" w:line="360" w:lineRule="auto"/>
        <w:contextualSpacing/>
        <w:jc w:val="both"/>
        <w:rPr>
          <w:rFonts w:ascii="Palatino Linotype" w:hAnsi="Palatino Linotype" w:cs="Tahoma"/>
        </w:rPr>
      </w:pPr>
    </w:p>
    <w:p w14:paraId="440819CF" w14:textId="77777777" w:rsidR="008B32E6" w:rsidRDefault="008B32E6" w:rsidP="00800EBE">
      <w:pPr>
        <w:spacing w:before="240" w:line="360" w:lineRule="auto"/>
        <w:contextualSpacing/>
        <w:jc w:val="both"/>
        <w:rPr>
          <w:rFonts w:ascii="Palatino Linotype" w:hAnsi="Palatino Linotype" w:cs="Tahoma"/>
        </w:rPr>
      </w:pPr>
    </w:p>
    <w:p w14:paraId="05D2E97A" w14:textId="77777777" w:rsidR="008B32E6" w:rsidRDefault="008B32E6" w:rsidP="00800EBE">
      <w:pPr>
        <w:spacing w:before="240" w:line="360" w:lineRule="auto"/>
        <w:contextualSpacing/>
        <w:jc w:val="both"/>
        <w:rPr>
          <w:rFonts w:ascii="Palatino Linotype" w:hAnsi="Palatino Linotype" w:cs="Tahoma"/>
        </w:rPr>
      </w:pPr>
    </w:p>
    <w:p w14:paraId="0753A78B" w14:textId="77777777" w:rsidR="008B32E6" w:rsidRDefault="008B32E6" w:rsidP="00800EBE">
      <w:pPr>
        <w:spacing w:before="240" w:line="360" w:lineRule="auto"/>
        <w:contextualSpacing/>
        <w:jc w:val="both"/>
        <w:rPr>
          <w:rFonts w:ascii="Palatino Linotype" w:hAnsi="Palatino Linotype" w:cs="Tahoma"/>
        </w:rPr>
      </w:pPr>
    </w:p>
    <w:p w14:paraId="2F4F3825" w14:textId="77777777" w:rsidR="008B32E6" w:rsidRDefault="008B32E6" w:rsidP="00800EBE">
      <w:pPr>
        <w:spacing w:before="240" w:line="360" w:lineRule="auto"/>
        <w:contextualSpacing/>
        <w:jc w:val="both"/>
        <w:rPr>
          <w:rFonts w:ascii="Palatino Linotype" w:hAnsi="Palatino Linotype" w:cs="Tahoma"/>
        </w:rPr>
      </w:pPr>
    </w:p>
    <w:p w14:paraId="0D29A335" w14:textId="77777777" w:rsidR="008B32E6" w:rsidRDefault="008B32E6" w:rsidP="00800EBE">
      <w:pPr>
        <w:spacing w:before="240" w:line="360" w:lineRule="auto"/>
        <w:contextualSpacing/>
        <w:jc w:val="both"/>
        <w:rPr>
          <w:rFonts w:ascii="Palatino Linotype" w:hAnsi="Palatino Linotype" w:cs="Tahoma"/>
        </w:rPr>
      </w:pPr>
    </w:p>
    <w:p w14:paraId="1166F1D6" w14:textId="77777777" w:rsidR="008B32E6" w:rsidRDefault="008B32E6" w:rsidP="00800EBE">
      <w:pPr>
        <w:spacing w:before="240" w:line="360" w:lineRule="auto"/>
        <w:contextualSpacing/>
        <w:jc w:val="both"/>
        <w:rPr>
          <w:rFonts w:ascii="Palatino Linotype" w:hAnsi="Palatino Linotype" w:cs="Tahoma"/>
        </w:rPr>
      </w:pPr>
    </w:p>
    <w:p w14:paraId="35586075" w14:textId="77777777" w:rsidR="008B32E6" w:rsidRDefault="008B32E6" w:rsidP="00800EBE">
      <w:pPr>
        <w:spacing w:before="240" w:line="360" w:lineRule="auto"/>
        <w:contextualSpacing/>
        <w:jc w:val="both"/>
        <w:rPr>
          <w:rFonts w:ascii="Palatino Linotype" w:hAnsi="Palatino Linotype" w:cs="Tahoma"/>
        </w:rPr>
      </w:pPr>
    </w:p>
    <w:p w14:paraId="1A792772" w14:textId="77777777" w:rsidR="008B32E6" w:rsidRDefault="008B32E6" w:rsidP="00800EBE">
      <w:pPr>
        <w:spacing w:before="240" w:line="360" w:lineRule="auto"/>
        <w:contextualSpacing/>
        <w:jc w:val="both"/>
        <w:rPr>
          <w:rFonts w:ascii="Palatino Linotype" w:hAnsi="Palatino Linotype" w:cs="Tahoma"/>
        </w:rPr>
      </w:pPr>
    </w:p>
    <w:p w14:paraId="34EB0A12" w14:textId="77777777" w:rsidR="008B32E6" w:rsidRDefault="008B32E6" w:rsidP="00800EBE">
      <w:pPr>
        <w:spacing w:before="240" w:line="360" w:lineRule="auto"/>
        <w:contextualSpacing/>
        <w:jc w:val="both"/>
        <w:rPr>
          <w:rFonts w:ascii="Palatino Linotype" w:hAnsi="Palatino Linotype" w:cs="Tahoma"/>
        </w:rPr>
      </w:pPr>
    </w:p>
    <w:p w14:paraId="37EE1D38" w14:textId="77777777" w:rsidR="008B32E6" w:rsidRDefault="008B32E6" w:rsidP="00800EBE">
      <w:pPr>
        <w:spacing w:before="240" w:line="360" w:lineRule="auto"/>
        <w:contextualSpacing/>
        <w:jc w:val="both"/>
        <w:rPr>
          <w:rFonts w:ascii="Palatino Linotype" w:hAnsi="Palatino Linotype" w:cs="Tahoma"/>
        </w:rPr>
      </w:pPr>
    </w:p>
    <w:p w14:paraId="44E3CE87" w14:textId="77777777" w:rsidR="008B32E6" w:rsidRDefault="008B32E6" w:rsidP="00800EBE">
      <w:pPr>
        <w:spacing w:before="240" w:line="360" w:lineRule="auto"/>
        <w:contextualSpacing/>
        <w:jc w:val="both"/>
        <w:rPr>
          <w:rFonts w:ascii="Palatino Linotype" w:hAnsi="Palatino Linotype" w:cs="Tahoma"/>
        </w:rPr>
      </w:pPr>
    </w:p>
    <w:p w14:paraId="7276DB12" w14:textId="77777777" w:rsidR="008B32E6" w:rsidRPr="004A08D3" w:rsidRDefault="008B32E6" w:rsidP="00800EBE">
      <w:pPr>
        <w:spacing w:before="240" w:line="360" w:lineRule="auto"/>
        <w:contextualSpacing/>
        <w:jc w:val="both"/>
        <w:rPr>
          <w:rFonts w:ascii="Palatino Linotype" w:hAnsi="Palatino Linotype" w:cs="Tahoma"/>
        </w:rPr>
      </w:pPr>
    </w:p>
    <w:p w14:paraId="54BF2D0F" w14:textId="77777777" w:rsidR="00307BFA" w:rsidRPr="00800EBE" w:rsidRDefault="00307BFA" w:rsidP="00800EBE">
      <w:pPr>
        <w:spacing w:before="240" w:line="360" w:lineRule="auto"/>
        <w:contextualSpacing/>
        <w:jc w:val="center"/>
        <w:rPr>
          <w:rFonts w:ascii="Palatino Linotype" w:hAnsi="Palatino Linotype" w:cs="Tahoma"/>
          <w:b/>
        </w:rPr>
      </w:pPr>
    </w:p>
    <w:sectPr w:rsidR="00307BFA" w:rsidRPr="00800EBE" w:rsidSect="00DE76D1">
      <w:headerReference w:type="default" r:id="rId10"/>
      <w:pgSz w:w="12240" w:h="15840" w:code="1"/>
      <w:pgMar w:top="1053"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0B0E69" w14:textId="77777777" w:rsidR="00742B69" w:rsidRDefault="00742B69" w:rsidP="00EE29F6">
      <w:pPr>
        <w:spacing w:after="0" w:line="240" w:lineRule="auto"/>
      </w:pPr>
      <w:r>
        <w:separator/>
      </w:r>
    </w:p>
  </w:endnote>
  <w:endnote w:type="continuationSeparator" w:id="0">
    <w:p w14:paraId="62156470" w14:textId="77777777" w:rsidR="00742B69" w:rsidRDefault="00742B69" w:rsidP="00EE2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19AA19" w14:textId="77777777" w:rsidR="00742B69" w:rsidRDefault="00742B69" w:rsidP="00EE29F6">
      <w:pPr>
        <w:spacing w:after="0" w:line="240" w:lineRule="auto"/>
      </w:pPr>
      <w:r>
        <w:separator/>
      </w:r>
    </w:p>
  </w:footnote>
  <w:footnote w:type="continuationSeparator" w:id="0">
    <w:p w14:paraId="27CF96B1" w14:textId="77777777" w:rsidR="00742B69" w:rsidRDefault="00742B69" w:rsidP="00EE29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9567" w:type="dxa"/>
      <w:tblInd w:w="-6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22"/>
      <w:gridCol w:w="7445"/>
    </w:tblGrid>
    <w:tr w:rsidR="00EE29F6" w14:paraId="3B7ABC06" w14:textId="77777777" w:rsidTr="005F1564">
      <w:trPr>
        <w:trHeight w:val="1124"/>
      </w:trPr>
      <w:tc>
        <w:tcPr>
          <w:tcW w:w="2122" w:type="dxa"/>
          <w:vAlign w:val="bottom"/>
        </w:tcPr>
        <w:p w14:paraId="4604B3AE" w14:textId="77777777" w:rsidR="00EE29F6" w:rsidRDefault="000248A9" w:rsidP="00D7239D">
          <w:pPr>
            <w:pStyle w:val="Encabezado"/>
            <w:jc w:val="center"/>
          </w:pPr>
          <w:r>
            <w:rPr>
              <w:noProof/>
              <w:sz w:val="10"/>
              <w:szCs w:val="10"/>
              <w:lang w:val="es-MX" w:eastAsia="es-MX"/>
            </w:rPr>
            <w:drawing>
              <wp:inline distT="0" distB="0" distL="0" distR="0" wp14:anchorId="1D3A02EC" wp14:editId="558EC6F0">
                <wp:extent cx="1400175" cy="841869"/>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23439" cy="915982"/>
                        </a:xfrm>
                        <a:prstGeom prst="rect">
                          <a:avLst/>
                        </a:prstGeom>
                      </pic:spPr>
                    </pic:pic>
                  </a:graphicData>
                </a:graphic>
              </wp:inline>
            </w:drawing>
          </w:r>
        </w:p>
      </w:tc>
      <w:tc>
        <w:tcPr>
          <w:tcW w:w="7445" w:type="dxa"/>
          <w:vMerge w:val="restart"/>
          <w:vAlign w:val="center"/>
        </w:tcPr>
        <w:p w14:paraId="3D6E067C" w14:textId="77777777" w:rsidR="0065089E" w:rsidRDefault="0065089E" w:rsidP="000248A9">
          <w:pPr>
            <w:pStyle w:val="Encabezado"/>
            <w:spacing w:line="276" w:lineRule="auto"/>
            <w:ind w:left="1598" w:right="-108"/>
            <w:rPr>
              <w:rFonts w:ascii="Palatino Linotype" w:hAnsi="Palatino Linotype" w:cs="Tahoma"/>
              <w:b/>
            </w:rPr>
          </w:pPr>
        </w:p>
        <w:p w14:paraId="40FB8895" w14:textId="77777777" w:rsidR="000248A9" w:rsidRPr="000248A9" w:rsidRDefault="000248A9" w:rsidP="005F1564">
          <w:pPr>
            <w:pStyle w:val="Encabezado"/>
            <w:spacing w:line="276" w:lineRule="auto"/>
            <w:ind w:left="2238" w:right="-108"/>
            <w:rPr>
              <w:rFonts w:ascii="Palatino Linotype" w:hAnsi="Palatino Linotype" w:cs="Tahoma"/>
              <w:b/>
            </w:rPr>
          </w:pPr>
          <w:r w:rsidRPr="000248A9">
            <w:rPr>
              <w:rFonts w:ascii="Palatino Linotype" w:hAnsi="Palatino Linotype" w:cs="Tahoma"/>
              <w:b/>
            </w:rPr>
            <w:t>Opinión Particular</w:t>
          </w:r>
        </w:p>
        <w:p w14:paraId="0CB38530" w14:textId="77777777" w:rsidR="000248A9" w:rsidRPr="000248A9" w:rsidRDefault="000248A9" w:rsidP="005F1564">
          <w:pPr>
            <w:pStyle w:val="Encabezado"/>
            <w:spacing w:line="276" w:lineRule="auto"/>
            <w:ind w:left="2238" w:right="-108"/>
            <w:rPr>
              <w:rFonts w:ascii="Palatino Linotype" w:hAnsi="Palatino Linotype" w:cs="Tahoma"/>
              <w:b/>
            </w:rPr>
          </w:pPr>
          <w:r w:rsidRPr="000248A9">
            <w:rPr>
              <w:rFonts w:ascii="Palatino Linotype" w:hAnsi="Palatino Linotype" w:cs="Tahoma"/>
              <w:b/>
            </w:rPr>
            <w:t xml:space="preserve">Recurso de Revisión: </w:t>
          </w:r>
          <w:r w:rsidR="005F1564">
            <w:rPr>
              <w:rFonts w:ascii="Palatino Linotype" w:hAnsi="Palatino Linotype" w:cs="Tahoma"/>
              <w:b/>
            </w:rPr>
            <w:t>05939</w:t>
          </w:r>
          <w:r w:rsidRPr="000248A9">
            <w:rPr>
              <w:rFonts w:ascii="Palatino Linotype" w:hAnsi="Palatino Linotype" w:cs="Tahoma"/>
              <w:b/>
            </w:rPr>
            <w:t>/INFOEM/</w:t>
          </w:r>
          <w:r w:rsidR="005F1564">
            <w:rPr>
              <w:rFonts w:ascii="Palatino Linotype" w:hAnsi="Palatino Linotype" w:cs="Tahoma"/>
              <w:b/>
            </w:rPr>
            <w:t>AD</w:t>
          </w:r>
          <w:r w:rsidRPr="000248A9">
            <w:rPr>
              <w:rFonts w:ascii="Palatino Linotype" w:hAnsi="Palatino Linotype" w:cs="Tahoma"/>
              <w:b/>
            </w:rPr>
            <w:t>/RR/20</w:t>
          </w:r>
          <w:r w:rsidR="005F1564">
            <w:rPr>
              <w:rFonts w:ascii="Palatino Linotype" w:hAnsi="Palatino Linotype" w:cs="Tahoma"/>
              <w:b/>
            </w:rPr>
            <w:t>21</w:t>
          </w:r>
        </w:p>
        <w:p w14:paraId="5E0939BC" w14:textId="77777777" w:rsidR="005F1564" w:rsidRDefault="005F1564" w:rsidP="005F1564">
          <w:pPr>
            <w:pStyle w:val="Encabezado"/>
            <w:spacing w:line="276" w:lineRule="auto"/>
            <w:ind w:left="2238" w:right="-108"/>
            <w:jc w:val="both"/>
            <w:rPr>
              <w:rFonts w:ascii="Palatino Linotype" w:hAnsi="Palatino Linotype" w:cs="Tahoma"/>
              <w:b/>
            </w:rPr>
          </w:pPr>
          <w:r>
            <w:rPr>
              <w:rFonts w:ascii="Palatino Linotype" w:hAnsi="Palatino Linotype" w:cs="Tahoma"/>
              <w:b/>
            </w:rPr>
            <w:t>Sujeto Obligado: Secretaría de Educación</w:t>
          </w:r>
        </w:p>
        <w:p w14:paraId="22F8BD16" w14:textId="77777777" w:rsidR="00EE29F6" w:rsidRDefault="000248A9" w:rsidP="005F1564">
          <w:pPr>
            <w:pStyle w:val="Encabezado"/>
            <w:spacing w:line="276" w:lineRule="auto"/>
            <w:ind w:left="2238" w:right="-108"/>
            <w:jc w:val="both"/>
          </w:pPr>
          <w:r w:rsidRPr="000248A9">
            <w:rPr>
              <w:rFonts w:ascii="Palatino Linotype" w:hAnsi="Palatino Linotype" w:cs="Tahoma"/>
              <w:b/>
            </w:rPr>
            <w:t xml:space="preserve">Comisionada Ponente: </w:t>
          </w:r>
          <w:r w:rsidR="005F1564" w:rsidRPr="005F1564">
            <w:rPr>
              <w:rFonts w:ascii="Palatino Linotype" w:hAnsi="Palatino Linotype" w:cs="Tahoma"/>
              <w:b/>
            </w:rPr>
            <w:t>Guadalupe Ramírez Peña</w:t>
          </w:r>
        </w:p>
      </w:tc>
    </w:tr>
    <w:tr w:rsidR="00EE29F6" w14:paraId="2AE60B04" w14:textId="77777777" w:rsidTr="005F1564">
      <w:trPr>
        <w:trHeight w:val="293"/>
      </w:trPr>
      <w:tc>
        <w:tcPr>
          <w:tcW w:w="2122" w:type="dxa"/>
        </w:tcPr>
        <w:p w14:paraId="6E8C1382" w14:textId="77777777" w:rsidR="00EE29F6" w:rsidRPr="00D7239D" w:rsidRDefault="00EE29F6" w:rsidP="00EE29F6">
          <w:pPr>
            <w:pStyle w:val="Encabezado"/>
            <w:jc w:val="center"/>
            <w:rPr>
              <w:sz w:val="10"/>
              <w:szCs w:val="10"/>
            </w:rPr>
          </w:pPr>
        </w:p>
      </w:tc>
      <w:tc>
        <w:tcPr>
          <w:tcW w:w="7445" w:type="dxa"/>
          <w:vMerge/>
        </w:tcPr>
        <w:p w14:paraId="0ED5608F" w14:textId="77777777" w:rsidR="00EE29F6" w:rsidRDefault="00EE29F6" w:rsidP="00573E22">
          <w:pPr>
            <w:pStyle w:val="Encabezado"/>
            <w:spacing w:line="276" w:lineRule="auto"/>
          </w:pPr>
        </w:p>
      </w:tc>
    </w:tr>
  </w:tbl>
  <w:p w14:paraId="564173B7" w14:textId="77777777" w:rsidR="00307BFA" w:rsidRDefault="00307BFA" w:rsidP="00DE76D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70B78"/>
    <w:multiLevelType w:val="hybridMultilevel"/>
    <w:tmpl w:val="357AE5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3631484"/>
    <w:multiLevelType w:val="hybridMultilevel"/>
    <w:tmpl w:val="8B08129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228377C"/>
    <w:multiLevelType w:val="hybridMultilevel"/>
    <w:tmpl w:val="09E4C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9666CCB"/>
    <w:multiLevelType w:val="hybridMultilevel"/>
    <w:tmpl w:val="ED94EC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455768EB"/>
    <w:multiLevelType w:val="hybridMultilevel"/>
    <w:tmpl w:val="85E400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29F6"/>
    <w:rsid w:val="00005F9D"/>
    <w:rsid w:val="00012133"/>
    <w:rsid w:val="0001237F"/>
    <w:rsid w:val="00015770"/>
    <w:rsid w:val="000248A9"/>
    <w:rsid w:val="00024ECB"/>
    <w:rsid w:val="00037F56"/>
    <w:rsid w:val="00041DC2"/>
    <w:rsid w:val="00065711"/>
    <w:rsid w:val="00090039"/>
    <w:rsid w:val="00096C7A"/>
    <w:rsid w:val="000B0712"/>
    <w:rsid w:val="000E0364"/>
    <w:rsid w:val="000F0F85"/>
    <w:rsid w:val="000F4296"/>
    <w:rsid w:val="001066D4"/>
    <w:rsid w:val="001167D5"/>
    <w:rsid w:val="001247A6"/>
    <w:rsid w:val="0015509E"/>
    <w:rsid w:val="0016209B"/>
    <w:rsid w:val="0018391D"/>
    <w:rsid w:val="0018472D"/>
    <w:rsid w:val="001A60C1"/>
    <w:rsid w:val="001C7E1D"/>
    <w:rsid w:val="001E0147"/>
    <w:rsid w:val="001F0E4E"/>
    <w:rsid w:val="001F1B33"/>
    <w:rsid w:val="001F354C"/>
    <w:rsid w:val="00201471"/>
    <w:rsid w:val="00227540"/>
    <w:rsid w:val="00242574"/>
    <w:rsid w:val="00243A13"/>
    <w:rsid w:val="00252219"/>
    <w:rsid w:val="0029674E"/>
    <w:rsid w:val="002A1727"/>
    <w:rsid w:val="002C17F0"/>
    <w:rsid w:val="002C404F"/>
    <w:rsid w:val="00300F1A"/>
    <w:rsid w:val="00301C5D"/>
    <w:rsid w:val="003053C0"/>
    <w:rsid w:val="00307BFA"/>
    <w:rsid w:val="00342141"/>
    <w:rsid w:val="003512C9"/>
    <w:rsid w:val="00357A31"/>
    <w:rsid w:val="003948FA"/>
    <w:rsid w:val="003B7A5E"/>
    <w:rsid w:val="003C4076"/>
    <w:rsid w:val="0040139C"/>
    <w:rsid w:val="00403D22"/>
    <w:rsid w:val="00433746"/>
    <w:rsid w:val="004645C9"/>
    <w:rsid w:val="004827F8"/>
    <w:rsid w:val="00490073"/>
    <w:rsid w:val="00497157"/>
    <w:rsid w:val="004A08D3"/>
    <w:rsid w:val="004A74EE"/>
    <w:rsid w:val="004B5A64"/>
    <w:rsid w:val="004E10EC"/>
    <w:rsid w:val="004E6178"/>
    <w:rsid w:val="004E7007"/>
    <w:rsid w:val="00500A99"/>
    <w:rsid w:val="0052091F"/>
    <w:rsid w:val="00521DEF"/>
    <w:rsid w:val="00524DA5"/>
    <w:rsid w:val="00532534"/>
    <w:rsid w:val="0054764D"/>
    <w:rsid w:val="00547BA0"/>
    <w:rsid w:val="0056120D"/>
    <w:rsid w:val="00566F1E"/>
    <w:rsid w:val="00573E22"/>
    <w:rsid w:val="00582CCB"/>
    <w:rsid w:val="0058340C"/>
    <w:rsid w:val="00595596"/>
    <w:rsid w:val="005A4B12"/>
    <w:rsid w:val="005A71EE"/>
    <w:rsid w:val="005B0A91"/>
    <w:rsid w:val="005E3F21"/>
    <w:rsid w:val="005F0B46"/>
    <w:rsid w:val="005F1564"/>
    <w:rsid w:val="005F2A63"/>
    <w:rsid w:val="0060539E"/>
    <w:rsid w:val="006120A6"/>
    <w:rsid w:val="00643EF7"/>
    <w:rsid w:val="00645087"/>
    <w:rsid w:val="0065089E"/>
    <w:rsid w:val="0065115D"/>
    <w:rsid w:val="006606DF"/>
    <w:rsid w:val="0066125E"/>
    <w:rsid w:val="00670CA4"/>
    <w:rsid w:val="006A1ED9"/>
    <w:rsid w:val="006B3CC7"/>
    <w:rsid w:val="006D3245"/>
    <w:rsid w:val="00704396"/>
    <w:rsid w:val="007045F2"/>
    <w:rsid w:val="00712196"/>
    <w:rsid w:val="0072220A"/>
    <w:rsid w:val="007347A3"/>
    <w:rsid w:val="00742B69"/>
    <w:rsid w:val="00761F6E"/>
    <w:rsid w:val="007A2D13"/>
    <w:rsid w:val="007A36FB"/>
    <w:rsid w:val="007B743E"/>
    <w:rsid w:val="007C5EF2"/>
    <w:rsid w:val="007E00EA"/>
    <w:rsid w:val="007F7D80"/>
    <w:rsid w:val="00800EBE"/>
    <w:rsid w:val="008026B0"/>
    <w:rsid w:val="0080666A"/>
    <w:rsid w:val="00836BC2"/>
    <w:rsid w:val="00874EC6"/>
    <w:rsid w:val="00884096"/>
    <w:rsid w:val="008A3B8E"/>
    <w:rsid w:val="008A5BC5"/>
    <w:rsid w:val="008A5DB0"/>
    <w:rsid w:val="008B08C9"/>
    <w:rsid w:val="008B32E6"/>
    <w:rsid w:val="008B4C88"/>
    <w:rsid w:val="008B5925"/>
    <w:rsid w:val="008C0F11"/>
    <w:rsid w:val="008C66CE"/>
    <w:rsid w:val="008E2891"/>
    <w:rsid w:val="00922729"/>
    <w:rsid w:val="009256A1"/>
    <w:rsid w:val="0094089B"/>
    <w:rsid w:val="00945243"/>
    <w:rsid w:val="00982A9E"/>
    <w:rsid w:val="009943E1"/>
    <w:rsid w:val="0099518E"/>
    <w:rsid w:val="009B2C0B"/>
    <w:rsid w:val="009B7AE3"/>
    <w:rsid w:val="009C7FF3"/>
    <w:rsid w:val="009D07E2"/>
    <w:rsid w:val="009D1568"/>
    <w:rsid w:val="009D49BE"/>
    <w:rsid w:val="00A011B5"/>
    <w:rsid w:val="00A16D9E"/>
    <w:rsid w:val="00A229EC"/>
    <w:rsid w:val="00A32DF4"/>
    <w:rsid w:val="00A5061A"/>
    <w:rsid w:val="00A7059D"/>
    <w:rsid w:val="00A77CBA"/>
    <w:rsid w:val="00A815FB"/>
    <w:rsid w:val="00A8675F"/>
    <w:rsid w:val="00A8719C"/>
    <w:rsid w:val="00A87924"/>
    <w:rsid w:val="00A87B63"/>
    <w:rsid w:val="00AA7C80"/>
    <w:rsid w:val="00AB1FE3"/>
    <w:rsid w:val="00AB39ED"/>
    <w:rsid w:val="00AE42C2"/>
    <w:rsid w:val="00AF3B6B"/>
    <w:rsid w:val="00B2336C"/>
    <w:rsid w:val="00B40198"/>
    <w:rsid w:val="00B41CBB"/>
    <w:rsid w:val="00B50EC3"/>
    <w:rsid w:val="00B86EEA"/>
    <w:rsid w:val="00B91E9E"/>
    <w:rsid w:val="00BB6EE3"/>
    <w:rsid w:val="00BF012E"/>
    <w:rsid w:val="00C04807"/>
    <w:rsid w:val="00C13AE5"/>
    <w:rsid w:val="00C26783"/>
    <w:rsid w:val="00C3718A"/>
    <w:rsid w:val="00C44C03"/>
    <w:rsid w:val="00C57660"/>
    <w:rsid w:val="00C61EC3"/>
    <w:rsid w:val="00C75CE0"/>
    <w:rsid w:val="00CA7627"/>
    <w:rsid w:val="00CB5F8A"/>
    <w:rsid w:val="00CE50F9"/>
    <w:rsid w:val="00D028D2"/>
    <w:rsid w:val="00D0748C"/>
    <w:rsid w:val="00D40469"/>
    <w:rsid w:val="00D5460F"/>
    <w:rsid w:val="00D63FF0"/>
    <w:rsid w:val="00D7239D"/>
    <w:rsid w:val="00D80EF3"/>
    <w:rsid w:val="00DA3FB8"/>
    <w:rsid w:val="00DC39B1"/>
    <w:rsid w:val="00DC4DA5"/>
    <w:rsid w:val="00DC55E1"/>
    <w:rsid w:val="00DD6795"/>
    <w:rsid w:val="00DE76D1"/>
    <w:rsid w:val="00E06D70"/>
    <w:rsid w:val="00E11790"/>
    <w:rsid w:val="00E15550"/>
    <w:rsid w:val="00E30ED0"/>
    <w:rsid w:val="00E33635"/>
    <w:rsid w:val="00E34559"/>
    <w:rsid w:val="00E45E8B"/>
    <w:rsid w:val="00E60140"/>
    <w:rsid w:val="00E631E8"/>
    <w:rsid w:val="00E77AA4"/>
    <w:rsid w:val="00E82F77"/>
    <w:rsid w:val="00E83683"/>
    <w:rsid w:val="00EA11D4"/>
    <w:rsid w:val="00EA5518"/>
    <w:rsid w:val="00EC45A0"/>
    <w:rsid w:val="00ED0257"/>
    <w:rsid w:val="00EE1D50"/>
    <w:rsid w:val="00EE29F6"/>
    <w:rsid w:val="00EE6F20"/>
    <w:rsid w:val="00F11FD4"/>
    <w:rsid w:val="00F12571"/>
    <w:rsid w:val="00F165F9"/>
    <w:rsid w:val="00F31252"/>
    <w:rsid w:val="00F32B7C"/>
    <w:rsid w:val="00F60524"/>
    <w:rsid w:val="00F72364"/>
    <w:rsid w:val="00F824C1"/>
    <w:rsid w:val="00FD1849"/>
    <w:rsid w:val="00FD4B05"/>
    <w:rsid w:val="00FD6B72"/>
    <w:rsid w:val="00FE40C6"/>
    <w:rsid w:val="00FE4676"/>
    <w:rsid w:val="00FE7DF6"/>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956482"/>
  <w15:docId w15:val="{38D85502-D02A-4FA1-9D77-CAE6441BE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718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E29F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E29F6"/>
  </w:style>
  <w:style w:type="paragraph" w:styleId="Piedepgina">
    <w:name w:val="footer"/>
    <w:basedOn w:val="Normal"/>
    <w:link w:val="PiedepginaCar"/>
    <w:uiPriority w:val="99"/>
    <w:unhideWhenUsed/>
    <w:rsid w:val="00EE29F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E29F6"/>
  </w:style>
  <w:style w:type="table" w:styleId="Tablaconcuadrcula">
    <w:name w:val="Table Grid"/>
    <w:basedOn w:val="Tablanormal"/>
    <w:uiPriority w:val="39"/>
    <w:rsid w:val="00EE29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D7239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7239D"/>
    <w:rPr>
      <w:rFonts w:ascii="Segoe UI" w:hAnsi="Segoe UI" w:cs="Segoe UI"/>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24DA5"/>
    <w:pPr>
      <w:ind w:left="720"/>
      <w:contextualSpacing/>
    </w:pPr>
  </w:style>
  <w:style w:type="paragraph" w:styleId="Textonotapie">
    <w:name w:val="footnote text"/>
    <w:basedOn w:val="Normal"/>
    <w:link w:val="TextonotapieCar"/>
    <w:uiPriority w:val="99"/>
    <w:semiHidden/>
    <w:unhideWhenUsed/>
    <w:rsid w:val="009943E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9943E1"/>
    <w:rPr>
      <w:sz w:val="20"/>
      <w:szCs w:val="20"/>
    </w:rPr>
  </w:style>
  <w:style w:type="character" w:styleId="Refdenotaalpie">
    <w:name w:val="footnote reference"/>
    <w:basedOn w:val="Fuentedeprrafopredeter"/>
    <w:uiPriority w:val="99"/>
    <w:semiHidden/>
    <w:unhideWhenUsed/>
    <w:rsid w:val="009943E1"/>
    <w:rPr>
      <w:vertAlign w:val="superscript"/>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053C0"/>
  </w:style>
  <w:style w:type="character" w:styleId="Hipervnculo">
    <w:name w:val="Hyperlink"/>
    <w:aliases w:val="Hipervínculo1,Hipervínculo11,Hipervínculo12,Hipervínculo13,Hipervínculo14,Hipervínculo15"/>
    <w:basedOn w:val="Fuentedeprrafopredeter"/>
    <w:uiPriority w:val="99"/>
    <w:unhideWhenUsed/>
    <w:rsid w:val="003053C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ndh.org.mx/sites/default/files/documentos/2018-11/convencion_derechos_nino.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observatoriodelainfancia.es/ficherosoia/documentos/3990_d_CRC.C.GC.14_sp.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F8897C-DD47-4F66-8160-97F68482F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11</Pages>
  <Words>2796</Words>
  <Characters>15379</Characters>
  <Application>Microsoft Office Word</Application>
  <DocSecurity>0</DocSecurity>
  <Lines>128</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RF</dc:creator>
  <cp:lastModifiedBy>Sandra Ivette Razo De La Paz</cp:lastModifiedBy>
  <cp:revision>11</cp:revision>
  <cp:lastPrinted>2019-08-19T21:47:00Z</cp:lastPrinted>
  <dcterms:created xsi:type="dcterms:W3CDTF">2022-03-04T20:01:00Z</dcterms:created>
  <dcterms:modified xsi:type="dcterms:W3CDTF">2022-03-08T21:45:00Z</dcterms:modified>
</cp:coreProperties>
</file>