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171088F6" w:rsidR="00717B2B" w:rsidRPr="0026799B" w:rsidRDefault="00717B2B" w:rsidP="00601ABC">
      <w:pPr>
        <w:spacing w:before="240" w:after="240" w:line="360" w:lineRule="auto"/>
        <w:jc w:val="both"/>
        <w:rPr>
          <w:rFonts w:ascii="Palatino Linotype" w:eastAsia="Times New Roman" w:hAnsi="Palatino Linotype" w:cs="Arial"/>
          <w:sz w:val="24"/>
          <w:szCs w:val="24"/>
          <w:lang w:eastAsia="es-MX"/>
        </w:rPr>
      </w:pPr>
      <w:r w:rsidRPr="0026799B">
        <w:rPr>
          <w:rFonts w:ascii="Palatino Linotype" w:eastAsia="Times New Roman" w:hAnsi="Palatino Linotype" w:cs="Arial"/>
          <w:sz w:val="24"/>
          <w:szCs w:val="24"/>
          <w:lang w:eastAsia="es-MX"/>
        </w:rPr>
        <w:t xml:space="preserve">Resolución del Pleno del Instituto de Transparencia, Acceso a la Información Pública y Protección </w:t>
      </w:r>
      <w:r w:rsidRPr="0078573D">
        <w:rPr>
          <w:rFonts w:ascii="Palatino Linotype" w:eastAsia="Times New Roman" w:hAnsi="Palatino Linotype" w:cs="Arial"/>
          <w:sz w:val="24"/>
          <w:szCs w:val="24"/>
          <w:lang w:eastAsia="es-MX"/>
        </w:rPr>
        <w:t xml:space="preserve">de Datos Personales del Estado de México y Municipios, con domicilio en Metepec, Estado de México, a </w:t>
      </w:r>
      <w:r w:rsidR="002369B4" w:rsidRPr="0078573D">
        <w:rPr>
          <w:rFonts w:ascii="Palatino Linotype" w:eastAsia="Times New Roman" w:hAnsi="Palatino Linotype" w:cs="Arial"/>
          <w:sz w:val="24"/>
          <w:szCs w:val="24"/>
          <w:lang w:eastAsia="es-MX"/>
        </w:rPr>
        <w:t>veintisiete</w:t>
      </w:r>
      <w:r w:rsidR="009153CD" w:rsidRPr="0078573D">
        <w:rPr>
          <w:rFonts w:ascii="Palatino Linotype" w:eastAsia="Times New Roman" w:hAnsi="Palatino Linotype" w:cs="Arial"/>
          <w:sz w:val="24"/>
          <w:szCs w:val="24"/>
          <w:lang w:eastAsia="es-MX"/>
        </w:rPr>
        <w:t xml:space="preserve"> de octubre</w:t>
      </w:r>
      <w:r w:rsidR="00A80123" w:rsidRPr="0078573D">
        <w:rPr>
          <w:rFonts w:ascii="Palatino Linotype" w:eastAsia="Times New Roman" w:hAnsi="Palatino Linotype" w:cs="Arial"/>
          <w:sz w:val="24"/>
          <w:szCs w:val="24"/>
          <w:lang w:eastAsia="es-MX"/>
        </w:rPr>
        <w:t xml:space="preserve"> de dos mil veintiuno.</w:t>
      </w:r>
      <w:r w:rsidR="00A80123" w:rsidRPr="0026799B">
        <w:rPr>
          <w:rFonts w:ascii="Palatino Linotype" w:eastAsia="Times New Roman" w:hAnsi="Palatino Linotype" w:cs="Arial"/>
          <w:sz w:val="24"/>
          <w:szCs w:val="24"/>
          <w:lang w:eastAsia="es-MX"/>
        </w:rPr>
        <w:t xml:space="preserve"> </w:t>
      </w:r>
      <w:r w:rsidRPr="0026799B">
        <w:rPr>
          <w:rFonts w:ascii="Palatino Linotype" w:eastAsia="Times New Roman" w:hAnsi="Palatino Linotype" w:cs="Arial"/>
          <w:sz w:val="24"/>
          <w:szCs w:val="24"/>
          <w:lang w:eastAsia="es-MX"/>
        </w:rPr>
        <w:t xml:space="preserve">   </w:t>
      </w:r>
    </w:p>
    <w:p w14:paraId="01952134" w14:textId="232E19EA" w:rsidR="009153CD" w:rsidRPr="009153CD" w:rsidRDefault="00717B2B" w:rsidP="00601ABC">
      <w:pPr>
        <w:tabs>
          <w:tab w:val="left" w:pos="1701"/>
        </w:tabs>
        <w:spacing w:before="240" w:after="240" w:line="360" w:lineRule="auto"/>
        <w:jc w:val="both"/>
        <w:rPr>
          <w:rFonts w:ascii="Palatino Linotype" w:hAnsi="Palatino Linotype" w:cs="Arial"/>
          <w:sz w:val="24"/>
          <w:szCs w:val="24"/>
        </w:rPr>
      </w:pPr>
      <w:r w:rsidRPr="0026799B">
        <w:rPr>
          <w:rFonts w:ascii="Palatino Linotype" w:hAnsi="Palatino Linotype" w:cs="Arial"/>
          <w:b/>
          <w:sz w:val="24"/>
          <w:szCs w:val="24"/>
        </w:rPr>
        <w:t>VISTO</w:t>
      </w:r>
      <w:r w:rsidRPr="0026799B">
        <w:rPr>
          <w:rFonts w:ascii="Palatino Linotype" w:hAnsi="Palatino Linotype" w:cs="Arial"/>
          <w:sz w:val="24"/>
          <w:szCs w:val="24"/>
        </w:rPr>
        <w:t xml:space="preserve"> el expediente electrónico formado con motivo del recurso de revisión número </w:t>
      </w:r>
      <w:r w:rsidRPr="0026799B">
        <w:rPr>
          <w:rFonts w:ascii="Palatino Linotype" w:hAnsi="Palatino Linotype" w:cs="Arial"/>
          <w:b/>
          <w:bCs/>
          <w:sz w:val="24"/>
          <w:szCs w:val="24"/>
          <w:lang w:eastAsia="es-MX"/>
        </w:rPr>
        <w:t>0</w:t>
      </w:r>
      <w:r w:rsidR="009153CD">
        <w:rPr>
          <w:rFonts w:ascii="Palatino Linotype" w:hAnsi="Palatino Linotype" w:cs="Arial"/>
          <w:b/>
          <w:bCs/>
          <w:sz w:val="24"/>
          <w:szCs w:val="24"/>
          <w:lang w:eastAsia="es-MX"/>
        </w:rPr>
        <w:t>4440</w:t>
      </w:r>
      <w:r w:rsidRPr="0026799B">
        <w:rPr>
          <w:rFonts w:ascii="Palatino Linotype" w:hAnsi="Palatino Linotype" w:cs="Arial"/>
          <w:b/>
          <w:bCs/>
          <w:sz w:val="24"/>
          <w:szCs w:val="24"/>
          <w:lang w:eastAsia="es-MX"/>
        </w:rPr>
        <w:t>/INFOEM/AD</w:t>
      </w:r>
      <w:r w:rsidR="00A80123" w:rsidRPr="0026799B">
        <w:rPr>
          <w:rFonts w:ascii="Palatino Linotype" w:hAnsi="Palatino Linotype" w:cs="Arial"/>
          <w:b/>
          <w:bCs/>
          <w:sz w:val="24"/>
          <w:szCs w:val="24"/>
          <w:lang w:eastAsia="es-MX"/>
        </w:rPr>
        <w:t>/RR/2021</w:t>
      </w:r>
      <w:r w:rsidRPr="0026799B">
        <w:rPr>
          <w:rFonts w:ascii="Palatino Linotype" w:hAnsi="Palatino Linotype" w:cs="Arial"/>
          <w:sz w:val="24"/>
          <w:szCs w:val="24"/>
        </w:rPr>
        <w:t xml:space="preserve">, interpuesto por </w:t>
      </w:r>
      <w:r w:rsidR="009153CD">
        <w:rPr>
          <w:rFonts w:ascii="Palatino Linotype" w:hAnsi="Palatino Linotype" w:cs="Arial"/>
          <w:sz w:val="24"/>
          <w:szCs w:val="24"/>
        </w:rPr>
        <w:t xml:space="preserve">la </w:t>
      </w:r>
      <w:r w:rsidR="009153CD">
        <w:rPr>
          <w:rFonts w:ascii="Palatino Linotype" w:hAnsi="Palatino Linotype" w:cs="Arial"/>
          <w:b/>
          <w:sz w:val="24"/>
          <w:szCs w:val="24"/>
        </w:rPr>
        <w:t xml:space="preserve">C. </w:t>
      </w:r>
      <w:r w:rsidR="00014187">
        <w:rPr>
          <w:rFonts w:ascii="Palatino Linotype" w:hAnsi="Palatino Linotype" w:cs="Arial"/>
          <w:b/>
          <w:sz w:val="24"/>
          <w:szCs w:val="24"/>
        </w:rPr>
        <w:t>xxxxxxxxxxxxxxxxxxxxxxxxxx</w:t>
      </w:r>
      <w:r w:rsidR="009153CD">
        <w:rPr>
          <w:rFonts w:ascii="Palatino Linotype" w:hAnsi="Palatino Linotype" w:cs="Arial"/>
          <w:b/>
          <w:sz w:val="24"/>
          <w:szCs w:val="24"/>
        </w:rPr>
        <w:t xml:space="preserve">, </w:t>
      </w:r>
      <w:r w:rsidR="009153CD">
        <w:rPr>
          <w:rFonts w:ascii="Palatino Linotype" w:hAnsi="Palatino Linotype" w:cs="Arial"/>
          <w:sz w:val="24"/>
          <w:szCs w:val="24"/>
        </w:rPr>
        <w:t xml:space="preserve">en lo sucesivo </w:t>
      </w:r>
      <w:r w:rsidR="009153CD">
        <w:rPr>
          <w:rFonts w:ascii="Palatino Linotype" w:hAnsi="Palatino Linotype" w:cs="Arial"/>
          <w:b/>
          <w:sz w:val="24"/>
          <w:szCs w:val="24"/>
        </w:rPr>
        <w:t xml:space="preserve">La Recurrente, </w:t>
      </w:r>
      <w:r w:rsidR="009153CD">
        <w:rPr>
          <w:rFonts w:ascii="Palatino Linotype" w:hAnsi="Palatino Linotype" w:cs="Arial"/>
          <w:sz w:val="24"/>
          <w:szCs w:val="24"/>
        </w:rPr>
        <w:t xml:space="preserve">en contra de la respuesta del </w:t>
      </w:r>
      <w:r w:rsidR="009153CD">
        <w:rPr>
          <w:rFonts w:ascii="Palatino Linotype" w:hAnsi="Palatino Linotype" w:cs="Arial"/>
          <w:b/>
          <w:sz w:val="24"/>
          <w:szCs w:val="24"/>
        </w:rPr>
        <w:t xml:space="preserve">Instituto de Seguridad Social del Estado de México y Municipios, </w:t>
      </w:r>
      <w:r w:rsidR="009153CD">
        <w:rPr>
          <w:rFonts w:ascii="Palatino Linotype" w:hAnsi="Palatino Linotype" w:cs="Arial"/>
          <w:sz w:val="24"/>
          <w:szCs w:val="24"/>
        </w:rPr>
        <w:t xml:space="preserve">en lo subsecuente </w:t>
      </w:r>
      <w:r w:rsidR="009153CD">
        <w:rPr>
          <w:rFonts w:ascii="Palatino Linotype" w:hAnsi="Palatino Linotype" w:cs="Arial"/>
          <w:b/>
          <w:sz w:val="24"/>
          <w:szCs w:val="24"/>
        </w:rPr>
        <w:t xml:space="preserve">El Sujeto Obligado, </w:t>
      </w:r>
      <w:r w:rsidR="009153CD">
        <w:rPr>
          <w:rFonts w:ascii="Palatino Linotype" w:hAnsi="Palatino Linotype" w:cs="Arial"/>
          <w:sz w:val="24"/>
          <w:szCs w:val="24"/>
        </w:rPr>
        <w:t xml:space="preserve">se procede a dictar la presente resolución. </w:t>
      </w:r>
    </w:p>
    <w:p w14:paraId="71C321AF" w14:textId="77777777" w:rsidR="009153CD" w:rsidRDefault="009153CD" w:rsidP="00601ABC">
      <w:pPr>
        <w:tabs>
          <w:tab w:val="left" w:pos="1701"/>
        </w:tabs>
        <w:spacing w:before="240" w:after="240" w:line="360" w:lineRule="auto"/>
        <w:jc w:val="both"/>
        <w:rPr>
          <w:rFonts w:ascii="Palatino Linotype" w:hAnsi="Palatino Linotype" w:cs="Arial"/>
          <w:sz w:val="24"/>
          <w:szCs w:val="24"/>
        </w:rPr>
      </w:pPr>
    </w:p>
    <w:p w14:paraId="29468B92" w14:textId="77777777" w:rsidR="00717B2B" w:rsidRPr="0094651B" w:rsidRDefault="00717B2B" w:rsidP="00717B2B">
      <w:pPr>
        <w:tabs>
          <w:tab w:val="left" w:pos="1701"/>
        </w:tabs>
        <w:spacing w:before="240" w:after="240" w:line="360" w:lineRule="auto"/>
        <w:jc w:val="center"/>
        <w:rPr>
          <w:rFonts w:ascii="Palatino Linotype" w:hAnsi="Palatino Linotype" w:cs="Arial"/>
          <w:b/>
          <w:sz w:val="28"/>
        </w:rPr>
      </w:pPr>
      <w:r w:rsidRPr="0094651B">
        <w:rPr>
          <w:rFonts w:ascii="Palatino Linotype" w:hAnsi="Palatino Linotype" w:cs="Arial"/>
          <w:b/>
          <w:sz w:val="28"/>
        </w:rPr>
        <w:t xml:space="preserve">A N T E C E D E N T E S  D E L  A S U N T O </w:t>
      </w:r>
    </w:p>
    <w:p w14:paraId="1265372F" w14:textId="77777777" w:rsidR="00717B2B" w:rsidRPr="0094651B" w:rsidRDefault="00717B2B" w:rsidP="00717B2B">
      <w:pPr>
        <w:pStyle w:val="Sinespaciado"/>
        <w:rPr>
          <w:sz w:val="16"/>
        </w:rPr>
      </w:pPr>
    </w:p>
    <w:p w14:paraId="5002C311" w14:textId="77777777" w:rsidR="00717B2B" w:rsidRPr="0094651B" w:rsidRDefault="00717B2B" w:rsidP="00717B2B">
      <w:pPr>
        <w:spacing w:line="360" w:lineRule="auto"/>
        <w:jc w:val="both"/>
        <w:rPr>
          <w:rFonts w:ascii="Palatino Linotype" w:hAnsi="Palatino Linotype"/>
          <w:b/>
          <w:sz w:val="28"/>
        </w:rPr>
      </w:pPr>
      <w:r w:rsidRPr="0094651B">
        <w:rPr>
          <w:rFonts w:ascii="Palatino Linotype" w:hAnsi="Palatino Linotype"/>
          <w:b/>
          <w:sz w:val="28"/>
        </w:rPr>
        <w:t>PRIMERO. Del Acceso a Datos Personales.</w:t>
      </w:r>
    </w:p>
    <w:p w14:paraId="05E730FA" w14:textId="1D518177" w:rsidR="009153CD" w:rsidRDefault="00717B2B" w:rsidP="00717B2B">
      <w:pPr>
        <w:spacing w:line="360" w:lineRule="auto"/>
        <w:jc w:val="both"/>
        <w:rPr>
          <w:rStyle w:val="apple-converted-space"/>
          <w:rFonts w:ascii="Palatino Linotype" w:hAnsi="Palatino Linotype"/>
          <w:bCs/>
          <w:sz w:val="24"/>
          <w:szCs w:val="24"/>
        </w:rPr>
      </w:pPr>
      <w:r w:rsidRPr="0026799B">
        <w:rPr>
          <w:rFonts w:ascii="Palatino Linotype" w:hAnsi="Palatino Linotype"/>
          <w:sz w:val="24"/>
          <w:szCs w:val="24"/>
        </w:rPr>
        <w:t xml:space="preserve">Con fecha </w:t>
      </w:r>
      <w:r w:rsidR="009153CD">
        <w:rPr>
          <w:rFonts w:ascii="Palatino Linotype" w:hAnsi="Palatino Linotype"/>
          <w:sz w:val="24"/>
          <w:szCs w:val="24"/>
        </w:rPr>
        <w:t xml:space="preserve">trece de mayo de dos mil veintiuno, </w:t>
      </w:r>
      <w:r w:rsidR="009153CD">
        <w:rPr>
          <w:rFonts w:ascii="Palatino Linotype" w:hAnsi="Palatino Linotype"/>
          <w:b/>
          <w:sz w:val="24"/>
          <w:szCs w:val="24"/>
        </w:rPr>
        <w:t xml:space="preserve">La Recurrente </w:t>
      </w:r>
      <w:r w:rsidR="009153CD" w:rsidRPr="0026799B">
        <w:rPr>
          <w:rFonts w:ascii="Palatino Linotype" w:hAnsi="Palatino Linotype"/>
          <w:sz w:val="24"/>
          <w:szCs w:val="24"/>
        </w:rPr>
        <w:t xml:space="preserve">presentó a través del Sistema de Acceso, Rectificación, Cancelación y Oposición de Datos Personales del Estado de México </w:t>
      </w:r>
      <w:r w:rsidR="009153CD" w:rsidRPr="0026799B">
        <w:rPr>
          <w:rFonts w:ascii="Palatino Linotype" w:hAnsi="Palatino Linotype"/>
          <w:b/>
          <w:sz w:val="24"/>
          <w:szCs w:val="24"/>
        </w:rPr>
        <w:t>(SARCOEM)</w:t>
      </w:r>
      <w:r w:rsidR="009153CD" w:rsidRPr="0026799B">
        <w:rPr>
          <w:rFonts w:ascii="Palatino Linotype" w:hAnsi="Palatino Linotype"/>
          <w:sz w:val="24"/>
          <w:szCs w:val="24"/>
        </w:rPr>
        <w:t xml:space="preserve">, ante el </w:t>
      </w:r>
      <w:r w:rsidR="009153CD" w:rsidRPr="0026799B">
        <w:rPr>
          <w:rFonts w:ascii="Palatino Linotype" w:hAnsi="Palatino Linotype"/>
          <w:b/>
          <w:sz w:val="24"/>
          <w:szCs w:val="24"/>
        </w:rPr>
        <w:t>Sujeto Obligado</w:t>
      </w:r>
      <w:r w:rsidR="009153CD" w:rsidRPr="0026799B">
        <w:rPr>
          <w:rFonts w:ascii="Palatino Linotype" w:hAnsi="Palatino Linotype"/>
          <w:sz w:val="24"/>
          <w:szCs w:val="24"/>
        </w:rPr>
        <w:t xml:space="preserve">, </w:t>
      </w:r>
      <w:r w:rsidR="009153CD" w:rsidRPr="0026799B">
        <w:rPr>
          <w:rFonts w:ascii="Palatino Linotype" w:hAnsi="Palatino Linotype" w:cs="Arial"/>
          <w:sz w:val="24"/>
          <w:szCs w:val="24"/>
        </w:rPr>
        <w:t>solicitud de acceso a los datos personales, registrada bajo el número de expediente</w:t>
      </w:r>
      <w:r w:rsidR="009153CD" w:rsidRPr="0026799B">
        <w:rPr>
          <w:rStyle w:val="apple-converted-space"/>
          <w:rFonts w:ascii="Palatino Linotype" w:hAnsi="Palatino Linotype"/>
          <w:b/>
          <w:bCs/>
          <w:sz w:val="24"/>
          <w:szCs w:val="24"/>
        </w:rPr>
        <w:t> </w:t>
      </w:r>
      <w:r w:rsidR="009153CD">
        <w:rPr>
          <w:rStyle w:val="apple-converted-space"/>
          <w:rFonts w:ascii="Palatino Linotype" w:hAnsi="Palatino Linotype"/>
          <w:b/>
          <w:bCs/>
          <w:sz w:val="24"/>
          <w:szCs w:val="24"/>
        </w:rPr>
        <w:t xml:space="preserve">00168/ISSEMYM/AD/2021, </w:t>
      </w:r>
      <w:r w:rsidR="009153CD">
        <w:rPr>
          <w:rStyle w:val="apple-converted-space"/>
          <w:rFonts w:ascii="Palatino Linotype" w:hAnsi="Palatino Linotype"/>
          <w:bCs/>
          <w:sz w:val="24"/>
          <w:szCs w:val="24"/>
        </w:rPr>
        <w:t xml:space="preserve">mediante la cual requirió le fuese entregado, lo siguiente: </w:t>
      </w:r>
    </w:p>
    <w:p w14:paraId="5AE0846D" w14:textId="60B302C4" w:rsidR="009153CD" w:rsidRPr="009153CD" w:rsidRDefault="009153CD" w:rsidP="009153CD">
      <w:pPr>
        <w:pStyle w:val="INFOEM"/>
        <w:rPr>
          <w:sz w:val="24"/>
          <w:szCs w:val="24"/>
        </w:rPr>
      </w:pPr>
      <w:r>
        <w:t xml:space="preserve">“ANTECEDENTES: Con fecha de 20/04/2021 ingrese al area de urgencias en el CENTRO MEDICO ISSEMYM ECATEPEC, debido a dolor intenso en miembro pelvico izquierdo a lo que se diagnostico como "trombosis venosa profunda", esto con </w:t>
      </w:r>
      <w:r>
        <w:lastRenderedPageBreak/>
        <w:t xml:space="preserve">relacion a un estudio de manera externa(USG DOPPLER), por lo que se me mando medicamento, donde atendio la doctora Yanitzy Garcia Mendez, cedula: 5808654, sin embargo por el dolor y las molestias regrese con fecha 21/04/2021 donde se me hospitalizo en el area de urgencias, con numero de cama UA01B, clave de ISSEMYM </w:t>
      </w:r>
      <w:r w:rsidR="00014187">
        <w:t>xxxxxx</w:t>
      </w:r>
      <w:r>
        <w:t xml:space="preserve">. Con fecha de egreso 23/04/2021, dando el alta el medico responsable Raziel Camacho Altamirano, cedula: 9503631. </w:t>
      </w:r>
      <w:r w:rsidRPr="009153CD">
        <w:rPr>
          <w:b/>
          <w:u w:val="single"/>
        </w:rPr>
        <w:t>INFORMACION SOLICITADA: EXPEDIENTE CLINICO COMPLETO Y ESTUDIOS REALIZADOS. SUJETO OBLIGADO: ISSEMYM</w:t>
      </w:r>
      <w:r>
        <w:rPr>
          <w:b/>
          <w:u w:val="single"/>
        </w:rPr>
        <w:t xml:space="preserve">” </w:t>
      </w:r>
      <w:r>
        <w:rPr>
          <w:b/>
        </w:rPr>
        <w:t xml:space="preserve">[Sic] </w:t>
      </w:r>
    </w:p>
    <w:p w14:paraId="0DCA5B12" w14:textId="77777777" w:rsidR="009153CD" w:rsidRDefault="009153CD" w:rsidP="00717B2B">
      <w:pPr>
        <w:spacing w:line="360" w:lineRule="auto"/>
        <w:jc w:val="both"/>
        <w:rPr>
          <w:rFonts w:ascii="Palatino Linotype" w:hAnsi="Palatino Linotype"/>
          <w:sz w:val="24"/>
          <w:szCs w:val="24"/>
        </w:rPr>
      </w:pPr>
    </w:p>
    <w:p w14:paraId="3543CD1B" w14:textId="77777777" w:rsidR="00717B2B" w:rsidRPr="0094651B" w:rsidRDefault="00717B2B" w:rsidP="00717B2B">
      <w:pPr>
        <w:pStyle w:val="Sinespaciado"/>
        <w:rPr>
          <w:sz w:val="12"/>
        </w:rPr>
      </w:pPr>
    </w:p>
    <w:p w14:paraId="05205DAD" w14:textId="57BCB85C" w:rsidR="00717B2B" w:rsidRDefault="00717B2B" w:rsidP="00717B2B">
      <w:pPr>
        <w:pStyle w:val="Prrafodelista"/>
        <w:spacing w:line="360" w:lineRule="auto"/>
        <w:ind w:left="0"/>
        <w:jc w:val="both"/>
        <w:rPr>
          <w:rFonts w:ascii="Palatino Linotype" w:hAnsi="Palatino Linotype" w:cs="Arial"/>
        </w:rPr>
      </w:pPr>
      <w:r>
        <w:rPr>
          <w:rFonts w:ascii="Palatino Linotype" w:hAnsi="Palatino Linotype" w:cs="Arial"/>
        </w:rPr>
        <w:t xml:space="preserve">Resulta preciso señalar que mediante el ejercicio del derecho de acceso a datos personales </w:t>
      </w:r>
      <w:r w:rsidR="009153CD">
        <w:rPr>
          <w:rFonts w:ascii="Palatino Linotype" w:hAnsi="Palatino Linotype" w:cs="Arial"/>
          <w:b/>
        </w:rPr>
        <w:t>La</w:t>
      </w:r>
      <w:r>
        <w:rPr>
          <w:rFonts w:ascii="Palatino Linotype" w:hAnsi="Palatino Linotype" w:cs="Arial"/>
          <w:b/>
        </w:rPr>
        <w:t xml:space="preserve"> Recurrente </w:t>
      </w:r>
      <w:r>
        <w:rPr>
          <w:rFonts w:ascii="Palatino Linotype" w:hAnsi="Palatino Linotype" w:cs="Arial"/>
        </w:rPr>
        <w:t xml:space="preserve">adjuntó </w:t>
      </w:r>
      <w:r w:rsidR="0026799B">
        <w:rPr>
          <w:rFonts w:ascii="Palatino Linotype" w:hAnsi="Palatino Linotype" w:cs="Arial"/>
        </w:rPr>
        <w:t>el siguiente</w:t>
      </w:r>
      <w:r>
        <w:rPr>
          <w:rFonts w:ascii="Palatino Linotype" w:hAnsi="Palatino Linotype" w:cs="Arial"/>
        </w:rPr>
        <w:t xml:space="preserve"> d</w:t>
      </w:r>
      <w:r w:rsidR="0026799B">
        <w:rPr>
          <w:rFonts w:ascii="Palatino Linotype" w:hAnsi="Palatino Linotype" w:cs="Arial"/>
        </w:rPr>
        <w:t>ocumento electrónico</w:t>
      </w:r>
      <w:r>
        <w:rPr>
          <w:rFonts w:ascii="Palatino Linotype" w:hAnsi="Palatino Linotype" w:cs="Arial"/>
        </w:rPr>
        <w:t>:</w:t>
      </w:r>
    </w:p>
    <w:p w14:paraId="45B679A8" w14:textId="29B4F326" w:rsidR="00717B2B" w:rsidRDefault="009153CD" w:rsidP="00717B2B">
      <w:pPr>
        <w:pStyle w:val="Prrafodelista"/>
        <w:numPr>
          <w:ilvl w:val="0"/>
          <w:numId w:val="34"/>
        </w:numPr>
        <w:spacing w:line="360" w:lineRule="auto"/>
        <w:jc w:val="both"/>
        <w:rPr>
          <w:rFonts w:ascii="Palatino Linotype" w:hAnsi="Palatino Linotype" w:cs="Arial"/>
        </w:rPr>
      </w:pPr>
      <w:r>
        <w:rPr>
          <w:rFonts w:ascii="Palatino Linotype" w:hAnsi="Palatino Linotype" w:cs="Arial"/>
          <w:b/>
        </w:rPr>
        <w:t>“INE Y CREDENCIAL ISSEMYN.pdf</w:t>
      </w:r>
      <w:r w:rsidR="00717B2B">
        <w:rPr>
          <w:rFonts w:ascii="Palatino Linotype" w:hAnsi="Palatino Linotype" w:cs="Arial"/>
          <w:b/>
        </w:rPr>
        <w:t xml:space="preserve">”: </w:t>
      </w:r>
      <w:r w:rsidR="0026799B">
        <w:rPr>
          <w:rFonts w:ascii="Palatino Linotype" w:hAnsi="Palatino Linotype" w:cs="Arial"/>
        </w:rPr>
        <w:t>Compila lo siguiente:</w:t>
      </w:r>
      <w:r w:rsidR="00717B2B">
        <w:rPr>
          <w:rFonts w:ascii="Palatino Linotype" w:hAnsi="Palatino Linotype" w:cs="Arial"/>
        </w:rPr>
        <w:t xml:space="preserve"> </w:t>
      </w:r>
    </w:p>
    <w:p w14:paraId="583482A7" w14:textId="77777777" w:rsidR="009153CD" w:rsidRPr="00152AA1" w:rsidRDefault="009153CD" w:rsidP="009153CD">
      <w:pPr>
        <w:pStyle w:val="Sinespaciado"/>
        <w:numPr>
          <w:ilvl w:val="0"/>
          <w:numId w:val="37"/>
        </w:numPr>
        <w:spacing w:line="360" w:lineRule="auto"/>
        <w:rPr>
          <w:rFonts w:ascii="Palatino Linotype" w:hAnsi="Palatino Linotype"/>
          <w:b/>
        </w:rPr>
      </w:pPr>
      <w:r w:rsidRPr="00152AA1">
        <w:rPr>
          <w:rFonts w:ascii="Palatino Linotype" w:hAnsi="Palatino Linotype"/>
        </w:rPr>
        <w:t xml:space="preserve">Credencial para votar expedida a favor de la particular por el Instituto Federal Electoral, anverso y reverso. </w:t>
      </w:r>
    </w:p>
    <w:p w14:paraId="71851C87" w14:textId="77777777" w:rsidR="009153CD" w:rsidRPr="00152AA1" w:rsidRDefault="009153CD" w:rsidP="009153CD">
      <w:pPr>
        <w:pStyle w:val="Sinespaciado"/>
        <w:numPr>
          <w:ilvl w:val="0"/>
          <w:numId w:val="37"/>
        </w:numPr>
        <w:spacing w:line="360" w:lineRule="auto"/>
        <w:rPr>
          <w:rFonts w:ascii="Palatino Linotype" w:hAnsi="Palatino Linotype"/>
          <w:b/>
        </w:rPr>
      </w:pPr>
      <w:r w:rsidRPr="00152AA1">
        <w:rPr>
          <w:rFonts w:ascii="Palatino Linotype" w:hAnsi="Palatino Linotype"/>
        </w:rPr>
        <w:t xml:space="preserve">Credencial de derechohabiente expedida a favor de la particular por el Instituto de Seguridad Social del Estado de México y Municipios, anverso y reverso. </w:t>
      </w:r>
    </w:p>
    <w:p w14:paraId="5A701238" w14:textId="0316F7E7" w:rsidR="00717B2B" w:rsidRPr="00EA06BC" w:rsidRDefault="00717B2B" w:rsidP="00717B2B">
      <w:pPr>
        <w:spacing w:before="240" w:after="240"/>
        <w:ind w:right="51"/>
        <w:jc w:val="both"/>
        <w:rPr>
          <w:rFonts w:ascii="Palatino Linotype" w:hAnsi="Palatino Linotype" w:cs="Arial"/>
          <w:sz w:val="24"/>
          <w:szCs w:val="24"/>
        </w:rPr>
      </w:pPr>
      <w:r w:rsidRPr="00EA06BC">
        <w:rPr>
          <w:rFonts w:ascii="Palatino Linotype" w:hAnsi="Palatino Linotype" w:cs="Arial"/>
          <w:b/>
          <w:sz w:val="24"/>
          <w:szCs w:val="24"/>
        </w:rPr>
        <w:t>MODALIDAD DE ACCESO:</w:t>
      </w:r>
      <w:r w:rsidRPr="00EA06BC">
        <w:rPr>
          <w:rFonts w:ascii="Palatino Linotype" w:hAnsi="Palatino Linotype" w:cs="Arial"/>
          <w:sz w:val="24"/>
          <w:szCs w:val="24"/>
        </w:rPr>
        <w:t xml:space="preserve"> A través de</w:t>
      </w:r>
      <w:r w:rsidR="009153CD" w:rsidRPr="00EA06BC">
        <w:rPr>
          <w:rFonts w:ascii="Palatino Linotype" w:hAnsi="Palatino Linotype" w:cs="Arial"/>
          <w:sz w:val="24"/>
          <w:szCs w:val="24"/>
        </w:rPr>
        <w:t xml:space="preserve"> SARCOEM. </w:t>
      </w:r>
    </w:p>
    <w:p w14:paraId="1877C484" w14:textId="77777777" w:rsidR="00717B2B" w:rsidRDefault="00717B2B" w:rsidP="00717B2B">
      <w:pPr>
        <w:spacing w:before="240" w:after="240" w:line="360" w:lineRule="auto"/>
        <w:ind w:right="334"/>
        <w:jc w:val="both"/>
        <w:rPr>
          <w:rFonts w:ascii="Palatino Linotype" w:hAnsi="Palatino Linotype" w:cs="Arial"/>
          <w:b/>
        </w:rPr>
      </w:pPr>
    </w:p>
    <w:p w14:paraId="1DECE5B2" w14:textId="2A5BF020" w:rsidR="00717B2B" w:rsidRDefault="009153CD" w:rsidP="00717B2B">
      <w:pPr>
        <w:spacing w:before="240" w:line="360" w:lineRule="auto"/>
        <w:jc w:val="both"/>
        <w:rPr>
          <w:rFonts w:ascii="Palatino Linotype" w:hAnsi="Palatino Linotype" w:cs="Arial"/>
          <w:b/>
          <w:sz w:val="28"/>
        </w:rPr>
      </w:pPr>
      <w:r>
        <w:rPr>
          <w:rFonts w:ascii="Palatino Linotype" w:hAnsi="Palatino Linotype" w:cs="Arial"/>
          <w:b/>
          <w:sz w:val="28"/>
          <w:szCs w:val="20"/>
        </w:rPr>
        <w:t>SEGUNDO</w:t>
      </w:r>
      <w:r w:rsidR="00717B2B">
        <w:rPr>
          <w:rFonts w:ascii="Palatino Linotype" w:hAnsi="Palatino Linotype" w:cs="Arial"/>
          <w:b/>
          <w:sz w:val="28"/>
          <w:szCs w:val="20"/>
        </w:rPr>
        <w:t xml:space="preserve">. </w:t>
      </w:r>
      <w:r w:rsidR="00717B2B" w:rsidRPr="00165D6E">
        <w:rPr>
          <w:rFonts w:ascii="Palatino Linotype" w:hAnsi="Palatino Linotype" w:cs="Arial"/>
          <w:b/>
          <w:sz w:val="28"/>
          <w:szCs w:val="20"/>
        </w:rPr>
        <w:t xml:space="preserve">De la respuesta </w:t>
      </w:r>
      <w:r w:rsidR="00717B2B">
        <w:rPr>
          <w:rFonts w:ascii="Palatino Linotype" w:hAnsi="Palatino Linotype" w:cs="Arial"/>
          <w:b/>
          <w:sz w:val="28"/>
          <w:szCs w:val="20"/>
        </w:rPr>
        <w:t>del Sujeto Obligado</w:t>
      </w:r>
      <w:r w:rsidR="00717B2B" w:rsidRPr="00165D6E">
        <w:rPr>
          <w:rFonts w:ascii="Palatino Linotype" w:hAnsi="Palatino Linotype" w:cs="Arial"/>
          <w:b/>
          <w:sz w:val="28"/>
          <w:szCs w:val="20"/>
        </w:rPr>
        <w:t>.</w:t>
      </w:r>
    </w:p>
    <w:p w14:paraId="2417C67B" w14:textId="39895A34" w:rsidR="009153CD" w:rsidRPr="007108A8" w:rsidRDefault="00717B2B" w:rsidP="00717B2B">
      <w:pPr>
        <w:spacing w:line="360" w:lineRule="auto"/>
        <w:ind w:right="334"/>
        <w:jc w:val="both"/>
        <w:rPr>
          <w:rFonts w:ascii="Palatino Linotype" w:hAnsi="Palatino Linotype" w:cs="Arial"/>
          <w:sz w:val="24"/>
          <w:szCs w:val="24"/>
        </w:rPr>
      </w:pPr>
      <w:r w:rsidRPr="007108A8">
        <w:rPr>
          <w:rFonts w:ascii="Palatino Linotype" w:hAnsi="Palatino Linotype" w:cs="Arial"/>
          <w:sz w:val="24"/>
          <w:szCs w:val="24"/>
        </w:rPr>
        <w:t xml:space="preserve">De las constancias del expediente electrónico del </w:t>
      </w:r>
      <w:r w:rsidRPr="007108A8">
        <w:rPr>
          <w:rFonts w:ascii="Palatino Linotype" w:hAnsi="Palatino Linotype" w:cs="Arial"/>
          <w:b/>
          <w:sz w:val="24"/>
          <w:szCs w:val="24"/>
        </w:rPr>
        <w:t xml:space="preserve">SARCOEM, </w:t>
      </w:r>
      <w:r w:rsidRPr="007108A8">
        <w:rPr>
          <w:rFonts w:ascii="Palatino Linotype" w:hAnsi="Palatino Linotype" w:cs="Arial"/>
          <w:sz w:val="24"/>
          <w:szCs w:val="24"/>
        </w:rPr>
        <w:t xml:space="preserve">se aprecia que el </w:t>
      </w:r>
      <w:r w:rsidR="009153CD" w:rsidRPr="007108A8">
        <w:rPr>
          <w:rFonts w:ascii="Palatino Linotype" w:hAnsi="Palatino Linotype" w:cs="Arial"/>
          <w:sz w:val="24"/>
          <w:szCs w:val="24"/>
        </w:rPr>
        <w:t xml:space="preserve">día veintisiete de mayo de dos mil veintiuno, </w:t>
      </w:r>
      <w:r w:rsidR="009153CD" w:rsidRPr="007108A8">
        <w:rPr>
          <w:rFonts w:ascii="Palatino Linotype" w:hAnsi="Palatino Linotype" w:cs="Arial"/>
          <w:b/>
          <w:sz w:val="24"/>
          <w:szCs w:val="24"/>
        </w:rPr>
        <w:t xml:space="preserve">El Sujeto Obligado </w:t>
      </w:r>
      <w:r w:rsidR="009153CD" w:rsidRPr="007108A8">
        <w:rPr>
          <w:rFonts w:ascii="Palatino Linotype" w:hAnsi="Palatino Linotype" w:cs="Arial"/>
          <w:sz w:val="24"/>
          <w:szCs w:val="24"/>
        </w:rPr>
        <w:t xml:space="preserve">dio respuesta a la </w:t>
      </w:r>
      <w:r w:rsidR="009153CD" w:rsidRPr="007108A8">
        <w:rPr>
          <w:rFonts w:ascii="Palatino Linotype" w:hAnsi="Palatino Linotype" w:cs="Arial"/>
          <w:sz w:val="24"/>
          <w:szCs w:val="24"/>
        </w:rPr>
        <w:lastRenderedPageBreak/>
        <w:t xml:space="preserve">solicitud de acceso a datos personales </w:t>
      </w:r>
      <w:r w:rsidR="009153CD" w:rsidRPr="007108A8">
        <w:rPr>
          <w:rFonts w:ascii="Palatino Linotype" w:hAnsi="Palatino Linotype" w:cs="Arial"/>
          <w:b/>
          <w:sz w:val="24"/>
          <w:szCs w:val="24"/>
        </w:rPr>
        <w:t xml:space="preserve">00168/ISSEMYM/AD/2021, </w:t>
      </w:r>
      <w:r w:rsidR="009153CD" w:rsidRPr="007108A8">
        <w:rPr>
          <w:rFonts w:ascii="Palatino Linotype" w:hAnsi="Palatino Linotype" w:cs="Arial"/>
          <w:sz w:val="24"/>
          <w:szCs w:val="24"/>
        </w:rPr>
        <w:t xml:space="preserve">resultando de nuestro interés lo siguiente: </w:t>
      </w:r>
    </w:p>
    <w:p w14:paraId="65565754" w14:textId="21217FED" w:rsidR="009153CD" w:rsidRDefault="009153CD" w:rsidP="009153CD">
      <w:pPr>
        <w:pStyle w:val="INFOEM"/>
        <w:rPr>
          <w:lang w:eastAsia="es-MX"/>
        </w:rPr>
      </w:pPr>
      <w:r>
        <w:t xml:space="preserve">“En respuesta a la solicitud recibida, </w:t>
      </w:r>
      <w:r w:rsidRPr="009153CD">
        <w:rPr>
          <w:lang w:eastAsia="es-MX"/>
        </w:rPr>
        <w:t>nos permitimos hacer de su conocimiento que con fundamento en el artículo 53, Fracciones: II, V y VI de la Ley de Transparencia y Acceso a la Información Pública del Estado de México y Municipios, le contestamos que:</w:t>
      </w:r>
    </w:p>
    <w:p w14:paraId="1D357AF2" w14:textId="00A04F87" w:rsidR="009153CD" w:rsidRDefault="007B3CD0" w:rsidP="007B3CD0">
      <w:pPr>
        <w:pStyle w:val="INFOEM"/>
        <w:rPr>
          <w:b/>
        </w:rPr>
      </w:pPr>
      <w:r>
        <w:t>“</w:t>
      </w:r>
      <w:r w:rsidRPr="009153CD">
        <w:t>Como archivo adjunto, encontrará el oficio que dará respuesta a su solicitud de acceso a datos personales.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r>
        <w:t xml:space="preserve">” </w:t>
      </w:r>
      <w:r>
        <w:rPr>
          <w:b/>
        </w:rPr>
        <w:t xml:space="preserve">[Sic] </w:t>
      </w:r>
    </w:p>
    <w:p w14:paraId="4FF23DB9" w14:textId="77777777" w:rsidR="00015DAF" w:rsidRPr="007B3CD0" w:rsidRDefault="00015DAF" w:rsidP="007B3CD0">
      <w:pPr>
        <w:pStyle w:val="INFOEM"/>
        <w:rPr>
          <w:b/>
        </w:rPr>
      </w:pPr>
    </w:p>
    <w:p w14:paraId="2899D5DB" w14:textId="25AF98F5" w:rsidR="00EA7DA4" w:rsidRPr="00EA7DA4" w:rsidRDefault="00EA7DA4" w:rsidP="00EA7DA4">
      <w:pPr>
        <w:pStyle w:val="INFOEM"/>
        <w:ind w:left="0" w:right="72"/>
        <w:rPr>
          <w:i w:val="0"/>
          <w:iCs/>
          <w:sz w:val="24"/>
          <w:szCs w:val="24"/>
        </w:rPr>
      </w:pPr>
      <w:r>
        <w:rPr>
          <w:i w:val="0"/>
          <w:iCs/>
          <w:sz w:val="24"/>
          <w:szCs w:val="24"/>
        </w:rPr>
        <w:t xml:space="preserve">De forma complementaria, </w:t>
      </w:r>
      <w:r>
        <w:rPr>
          <w:b/>
          <w:bCs/>
          <w:i w:val="0"/>
          <w:iCs/>
          <w:sz w:val="24"/>
          <w:szCs w:val="24"/>
        </w:rPr>
        <w:t xml:space="preserve">El Sujeto Obligado </w:t>
      </w:r>
      <w:r>
        <w:rPr>
          <w:i w:val="0"/>
          <w:iCs/>
          <w:sz w:val="24"/>
          <w:szCs w:val="24"/>
        </w:rPr>
        <w:t xml:space="preserve">adjuntó lo siguiente: </w:t>
      </w:r>
    </w:p>
    <w:p w14:paraId="30AE0C06" w14:textId="77777777" w:rsidR="00EA7DA4" w:rsidRPr="00A460B5" w:rsidRDefault="00EA7DA4" w:rsidP="00EA7DA4">
      <w:pPr>
        <w:pStyle w:val="INFOEM"/>
        <w:numPr>
          <w:ilvl w:val="0"/>
          <w:numId w:val="42"/>
        </w:numPr>
        <w:ind w:right="72"/>
        <w:rPr>
          <w:b/>
          <w:bCs/>
          <w:i w:val="0"/>
          <w:iCs/>
          <w:sz w:val="24"/>
          <w:szCs w:val="24"/>
        </w:rPr>
      </w:pPr>
      <w:r w:rsidRPr="00532794">
        <w:rPr>
          <w:b/>
          <w:bCs/>
          <w:i w:val="0"/>
          <w:iCs/>
          <w:sz w:val="24"/>
          <w:szCs w:val="24"/>
        </w:rPr>
        <w:t xml:space="preserve">“00168 AD.pdf”: </w:t>
      </w:r>
      <w:r w:rsidRPr="00532794">
        <w:rPr>
          <w:i w:val="0"/>
          <w:iCs/>
          <w:sz w:val="24"/>
          <w:szCs w:val="24"/>
        </w:rPr>
        <w:t xml:space="preserve">Oficio </w:t>
      </w:r>
      <w:r w:rsidRPr="00532794">
        <w:rPr>
          <w:b/>
          <w:bCs/>
          <w:i w:val="0"/>
          <w:iCs/>
          <w:sz w:val="24"/>
          <w:szCs w:val="24"/>
        </w:rPr>
        <w:t xml:space="preserve">207C 0401210001S-UT-636/2021 </w:t>
      </w:r>
      <w:r>
        <w:rPr>
          <w:i w:val="0"/>
          <w:iCs/>
          <w:sz w:val="24"/>
          <w:szCs w:val="24"/>
        </w:rPr>
        <w:t xml:space="preserve">de fecha veinticinco de mayo de dos mil veintiuno, </w:t>
      </w:r>
      <w:r w:rsidRPr="00532794">
        <w:rPr>
          <w:i w:val="0"/>
          <w:iCs/>
          <w:sz w:val="24"/>
          <w:szCs w:val="24"/>
        </w:rPr>
        <w:t>signado p</w:t>
      </w:r>
      <w:r>
        <w:rPr>
          <w:i w:val="0"/>
          <w:iCs/>
          <w:sz w:val="24"/>
          <w:szCs w:val="24"/>
        </w:rPr>
        <w:t xml:space="preserve">or el Responsable y Encargado de la Unidad de Transparencia y dirigido a la particular, en lo medular señala que el Servidor Público Habilitado de la Coordinación de Servicios de la Salud informó que la información requerida fue localizada en el Centro Médico ISSEMyM Ecatepec, la cual consta en un expediente clínico de 35 -treinta y </w:t>
      </w:r>
      <w:r>
        <w:rPr>
          <w:i w:val="0"/>
          <w:iCs/>
          <w:sz w:val="24"/>
          <w:szCs w:val="24"/>
        </w:rPr>
        <w:lastRenderedPageBreak/>
        <w:t xml:space="preserve">cinco- fojas, así como en un estudio radiológico que por su naturaleza obra en un disco compacto o CD. De forma complementaria, refiere que es necesario que la particular acredite su identidad y personalidad ante el Módulo de Transparencia, especificando para tal efecto: </w:t>
      </w:r>
    </w:p>
    <w:p w14:paraId="20101760" w14:textId="77777777" w:rsidR="00EA7DA4" w:rsidRPr="00A460B5" w:rsidRDefault="00EA7DA4" w:rsidP="00EA7DA4">
      <w:pPr>
        <w:pStyle w:val="INFOEM"/>
        <w:numPr>
          <w:ilvl w:val="0"/>
          <w:numId w:val="41"/>
        </w:numPr>
        <w:ind w:right="72" w:firstLine="720"/>
        <w:rPr>
          <w:b/>
          <w:bCs/>
          <w:i w:val="0"/>
          <w:iCs/>
          <w:sz w:val="24"/>
          <w:szCs w:val="24"/>
        </w:rPr>
      </w:pPr>
      <w:r>
        <w:rPr>
          <w:i w:val="0"/>
          <w:iCs/>
          <w:sz w:val="24"/>
          <w:szCs w:val="24"/>
        </w:rPr>
        <w:t>Domicilio del Módulo de Transparencia</w:t>
      </w:r>
    </w:p>
    <w:p w14:paraId="245D8582" w14:textId="77777777" w:rsidR="00EA7DA4" w:rsidRPr="00532794" w:rsidRDefault="00EA7DA4" w:rsidP="00EA7DA4">
      <w:pPr>
        <w:pStyle w:val="INFOEM"/>
        <w:numPr>
          <w:ilvl w:val="0"/>
          <w:numId w:val="41"/>
        </w:numPr>
        <w:ind w:right="72" w:firstLine="720"/>
        <w:rPr>
          <w:b/>
          <w:bCs/>
          <w:i w:val="0"/>
          <w:iCs/>
          <w:sz w:val="24"/>
          <w:szCs w:val="24"/>
        </w:rPr>
      </w:pPr>
      <w:r>
        <w:rPr>
          <w:i w:val="0"/>
          <w:iCs/>
          <w:sz w:val="24"/>
          <w:szCs w:val="24"/>
        </w:rPr>
        <w:t xml:space="preserve">Días y horario de atención. </w:t>
      </w:r>
    </w:p>
    <w:p w14:paraId="1ADFB660" w14:textId="77777777" w:rsidR="009153CD" w:rsidRDefault="009153CD" w:rsidP="00717B2B">
      <w:pPr>
        <w:spacing w:line="360" w:lineRule="auto"/>
        <w:ind w:right="334"/>
        <w:jc w:val="both"/>
        <w:rPr>
          <w:rFonts w:ascii="Palatino Linotype" w:hAnsi="Palatino Linotype" w:cs="Arial"/>
        </w:rPr>
      </w:pPr>
    </w:p>
    <w:p w14:paraId="621D4284" w14:textId="4A1D89FC" w:rsidR="00717B2B" w:rsidRPr="0094651B" w:rsidRDefault="007B3CD0" w:rsidP="00717B2B">
      <w:pPr>
        <w:spacing w:line="360" w:lineRule="auto"/>
        <w:jc w:val="both"/>
        <w:rPr>
          <w:rFonts w:ascii="Palatino Linotype" w:hAnsi="Palatino Linotype" w:cs="Arial"/>
          <w:b/>
          <w:sz w:val="28"/>
        </w:rPr>
      </w:pPr>
      <w:r>
        <w:rPr>
          <w:rFonts w:ascii="Palatino Linotype" w:hAnsi="Palatino Linotype" w:cs="Arial"/>
          <w:b/>
          <w:sz w:val="28"/>
        </w:rPr>
        <w:t>TERCERO</w:t>
      </w:r>
      <w:r w:rsidR="00717B2B" w:rsidRPr="0094651B">
        <w:rPr>
          <w:rFonts w:ascii="Palatino Linotype" w:hAnsi="Palatino Linotype" w:cs="Arial"/>
          <w:b/>
          <w:sz w:val="28"/>
        </w:rPr>
        <w:t>. Del Recurso de Revisión.</w:t>
      </w:r>
    </w:p>
    <w:p w14:paraId="6A435E56" w14:textId="194096B6" w:rsidR="007B3CD0" w:rsidRPr="007B3CD0" w:rsidRDefault="00717B2B" w:rsidP="00717B2B">
      <w:pPr>
        <w:spacing w:line="360" w:lineRule="auto"/>
        <w:jc w:val="both"/>
        <w:rPr>
          <w:rFonts w:ascii="Palatino Linotype" w:hAnsi="Palatino Linotype"/>
        </w:rPr>
      </w:pPr>
      <w:r>
        <w:rPr>
          <w:rFonts w:ascii="Palatino Linotype" w:hAnsi="Palatino Linotype"/>
        </w:rPr>
        <w:t xml:space="preserve">El </w:t>
      </w:r>
      <w:r w:rsidR="007B3CD0">
        <w:rPr>
          <w:rFonts w:ascii="Palatino Linotype" w:hAnsi="Palatino Linotype"/>
        </w:rPr>
        <w:t xml:space="preserve">dos de septiembre de dos mil veintiuno, </w:t>
      </w:r>
      <w:r w:rsidR="007B3CD0">
        <w:rPr>
          <w:rFonts w:ascii="Palatino Linotype" w:hAnsi="Palatino Linotype"/>
          <w:b/>
        </w:rPr>
        <w:t xml:space="preserve">La Recurrente </w:t>
      </w:r>
      <w:r w:rsidR="007B3CD0">
        <w:rPr>
          <w:rFonts w:ascii="Palatino Linotype" w:hAnsi="Palatino Linotype"/>
        </w:rPr>
        <w:t xml:space="preserve">interpuso el recurso de revisión al que se le asignó el número de expediente que al rubro se indica, señalando como acto y como razones o motivos de inconformidad los siguientes: </w:t>
      </w:r>
    </w:p>
    <w:p w14:paraId="2ED8E5CC" w14:textId="5F94DF3C"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Acto Impugnado</w:t>
      </w:r>
    </w:p>
    <w:p w14:paraId="51F495AE" w14:textId="3542DA9C" w:rsidR="00717B2B" w:rsidRPr="00A1576E" w:rsidRDefault="00177A1B" w:rsidP="00177A1B">
      <w:pPr>
        <w:pStyle w:val="INFOEM"/>
        <w:rPr>
          <w:b/>
        </w:rPr>
      </w:pPr>
      <w:r w:rsidRPr="007B3CD0">
        <w:t>“</w:t>
      </w:r>
      <w:r w:rsidR="007B3CD0" w:rsidRPr="007B3CD0">
        <w:t xml:space="preserve">Con relación a la solicitud 00168/ISSEMYM/AD/2021 de fecha 13 de mayo del 2021, y con fecha de respuesta mayo 25 de 2021 con folio de la Unidad de Transparencia 207C0401210001S-UT-636/2021, en el apartado de RESPUESTA EMITIDA A SU SOLICITUD DE ACCESO A DATOS PERSONALES, “una vez realizada la búsqueda en los archivos del instituto de Seguridad Social del Estado de México y Municipios </w:t>
      </w:r>
      <w:r w:rsidR="007B3CD0" w:rsidRPr="001C3A85">
        <w:rPr>
          <w:bCs/>
        </w:rPr>
        <w:t>se localizó en el Centro ISSEMyM Ecatepec el Expediente clínico la cual consta de 35 hojas y el estudio radiológico que contiene Ultrasonido de Doppler Venoso MPI y Angiotomografía de Tórax, que por su naturaleza de la información se encuentra contenido en un Disco Compacto (CD).</w:t>
      </w:r>
      <w:r w:rsidR="00717B2B" w:rsidRPr="001C3A85">
        <w:rPr>
          <w:bCs/>
        </w:rPr>
        <w:t>”</w:t>
      </w:r>
      <w:r w:rsidR="00717B2B" w:rsidRPr="00A1576E">
        <w:t xml:space="preserve"> </w:t>
      </w:r>
      <w:r w:rsidR="00717B2B" w:rsidRPr="00A1576E">
        <w:rPr>
          <w:b/>
        </w:rPr>
        <w:t>[Sic]</w:t>
      </w:r>
    </w:p>
    <w:p w14:paraId="56620F45" w14:textId="77777777"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lastRenderedPageBreak/>
        <w:t>Razones o motivos de inconformidad</w:t>
      </w:r>
    </w:p>
    <w:p w14:paraId="0AF0C0AE" w14:textId="55A85DE2" w:rsidR="00717B2B" w:rsidRDefault="007B3CD0" w:rsidP="00177A1B">
      <w:pPr>
        <w:pStyle w:val="INFOEM"/>
        <w:rPr>
          <w:b/>
        </w:rPr>
      </w:pPr>
      <w:r w:rsidRPr="007B3CD0">
        <w:t xml:space="preserve">“Sin embargo, en el apartado de MODALIDAD DE ACCESO, menciona que presente una identificación oficial en la unidad de transparencia en la en Avenida Miguel Hidalgo Poniente número 600, planta baja, Colonia la Merced, C.P. 50080, Toluca, Estado de México. Lo cual ya acredité mi personalidad al adjuntar mi identificación vigente INE y mi credencial de ISSEMyM. </w:t>
      </w:r>
      <w:r w:rsidRPr="001C3A85">
        <w:t xml:space="preserve">Con relación al párrafo anterior me encuentro con discapacidad en mi pierna izquierda, circunstancia que me imposibilitada para poder acudir de manera presencial, debido a que necesito de silla de ruedas y andadera para poder desplazarme o moverme, con fundamento en el artículo 93 de la LEY DE PROTECCIÓN DE DATOS PERSONALES EN POSESIÓN DE SUJETOS OBLIGADOS DEL ESTADO DE MÉXICO Y MUNICIPIOS, se ajuste la modalidad y por el medio donde solicite la información es decir SARCOEM se me envié el Expediente clínico la cual consta de 35 hojas y el estudio radiológico que contiene Ultrasonido de Doppler Venoso MPI y Angiotomografía de Tórax, si bien es cierto que se encuentra en disco CD, lo cierto es que por ser un medio electrónico se me envié de forma digitalizada para poder descargar los videos de dichos estudios o bien enviármelos por correo electrónico el cual señalo para cualquier efecto </w:t>
      </w:r>
      <w:r w:rsidR="00D016EB">
        <w:t>xxxxxxxxxxxxxxxxxxx</w:t>
      </w:r>
      <w:bookmarkStart w:id="0" w:name="_GoBack"/>
      <w:bookmarkEnd w:id="0"/>
      <w:r w:rsidRPr="001C3A85">
        <w:t>,</w:t>
      </w:r>
      <w:r w:rsidRPr="00940A6B">
        <w:rPr>
          <w:b/>
          <w:u w:val="single"/>
        </w:rPr>
        <w:t xml:space="preserve"> </w:t>
      </w:r>
      <w:r w:rsidRPr="007B3CD0">
        <w:t xml:space="preserve">de conformidad con el artículo 90 fracción VIII de la LEY DE PROTECCIÓN DE DATOS PERSONALES EN POSESIÓN DE SUJETOS OBLIGADOS DEL ESTADO DE MÉXICO Y MUNICIPIOS, donde establece que “Los sujetos obligados y los responsables de manera directa o a través del Instituto promoverán acuerdos con instituciones públicas especializadas que pudieran auxiliarles a la recepción, trámite y entrega de las respuestas a solicitudes de derechos ARCO, en la lengua indígena, braille o cualquier formato accesible correspondiente, en forma más eficiente” así </w:t>
      </w:r>
      <w:r w:rsidRPr="007B3CD0">
        <w:lastRenderedPageBreak/>
        <w:t>también de conformidad con el artículo 41 de la ya antes citada ley. Por lo anterior expuesto y fundado, de forma respetuosa pido se sirva: PRIMERO: Se me tenga presentado en tiempo y forma mis manifestaciones. SEGUNDO: El presente recurso es procedente con relación al artículo 129 fracción VIII de la ley LEY DE PROTECCIÓN DE DATOS PERSONALES EN POSESIÓN DE SUJETOS OBLIGADOS DEL ESTADO DE MÉXICO Y MUNICIPIOS. TERCERO: Se me entregue la información solicitada en la modalidad descrita en el presente recurso.</w:t>
      </w:r>
      <w:r w:rsidR="00717B2B" w:rsidRPr="007B3CD0">
        <w:t>”</w:t>
      </w:r>
      <w:r w:rsidR="00717B2B" w:rsidRPr="00A1576E">
        <w:t xml:space="preserve"> </w:t>
      </w:r>
      <w:r w:rsidR="00717B2B" w:rsidRPr="00A1576E">
        <w:rPr>
          <w:b/>
        </w:rPr>
        <w:t>[Sic]</w:t>
      </w:r>
    </w:p>
    <w:p w14:paraId="755DA969" w14:textId="77777777" w:rsidR="00EA7DA4" w:rsidRDefault="00EA7DA4" w:rsidP="00717B2B">
      <w:pPr>
        <w:pStyle w:val="Prrafodelista"/>
        <w:spacing w:line="360" w:lineRule="auto"/>
        <w:ind w:left="0"/>
        <w:jc w:val="both"/>
        <w:rPr>
          <w:rFonts w:ascii="Palatino Linotype" w:hAnsi="Palatino Linotype" w:cs="Arial"/>
          <w:b/>
          <w:sz w:val="28"/>
          <w:szCs w:val="28"/>
        </w:rPr>
      </w:pPr>
    </w:p>
    <w:p w14:paraId="1F966EF0" w14:textId="5C8BAC4B" w:rsidR="00717B2B" w:rsidRPr="0094651B" w:rsidRDefault="007B3CD0" w:rsidP="00717B2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CUARTO</w:t>
      </w:r>
      <w:r w:rsidR="00717B2B" w:rsidRPr="0094651B">
        <w:rPr>
          <w:rFonts w:ascii="Palatino Linotype" w:hAnsi="Palatino Linotype" w:cs="Arial"/>
          <w:b/>
          <w:sz w:val="28"/>
          <w:szCs w:val="28"/>
        </w:rPr>
        <w:t>. Del turno del recurso de revisión.</w:t>
      </w:r>
    </w:p>
    <w:p w14:paraId="692AA516" w14:textId="5B0CDD57" w:rsidR="00717B2B" w:rsidRDefault="00717B2B" w:rsidP="00717B2B">
      <w:pPr>
        <w:pStyle w:val="Prrafodelista"/>
        <w:spacing w:line="360" w:lineRule="auto"/>
        <w:ind w:left="0"/>
        <w:jc w:val="both"/>
        <w:rPr>
          <w:rFonts w:ascii="Palatino Linotype" w:hAnsi="Palatino Linotype" w:cs="Arial"/>
          <w:lang w:val="es-ES_tradnl"/>
        </w:rPr>
      </w:pPr>
      <w:r w:rsidRPr="0094651B">
        <w:rPr>
          <w:rFonts w:ascii="Palatino Linotype" w:hAnsi="Palatino Linotype" w:cs="Arial"/>
        </w:rPr>
        <w:t xml:space="preserve">En </w:t>
      </w:r>
      <w:r>
        <w:rPr>
          <w:rFonts w:ascii="Palatino Linotype" w:hAnsi="Palatino Linotype" w:cs="Arial"/>
        </w:rPr>
        <w:t>fecha</w:t>
      </w:r>
      <w:r w:rsidR="00177A1B">
        <w:rPr>
          <w:rFonts w:ascii="Palatino Linotype" w:hAnsi="Palatino Linotype" w:cs="Arial"/>
        </w:rPr>
        <w:t xml:space="preserve"> </w:t>
      </w:r>
      <w:r w:rsidR="007B3CD0">
        <w:rPr>
          <w:rFonts w:ascii="Palatino Linotype" w:hAnsi="Palatino Linotype" w:cs="Arial"/>
        </w:rPr>
        <w:t xml:space="preserve">dos de septiembre de dos mil veintiuno, el recurso de que se trata se registró en el </w:t>
      </w:r>
      <w:r w:rsidR="007B3CD0">
        <w:rPr>
          <w:rFonts w:ascii="Palatino Linotype" w:hAnsi="Palatino Linotype" w:cs="Arial"/>
          <w:b/>
        </w:rPr>
        <w:t xml:space="preserve">SARCOEM </w:t>
      </w:r>
      <w:r w:rsidR="007B3CD0">
        <w:rPr>
          <w:rFonts w:ascii="Palatino Linotype" w:hAnsi="Palatino Linotype" w:cs="Arial"/>
        </w:rPr>
        <w:t xml:space="preserve">y fue turnado al Comisionado Presidente José Martínez Vilchis, a efecto de que </w:t>
      </w:r>
      <w:r w:rsidRPr="0094651B">
        <w:rPr>
          <w:rFonts w:ascii="Palatino Linotype" w:hAnsi="Palatino Linotype" w:cs="Arial"/>
          <w:lang w:val="es-ES_tradnl"/>
        </w:rPr>
        <w:t xml:space="preserve">decretara su admisión o desechamiento, ello en términos de los artículos 11 y 127, de la Ley de Protección de Datos Personales en Posesión de Sujetos Obligados del Estado de México y Municipios, en relación con el diverso 185, fracción I, de la </w:t>
      </w:r>
      <w:r w:rsidRPr="0094651B">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94651B">
        <w:rPr>
          <w:rFonts w:ascii="Palatino Linotype" w:hAnsi="Palatino Linotype" w:cs="Arial"/>
          <w:lang w:val="es-ES_tradnl"/>
        </w:rPr>
        <w:t>.</w:t>
      </w:r>
    </w:p>
    <w:p w14:paraId="1B36BF0C" w14:textId="77777777" w:rsidR="00015DAF" w:rsidRDefault="00015DAF" w:rsidP="00717B2B">
      <w:pPr>
        <w:pStyle w:val="Prrafodelista"/>
        <w:spacing w:line="360" w:lineRule="auto"/>
        <w:ind w:left="0"/>
        <w:jc w:val="both"/>
        <w:rPr>
          <w:rFonts w:ascii="Palatino Linotype" w:hAnsi="Palatino Linotype" w:cs="Arial"/>
          <w:lang w:val="es-ES_tradnl"/>
        </w:rPr>
      </w:pPr>
    </w:p>
    <w:p w14:paraId="240C1ACE" w14:textId="77777777" w:rsidR="00717B2B" w:rsidRDefault="00717B2B" w:rsidP="00717B2B">
      <w:pPr>
        <w:pStyle w:val="Prrafodelista"/>
        <w:spacing w:line="360" w:lineRule="auto"/>
        <w:ind w:left="0"/>
        <w:jc w:val="both"/>
        <w:rPr>
          <w:rFonts w:ascii="Palatino Linotype" w:hAnsi="Palatino Linotype" w:cs="Arial"/>
        </w:rPr>
      </w:pPr>
    </w:p>
    <w:p w14:paraId="16ACA752" w14:textId="3284F847" w:rsidR="00717B2B" w:rsidRPr="0094651B" w:rsidRDefault="007B3CD0" w:rsidP="00717B2B">
      <w:pPr>
        <w:pStyle w:val="Prrafodelista"/>
        <w:spacing w:line="360" w:lineRule="auto"/>
        <w:ind w:left="0"/>
        <w:jc w:val="both"/>
        <w:rPr>
          <w:rFonts w:ascii="Palatino Linotype" w:hAnsi="Palatino Linotype" w:cs="Arial"/>
          <w:b/>
          <w:sz w:val="28"/>
        </w:rPr>
      </w:pPr>
      <w:r>
        <w:rPr>
          <w:rFonts w:ascii="Palatino Linotype" w:hAnsi="Palatino Linotype" w:cs="Arial"/>
          <w:b/>
          <w:sz w:val="28"/>
        </w:rPr>
        <w:t>QUINTO</w:t>
      </w:r>
      <w:r w:rsidR="00717B2B" w:rsidRPr="0094651B">
        <w:rPr>
          <w:rFonts w:ascii="Palatino Linotype" w:hAnsi="Palatino Linotype" w:cs="Arial"/>
          <w:b/>
          <w:sz w:val="28"/>
        </w:rPr>
        <w:t>. De la Admisión y la Etapa de Conciliación.</w:t>
      </w:r>
    </w:p>
    <w:p w14:paraId="789BB0A7" w14:textId="5E03C1AB" w:rsidR="00717B2B" w:rsidRPr="0094651B" w:rsidRDefault="00717B2B" w:rsidP="00717B2B">
      <w:pPr>
        <w:pStyle w:val="Prrafodelista"/>
        <w:spacing w:line="360" w:lineRule="auto"/>
        <w:ind w:left="0"/>
        <w:jc w:val="both"/>
        <w:rPr>
          <w:rFonts w:ascii="Palatino Linotype" w:hAnsi="Palatino Linotype" w:cs="Arial"/>
        </w:rPr>
      </w:pPr>
      <w:r w:rsidRPr="0094651B">
        <w:rPr>
          <w:rFonts w:ascii="Palatino Linotype" w:hAnsi="Palatino Linotype" w:cs="Arial"/>
        </w:rPr>
        <w:t xml:space="preserve">En fecha </w:t>
      </w:r>
      <w:r w:rsidR="007B3CD0">
        <w:rPr>
          <w:rFonts w:ascii="Palatino Linotype" w:hAnsi="Palatino Linotype" w:cs="Arial"/>
        </w:rPr>
        <w:t xml:space="preserve">ocho de septiembre de dos mil veintiuno, </w:t>
      </w:r>
      <w:r w:rsidRPr="0094651B">
        <w:rPr>
          <w:rFonts w:ascii="Palatino Linotype" w:hAnsi="Palatino Linotype" w:cs="Arial"/>
        </w:rPr>
        <w:t xml:space="preserve">atento a lo dispuesto en los artículos 11, 127 y 131, de la Ley de Protección de Datos Personales en Posesión de Sujetos </w:t>
      </w:r>
      <w:r w:rsidRPr="0094651B">
        <w:rPr>
          <w:rFonts w:ascii="Palatino Linotype" w:hAnsi="Palatino Linotype" w:cs="Arial"/>
        </w:rPr>
        <w:lastRenderedPageBreak/>
        <w:t>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07D4FBE5" w14:textId="77777777" w:rsidR="00717B2B" w:rsidRPr="0094651B" w:rsidRDefault="00717B2B" w:rsidP="00717B2B">
      <w:pPr>
        <w:pStyle w:val="Sinespaciado"/>
      </w:pPr>
    </w:p>
    <w:p w14:paraId="10D0322C" w14:textId="53AC38B0" w:rsidR="00717B2B" w:rsidRPr="006F68C6" w:rsidRDefault="00717B2B" w:rsidP="00717B2B">
      <w:pPr>
        <w:pStyle w:val="Prrafodelista"/>
        <w:spacing w:line="360" w:lineRule="auto"/>
        <w:ind w:left="0"/>
        <w:jc w:val="both"/>
        <w:rPr>
          <w:rFonts w:ascii="Palatino Linotype" w:hAnsi="Palatino Linotype" w:cs="Arial"/>
        </w:rPr>
      </w:pPr>
      <w:r w:rsidRPr="0094651B">
        <w:rPr>
          <w:rFonts w:ascii="Palatino Linotype" w:hAnsi="Palatino Linotype" w:cs="Arial"/>
        </w:rPr>
        <w:t xml:space="preserve">Asimismo, </w:t>
      </w:r>
      <w:r>
        <w:rPr>
          <w:rFonts w:ascii="Palatino Linotype" w:hAnsi="Palatino Linotype" w:cs="Arial"/>
        </w:rPr>
        <w:t xml:space="preserve">derivado del acuerdo de exhortación a la conciliación, es menester señalar que </w:t>
      </w:r>
      <w:r w:rsidR="007B3CD0">
        <w:rPr>
          <w:rFonts w:ascii="Palatino Linotype" w:hAnsi="Palatino Linotype" w:cs="Arial"/>
          <w:b/>
        </w:rPr>
        <w:t>La</w:t>
      </w:r>
      <w:r>
        <w:rPr>
          <w:rFonts w:ascii="Palatino Linotype" w:hAnsi="Palatino Linotype" w:cs="Arial"/>
          <w:b/>
        </w:rPr>
        <w:t xml:space="preserve"> Recurrente </w:t>
      </w:r>
      <w:r w:rsidR="001E77B8">
        <w:rPr>
          <w:rFonts w:ascii="Palatino Linotype" w:hAnsi="Palatino Linotype" w:cs="Arial"/>
        </w:rPr>
        <w:t>y</w:t>
      </w:r>
      <w:r w:rsidR="001E77B8">
        <w:rPr>
          <w:rFonts w:ascii="Palatino Linotype" w:hAnsi="Palatino Linotype" w:cs="Arial"/>
          <w:b/>
        </w:rPr>
        <w:t xml:space="preserve"> El Sujeto Obligado </w:t>
      </w:r>
      <w:r w:rsidR="00E172BF">
        <w:rPr>
          <w:rFonts w:ascii="Palatino Linotype" w:hAnsi="Palatino Linotype" w:cs="Arial"/>
          <w:b/>
        </w:rPr>
        <w:t>NO</w:t>
      </w:r>
      <w:r w:rsidR="007B3CD0">
        <w:rPr>
          <w:rFonts w:ascii="Palatino Linotype" w:hAnsi="Palatino Linotype" w:cs="Arial"/>
          <w:b/>
        </w:rPr>
        <w:t xml:space="preserve"> </w:t>
      </w:r>
      <w:r>
        <w:rPr>
          <w:rFonts w:ascii="Palatino Linotype" w:hAnsi="Palatino Linotype" w:cs="Arial"/>
        </w:rPr>
        <w:t xml:space="preserve">accedieron al procedimiento de conciliación, </w:t>
      </w:r>
      <w:r w:rsidR="001E77B8">
        <w:rPr>
          <w:rFonts w:ascii="Palatino Linotype" w:hAnsi="Palatino Linotype" w:cs="Arial"/>
        </w:rPr>
        <w:t xml:space="preserve">precisando que esté último remitió su informe justificado en el apartado en cita, cuyo contenido será materia de análisis en párrafos subsecuentes. Sirve de sustento la siguiente imagen ilustrativa: </w:t>
      </w:r>
    </w:p>
    <w:p w14:paraId="1E217B62" w14:textId="1B458A91" w:rsidR="00717B2B" w:rsidRDefault="00EA7DA4" w:rsidP="00717B2B">
      <w:pPr>
        <w:pStyle w:val="Prrafodelista"/>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4624" behindDoc="0" locked="0" layoutInCell="1" allowOverlap="1" wp14:anchorId="55E1A774" wp14:editId="2F52FAC0">
                <wp:simplePos x="0" y="0"/>
                <wp:positionH relativeFrom="column">
                  <wp:posOffset>-49728</wp:posOffset>
                </wp:positionH>
                <wp:positionV relativeFrom="paragraph">
                  <wp:posOffset>133691</wp:posOffset>
                </wp:positionV>
                <wp:extent cx="6066430" cy="4258102"/>
                <wp:effectExtent l="0" t="0" r="29845" b="28575"/>
                <wp:wrapNone/>
                <wp:docPr id="10" name="Conector recto 10"/>
                <wp:cNvGraphicFramePr/>
                <a:graphic xmlns:a="http://schemas.openxmlformats.org/drawingml/2006/main">
                  <a:graphicData uri="http://schemas.microsoft.com/office/word/2010/wordprocessingShape">
                    <wps:wsp>
                      <wps:cNvCnPr/>
                      <wps:spPr>
                        <a:xfrm>
                          <a:off x="0" y="0"/>
                          <a:ext cx="6066430" cy="42581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42241" id="Conector recto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0.55pt" to="473.75pt,3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" strokecolor="#5b9bd5 [3204]" strokeweight=".5pt">
                <v:stroke joinstyle="miter"/>
              </v:line>
            </w:pict>
          </mc:Fallback>
        </mc:AlternateContent>
      </w:r>
    </w:p>
    <w:p w14:paraId="4A2B4C33" w14:textId="72FF3DD1" w:rsidR="007B3CD0" w:rsidRDefault="001E77B8" w:rsidP="0005728E">
      <w:pPr>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noProof/>
          <w:color w:val="000000"/>
          <w:sz w:val="24"/>
          <w:szCs w:val="24"/>
          <w:lang w:eastAsia="es-MX"/>
        </w:rPr>
        <w:lastRenderedPageBreak/>
        <w:drawing>
          <wp:anchor distT="0" distB="0" distL="114300" distR="114300" simplePos="0" relativeHeight="251666432" behindDoc="0" locked="0" layoutInCell="1" allowOverlap="1" wp14:anchorId="033CA706" wp14:editId="16C9D28D">
            <wp:simplePos x="0" y="0"/>
            <wp:positionH relativeFrom="column">
              <wp:posOffset>-99060</wp:posOffset>
            </wp:positionH>
            <wp:positionV relativeFrom="paragraph">
              <wp:posOffset>19050</wp:posOffset>
            </wp:positionV>
            <wp:extent cx="5753100" cy="7115175"/>
            <wp:effectExtent l="19050" t="19050" r="19050" b="28575"/>
            <wp:wrapThrough wrapText="bothSides">
              <wp:wrapPolygon edited="0">
                <wp:start x="-72" y="-58"/>
                <wp:lineTo x="-72" y="21629"/>
                <wp:lineTo x="21600" y="21629"/>
                <wp:lineTo x="21600" y="-58"/>
                <wp:lineTo x="-72" y="-58"/>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1151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0E8FCD4" w14:textId="1A82E691" w:rsidR="007B3CD0" w:rsidRDefault="00E172BF" w:rsidP="0005728E">
      <w:pPr>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lastRenderedPageBreak/>
        <w:t xml:space="preserve">En virtud de lo anterior, al no </w:t>
      </w:r>
      <w:r w:rsidR="001E77B8">
        <w:rPr>
          <w:rFonts w:ascii="Palatino Linotype" w:eastAsia="Times New Roman" w:hAnsi="Palatino Linotype" w:cs="Arial"/>
          <w:color w:val="000000"/>
          <w:sz w:val="24"/>
          <w:szCs w:val="24"/>
          <w:lang w:eastAsia="es-MX"/>
        </w:rPr>
        <w:t xml:space="preserve">haber manifestado su voluntad para conciliar en términos del numeral 132, fracción I de la Ley de Protección de Datos Personales en Posesión de Sujetos Obligados del Estado de México y Municipios, se dio por concluida la etapa de etapa de conciliación mediante acuerdo de fecha veintiocho de septiembre del presente. </w:t>
      </w:r>
    </w:p>
    <w:p w14:paraId="45382DC7" w14:textId="77777777" w:rsidR="007B3CD0" w:rsidRDefault="007B3CD0" w:rsidP="0005728E">
      <w:pPr>
        <w:spacing w:before="240" w:line="360" w:lineRule="auto"/>
        <w:jc w:val="both"/>
        <w:rPr>
          <w:rFonts w:ascii="Palatino Linotype" w:eastAsia="Times New Roman" w:hAnsi="Palatino Linotype" w:cs="Arial"/>
          <w:color w:val="000000"/>
          <w:sz w:val="24"/>
          <w:szCs w:val="24"/>
          <w:lang w:eastAsia="es-MX"/>
        </w:rPr>
      </w:pPr>
    </w:p>
    <w:p w14:paraId="2995D397" w14:textId="66F0AAE0" w:rsidR="00905AFA" w:rsidRDefault="001E77B8" w:rsidP="00905AFA">
      <w:pPr>
        <w:pStyle w:val="Prrafodelista"/>
        <w:spacing w:line="360" w:lineRule="auto"/>
        <w:ind w:left="0"/>
        <w:jc w:val="both"/>
        <w:rPr>
          <w:rFonts w:ascii="Palatino Linotype" w:hAnsi="Palatino Linotype" w:cs="Arial"/>
          <w:b/>
          <w:sz w:val="28"/>
        </w:rPr>
      </w:pPr>
      <w:r>
        <w:rPr>
          <w:rFonts w:ascii="Palatino Linotype" w:hAnsi="Palatino Linotype" w:cs="Arial"/>
          <w:b/>
          <w:sz w:val="28"/>
        </w:rPr>
        <w:t>SEXTO</w:t>
      </w:r>
      <w:r w:rsidR="00905AFA" w:rsidRPr="0094651B">
        <w:rPr>
          <w:rFonts w:ascii="Palatino Linotype" w:hAnsi="Palatino Linotype" w:cs="Arial"/>
          <w:b/>
          <w:sz w:val="28"/>
        </w:rPr>
        <w:t>. De la etapa de instrucción.</w:t>
      </w:r>
    </w:p>
    <w:p w14:paraId="31F18014" w14:textId="60BCD322" w:rsidR="00EA7DA4" w:rsidRDefault="00905AFA" w:rsidP="00905AFA">
      <w:pPr>
        <w:pStyle w:val="Prrafodelista"/>
        <w:spacing w:line="360" w:lineRule="auto"/>
        <w:ind w:left="0"/>
        <w:jc w:val="both"/>
        <w:rPr>
          <w:rFonts w:ascii="Palatino Linotype" w:hAnsi="Palatino Linotype" w:cs="Arial"/>
        </w:rPr>
      </w:pPr>
      <w:r>
        <w:rPr>
          <w:rFonts w:ascii="Palatino Linotype" w:hAnsi="Palatino Linotype" w:cs="Arial"/>
        </w:rPr>
        <w:t xml:space="preserve">Una vez abierta la etapa de manifestaciones 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Pr="0094651B">
        <w:rPr>
          <w:rFonts w:ascii="Palatino Linotype" w:hAnsi="Palatino Linotype" w:cs="Arial"/>
        </w:rPr>
        <w:t>, en fecha</w:t>
      </w:r>
      <w:r>
        <w:rPr>
          <w:rFonts w:ascii="Palatino Linotype" w:hAnsi="Palatino Linotype" w:cs="Arial"/>
        </w:rPr>
        <w:t xml:space="preserve"> </w:t>
      </w:r>
      <w:r w:rsidR="001E77B8">
        <w:rPr>
          <w:rFonts w:ascii="Palatino Linotype" w:hAnsi="Palatino Linotype" w:cs="Arial"/>
        </w:rPr>
        <w:t>treinta de septiembre del año en curso, presentó su informe justificado</w:t>
      </w:r>
      <w:r w:rsidR="00EA7DA4">
        <w:rPr>
          <w:rFonts w:ascii="Palatino Linotype" w:hAnsi="Palatino Linotype" w:cs="Arial"/>
        </w:rPr>
        <w:t xml:space="preserve"> consistente en lo siguiente: </w:t>
      </w:r>
    </w:p>
    <w:p w14:paraId="43C102B8" w14:textId="77777777" w:rsidR="00EA7DA4" w:rsidRPr="001C1C41" w:rsidRDefault="00EA7DA4" w:rsidP="00EA7DA4">
      <w:pPr>
        <w:pStyle w:val="INFOEM"/>
        <w:numPr>
          <w:ilvl w:val="0"/>
          <w:numId w:val="43"/>
        </w:numPr>
        <w:ind w:right="72"/>
        <w:rPr>
          <w:b/>
          <w:bCs/>
          <w:i w:val="0"/>
          <w:iCs/>
          <w:sz w:val="24"/>
          <w:szCs w:val="24"/>
        </w:rPr>
      </w:pPr>
      <w:r w:rsidRPr="001C1C41">
        <w:rPr>
          <w:b/>
          <w:bCs/>
          <w:i w:val="0"/>
          <w:iCs/>
          <w:sz w:val="24"/>
          <w:szCs w:val="24"/>
        </w:rPr>
        <w:t xml:space="preserve">“168.AD.pdf”: </w:t>
      </w:r>
      <w:r w:rsidRPr="001C1C41">
        <w:rPr>
          <w:i w:val="0"/>
          <w:iCs/>
          <w:sz w:val="24"/>
          <w:szCs w:val="24"/>
        </w:rPr>
        <w:t xml:space="preserve">Oficio </w:t>
      </w:r>
      <w:r w:rsidRPr="001C1C41">
        <w:rPr>
          <w:b/>
          <w:bCs/>
          <w:i w:val="0"/>
          <w:iCs/>
          <w:sz w:val="24"/>
          <w:szCs w:val="24"/>
        </w:rPr>
        <w:t xml:space="preserve">207C 0401210001S-UT-636/2021 </w:t>
      </w:r>
      <w:r>
        <w:rPr>
          <w:i w:val="0"/>
          <w:iCs/>
          <w:sz w:val="24"/>
          <w:szCs w:val="24"/>
        </w:rPr>
        <w:t>remitido mediante respuesta primigenia, cuyo contenido fue descrito con antelación.</w:t>
      </w:r>
    </w:p>
    <w:p w14:paraId="5E922EB3" w14:textId="77777777" w:rsidR="00EA7DA4" w:rsidRPr="00DF10FD" w:rsidRDefault="00EA7DA4" w:rsidP="00EA7DA4">
      <w:pPr>
        <w:pStyle w:val="INFOEM"/>
        <w:numPr>
          <w:ilvl w:val="0"/>
          <w:numId w:val="42"/>
        </w:numPr>
        <w:ind w:right="72"/>
        <w:rPr>
          <w:b/>
          <w:bCs/>
          <w:i w:val="0"/>
          <w:iCs/>
          <w:sz w:val="24"/>
          <w:szCs w:val="24"/>
        </w:rPr>
      </w:pPr>
      <w:r>
        <w:rPr>
          <w:b/>
          <w:bCs/>
          <w:i w:val="0"/>
          <w:iCs/>
          <w:sz w:val="24"/>
          <w:szCs w:val="24"/>
        </w:rPr>
        <w:t xml:space="preserve">“INFORME JUSTIFICADO 168.AD.pdf”: </w:t>
      </w:r>
      <w:r>
        <w:rPr>
          <w:i w:val="0"/>
          <w:iCs/>
          <w:sz w:val="24"/>
          <w:szCs w:val="24"/>
        </w:rPr>
        <w:t xml:space="preserve">Oficio </w:t>
      </w:r>
      <w:r>
        <w:rPr>
          <w:b/>
          <w:bCs/>
          <w:i w:val="0"/>
          <w:iCs/>
          <w:sz w:val="24"/>
          <w:szCs w:val="24"/>
        </w:rPr>
        <w:t xml:space="preserve">207C 0401210001S-UT-1213/2021, </w:t>
      </w:r>
      <w:r>
        <w:rPr>
          <w:i w:val="0"/>
          <w:iCs/>
          <w:sz w:val="24"/>
          <w:szCs w:val="24"/>
        </w:rPr>
        <w:t xml:space="preserve">de fecha nueve de septiembre de dos mil veintiuno, signado por el Responsable y Titular de la Unidad de Transparencia, en lo medular insiste en la necesidad de que la particular acredite su identidad y personalidad ante el Módulo de Transparencia, precisando para tal efecto: </w:t>
      </w:r>
    </w:p>
    <w:p w14:paraId="29166B69" w14:textId="77777777" w:rsidR="00EA7DA4" w:rsidRPr="00DF10FD" w:rsidRDefault="00EA7DA4" w:rsidP="00EA7DA4">
      <w:pPr>
        <w:pStyle w:val="INFOEM"/>
        <w:numPr>
          <w:ilvl w:val="0"/>
          <w:numId w:val="44"/>
        </w:numPr>
        <w:ind w:right="72"/>
        <w:rPr>
          <w:b/>
          <w:bCs/>
          <w:i w:val="0"/>
          <w:iCs/>
          <w:sz w:val="24"/>
          <w:szCs w:val="24"/>
        </w:rPr>
      </w:pPr>
      <w:r>
        <w:rPr>
          <w:i w:val="0"/>
          <w:iCs/>
          <w:sz w:val="24"/>
          <w:szCs w:val="24"/>
        </w:rPr>
        <w:t xml:space="preserve">Que el derecho de acceso a datos personal es una prerrogativa constitucional que procede por propio derecho o incluso a través de un representante. </w:t>
      </w:r>
    </w:p>
    <w:p w14:paraId="5C236193" w14:textId="77777777" w:rsidR="00EA7DA4" w:rsidRPr="00A14A8F" w:rsidRDefault="00EA7DA4" w:rsidP="00EA7DA4">
      <w:pPr>
        <w:pStyle w:val="INFOEM"/>
        <w:numPr>
          <w:ilvl w:val="0"/>
          <w:numId w:val="44"/>
        </w:numPr>
        <w:ind w:right="72"/>
        <w:rPr>
          <w:i w:val="0"/>
          <w:iCs/>
          <w:sz w:val="24"/>
          <w:szCs w:val="24"/>
        </w:rPr>
      </w:pPr>
      <w:r w:rsidRPr="00A14A8F">
        <w:rPr>
          <w:i w:val="0"/>
          <w:iCs/>
          <w:sz w:val="24"/>
          <w:szCs w:val="24"/>
        </w:rPr>
        <w:lastRenderedPageBreak/>
        <w:t xml:space="preserve">Que la representación de personas físicas tratándose del derecho de acceso a datos personales se encuentra supeditada a la exhibición de carta poder simple suscrita ante dos testigos anexando copia de identificaciones de los suscriptores o instrumento público o declaración en comparecencia personal del titular y del representante ante el Instituto. </w:t>
      </w:r>
    </w:p>
    <w:p w14:paraId="54633AB7" w14:textId="77777777" w:rsidR="00EA7DA4" w:rsidRPr="00EA4258" w:rsidRDefault="00EA7DA4" w:rsidP="00EA7DA4">
      <w:pPr>
        <w:pStyle w:val="INFOEM"/>
        <w:numPr>
          <w:ilvl w:val="0"/>
          <w:numId w:val="44"/>
        </w:numPr>
        <w:ind w:right="72"/>
        <w:rPr>
          <w:b/>
          <w:bCs/>
          <w:i w:val="0"/>
          <w:iCs/>
          <w:sz w:val="24"/>
          <w:szCs w:val="24"/>
        </w:rPr>
      </w:pPr>
      <w:r>
        <w:rPr>
          <w:i w:val="0"/>
          <w:iCs/>
          <w:sz w:val="24"/>
          <w:szCs w:val="24"/>
        </w:rPr>
        <w:t xml:space="preserve">Que la entrega de datos personales a través de medios electrónicos se encuentra condicionada a que los sujetos obligados hayan corroborado identidad del titular. </w:t>
      </w:r>
    </w:p>
    <w:p w14:paraId="498590BE" w14:textId="77777777" w:rsidR="00EA7DA4" w:rsidRPr="00EA7DA4" w:rsidRDefault="00EA7DA4" w:rsidP="00905AFA">
      <w:pPr>
        <w:pStyle w:val="Prrafodelista"/>
        <w:spacing w:line="360" w:lineRule="auto"/>
        <w:ind w:left="0"/>
        <w:jc w:val="both"/>
        <w:rPr>
          <w:rFonts w:ascii="Palatino Linotype" w:hAnsi="Palatino Linotype" w:cs="Arial"/>
          <w:lang w:val="es-MX"/>
        </w:rPr>
      </w:pPr>
    </w:p>
    <w:p w14:paraId="407B25A7" w14:textId="49F07E4A" w:rsidR="00905AFA" w:rsidRDefault="00EA7DA4" w:rsidP="00905AFA">
      <w:pPr>
        <w:pStyle w:val="Prrafodelista"/>
        <w:spacing w:line="360" w:lineRule="auto"/>
        <w:ind w:left="0"/>
        <w:jc w:val="both"/>
        <w:rPr>
          <w:rFonts w:ascii="Palatino Linotype" w:hAnsi="Palatino Linotype" w:cs="Arial"/>
          <w:lang w:val="es-ES_tradnl"/>
        </w:rPr>
      </w:pPr>
      <w:r>
        <w:rPr>
          <w:rFonts w:ascii="Palatino Linotype" w:hAnsi="Palatino Linotype" w:cs="Arial"/>
        </w:rPr>
        <w:t>P</w:t>
      </w:r>
      <w:r w:rsidR="001E77B8">
        <w:rPr>
          <w:rFonts w:ascii="Palatino Linotype" w:hAnsi="Palatino Linotype" w:cs="Arial"/>
        </w:rPr>
        <w:t xml:space="preserve">or lo que </w:t>
      </w:r>
      <w:r w:rsidR="001E77B8" w:rsidRPr="0094651B">
        <w:rPr>
          <w:rFonts w:ascii="Palatino Linotype" w:hAnsi="Palatino Linotype" w:cs="Arial"/>
        </w:rPr>
        <w:t xml:space="preserve">con atención al artículo 185, fracción III, de la Ley de Transparencia local, </w:t>
      </w:r>
      <w:r w:rsidR="001E77B8" w:rsidRPr="0094651B">
        <w:rPr>
          <w:rFonts w:ascii="Palatino Linotype" w:hAnsi="Palatino Linotype"/>
          <w:lang w:eastAsia="es-ES_tradnl"/>
        </w:rPr>
        <w:t>de aplicación supletoria</w:t>
      </w:r>
      <w:r w:rsidR="001E77B8" w:rsidRPr="0094651B">
        <w:rPr>
          <w:rFonts w:ascii="Palatino Linotype" w:hAnsi="Palatino Linotype" w:cs="Arial"/>
        </w:rPr>
        <w:t xml:space="preserve"> a la ya citada Ley de Protección de Datos Personales en Posesión de Sujetos Obligados por disposición de su artículo 11</w:t>
      </w:r>
      <w:r w:rsidR="001E77B8" w:rsidRPr="0094651B">
        <w:rPr>
          <w:rFonts w:ascii="Palatino Linotype" w:hAnsi="Palatino Linotype" w:cs="Arial"/>
          <w:lang w:val="es-ES_tradnl"/>
        </w:rPr>
        <w:t>;</w:t>
      </w:r>
      <w:r w:rsidR="001E77B8">
        <w:rPr>
          <w:rFonts w:ascii="Palatino Linotype" w:hAnsi="Palatino Linotype" w:cs="Arial"/>
          <w:lang w:val="es-ES_tradnl"/>
        </w:rPr>
        <w:t xml:space="preserve"> se puso a la vista de </w:t>
      </w:r>
      <w:r w:rsidR="001E77B8">
        <w:rPr>
          <w:rFonts w:ascii="Palatino Linotype" w:hAnsi="Palatino Linotype" w:cs="Arial"/>
          <w:b/>
          <w:lang w:val="es-ES_tradnl"/>
        </w:rPr>
        <w:t xml:space="preserve">La Recurrente </w:t>
      </w:r>
      <w:r w:rsidR="001E77B8">
        <w:rPr>
          <w:rFonts w:ascii="Palatino Linotype" w:hAnsi="Palatino Linotype" w:cs="Arial"/>
          <w:lang w:val="es-ES_tradnl"/>
        </w:rPr>
        <w:t xml:space="preserve">el día </w:t>
      </w:r>
      <w:r w:rsidR="00EA06BC">
        <w:rPr>
          <w:rFonts w:ascii="Palatino Linotype" w:hAnsi="Palatino Linotype" w:cs="Arial"/>
          <w:lang w:val="es-ES_tradnl"/>
        </w:rPr>
        <w:t>seis</w:t>
      </w:r>
      <w:r w:rsidR="001E77B8">
        <w:rPr>
          <w:rFonts w:ascii="Palatino Linotype" w:hAnsi="Palatino Linotype" w:cs="Arial"/>
          <w:lang w:val="es-ES_tradnl"/>
        </w:rPr>
        <w:t xml:space="preserve"> de octubre de dos mil veintiuno, para que dentro del plazo de tres días </w:t>
      </w:r>
      <w:r w:rsidR="009C4B46">
        <w:rPr>
          <w:rFonts w:ascii="Palatino Linotype" w:hAnsi="Palatino Linotype" w:cs="Arial"/>
          <w:lang w:val="es-ES_tradnl"/>
        </w:rPr>
        <w:t xml:space="preserve">manifestara lo que a su derecho convenga; asimismo, se advierte que </w:t>
      </w:r>
      <w:r w:rsidR="009C4B46">
        <w:rPr>
          <w:rFonts w:ascii="Palatino Linotype" w:hAnsi="Palatino Linotype" w:cs="Arial"/>
          <w:b/>
          <w:lang w:val="es-ES_tradnl"/>
        </w:rPr>
        <w:t xml:space="preserve">La Recurrente </w:t>
      </w:r>
      <w:r w:rsidR="00905AFA" w:rsidRPr="0094651B">
        <w:rPr>
          <w:rFonts w:ascii="Palatino Linotype" w:hAnsi="Palatino Linotype" w:cs="Arial"/>
          <w:lang w:val="es-ES_tradnl"/>
        </w:rPr>
        <w:t>no formuló manifestación alguna, ni alegatos; ni exhibió, en ese momento, prueba alguna</w:t>
      </w:r>
      <w:r w:rsidR="00905AFA">
        <w:rPr>
          <w:rFonts w:ascii="Palatino Linotype" w:hAnsi="Palatino Linotype" w:cs="Arial"/>
          <w:lang w:val="es-ES_tradnl"/>
        </w:rPr>
        <w:t>.</w:t>
      </w:r>
    </w:p>
    <w:p w14:paraId="4F604CA3" w14:textId="77777777" w:rsidR="00905AFA" w:rsidRDefault="00905AFA" w:rsidP="00905AFA">
      <w:pPr>
        <w:spacing w:line="360" w:lineRule="auto"/>
        <w:jc w:val="both"/>
        <w:rPr>
          <w:rFonts w:ascii="Palatino Linotype" w:hAnsi="Palatino Linotype" w:cs="Arial"/>
        </w:rPr>
      </w:pPr>
    </w:p>
    <w:p w14:paraId="3C68E24E" w14:textId="612F3E89" w:rsidR="00905AFA" w:rsidRDefault="00905AFA" w:rsidP="00905AFA">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C57CA6">
        <w:rPr>
          <w:rFonts w:ascii="Palatino Linotype" w:hAnsi="Palatino Linotype"/>
        </w:rPr>
        <w:t xml:space="preserve">fecha </w:t>
      </w:r>
      <w:r w:rsidR="007108A8">
        <w:rPr>
          <w:rFonts w:ascii="Palatino Linotype" w:hAnsi="Palatino Linotype"/>
        </w:rPr>
        <w:t>trece</w:t>
      </w:r>
      <w:r w:rsidR="009C4B46">
        <w:rPr>
          <w:rFonts w:ascii="Palatino Linotype" w:hAnsi="Palatino Linotype"/>
        </w:rPr>
        <w:t xml:space="preserve"> de octubre de dos mil veintiuno, mediante acuerdo del </w:t>
      </w:r>
      <w:r w:rsidR="009C4B46">
        <w:rPr>
          <w:rFonts w:ascii="Palatino Linotype" w:hAnsi="Palatino Linotype"/>
          <w:b/>
        </w:rPr>
        <w:t xml:space="preserve">Comisionado Presidente José Martínez Vilchis, </w:t>
      </w:r>
      <w:r w:rsidRPr="0094651B">
        <w:rPr>
          <w:rFonts w:ascii="Palatino Linotype" w:hAnsi="Palatino Linotype"/>
        </w:rPr>
        <w:t xml:space="preserve">una vez transcurrido el plazo otorgado a las partes para que manifestaran lo que a su derecho conviniera, ofrecieran pruebas que estimaran convenientes y rindieran alegatos, se decretó el cierre de </w:t>
      </w:r>
      <w:r w:rsidRPr="0094651B">
        <w:rPr>
          <w:rFonts w:ascii="Palatino Linotype" w:hAnsi="Palatino Linotype"/>
        </w:rPr>
        <w:lastRenderedPageBreak/>
        <w:t>instrucción, en términos del artículo 185, Fracción VI, de la Ley de Transparencia y Acceso a la Información Pública del Estado de México y Municipios.</w:t>
      </w:r>
    </w:p>
    <w:p w14:paraId="286484C8" w14:textId="77777777" w:rsidR="00D52C9E" w:rsidRDefault="00D52C9E" w:rsidP="00D52C9E">
      <w:pPr>
        <w:spacing w:before="240" w:line="360" w:lineRule="auto"/>
        <w:jc w:val="both"/>
        <w:rPr>
          <w:rFonts w:ascii="Palatino Linotype" w:hAnsi="Palatino Linotype" w:cs="Arial"/>
          <w:b/>
          <w:sz w:val="28"/>
        </w:rPr>
      </w:pPr>
    </w:p>
    <w:p w14:paraId="7CE727E9" w14:textId="537E5656" w:rsidR="00D65FA9" w:rsidRPr="006F48D9" w:rsidRDefault="00D65FA9" w:rsidP="00986697">
      <w:pPr>
        <w:spacing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6AE1D445" w14:textId="77777777" w:rsidR="00D65FA9" w:rsidRPr="006F48D9" w:rsidRDefault="00D65FA9" w:rsidP="00D65FA9">
      <w:pPr>
        <w:spacing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05EA705F" w14:textId="77777777" w:rsidR="009C4B46" w:rsidRPr="009C4B46" w:rsidRDefault="009C4B46" w:rsidP="009C4B46">
      <w:pPr>
        <w:spacing w:line="360" w:lineRule="auto"/>
        <w:jc w:val="both"/>
        <w:rPr>
          <w:rFonts w:ascii="Palatino Linotype" w:hAnsi="Palatino Linotype"/>
          <w:sz w:val="24"/>
          <w:szCs w:val="24"/>
        </w:rPr>
      </w:pPr>
      <w:r w:rsidRPr="009C4B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9C4B46">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Default="00D65FA9" w:rsidP="00D65FA9">
      <w:pPr>
        <w:spacing w:line="360" w:lineRule="auto"/>
        <w:jc w:val="both"/>
        <w:rPr>
          <w:rFonts w:ascii="Palatino Linotype" w:hAnsi="Palatino Linotype" w:cs="Arial"/>
        </w:rPr>
      </w:pPr>
    </w:p>
    <w:p w14:paraId="67FC753B" w14:textId="77777777" w:rsidR="001C3A85" w:rsidRPr="00763A84" w:rsidRDefault="001C3A85" w:rsidP="00D65FA9">
      <w:pPr>
        <w:spacing w:line="360" w:lineRule="auto"/>
        <w:jc w:val="both"/>
        <w:rPr>
          <w:rFonts w:ascii="Palatino Linotype" w:hAnsi="Palatino Linotype" w:cs="Arial"/>
        </w:rPr>
      </w:pPr>
    </w:p>
    <w:p w14:paraId="668A8EA2" w14:textId="77777777" w:rsidR="00A91FA4" w:rsidRPr="006F48D9" w:rsidRDefault="00A91FA4" w:rsidP="00A91FA4">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lastRenderedPageBreak/>
        <w:t>SEGUNDO</w:t>
      </w:r>
      <w:r w:rsidRPr="006F48D9">
        <w:rPr>
          <w:rFonts w:ascii="Palatino Linotype" w:hAnsi="Palatino Linotype" w:cs="Arial"/>
          <w:b/>
          <w:sz w:val="28"/>
          <w:szCs w:val="28"/>
        </w:rPr>
        <w:t>. Sobre los alcances del recurso de revisión.</w:t>
      </w:r>
    </w:p>
    <w:p w14:paraId="462DB16D" w14:textId="100841DF" w:rsidR="00EF3E0C" w:rsidRDefault="00370933" w:rsidP="00A91FA4">
      <w:pPr>
        <w:spacing w:before="240" w:line="360" w:lineRule="auto"/>
        <w:jc w:val="both"/>
        <w:rPr>
          <w:rFonts w:ascii="Palatino Linotype" w:hAnsi="Palatino Linotype" w:cs="Arial"/>
          <w:sz w:val="24"/>
          <w:szCs w:val="24"/>
        </w:rPr>
      </w:pPr>
      <w:r>
        <w:rPr>
          <w:rFonts w:ascii="Palatino Linotype" w:hAnsi="Palatino Linotype" w:cs="Arial"/>
          <w:sz w:val="24"/>
          <w:szCs w:val="24"/>
        </w:rPr>
        <w:t>Derivado de la impugnación realizada, es preciso e importante señalar que el recurso de revisión</w:t>
      </w:r>
      <w:r w:rsidR="00EF3E0C">
        <w:rPr>
          <w:rFonts w:ascii="Palatino Linotype" w:hAnsi="Palatino Linotype" w:cs="Arial"/>
          <w:sz w:val="24"/>
          <w:szCs w:val="24"/>
        </w:rPr>
        <w:t xml:space="preserve">, tiene el fin y alcance que señalan los numerales 11, 129, 134, 141 y demás aplicables de la Ley de Protección de Datos Personales en Posesión de Sujetos Obligados vigente en la entidad, el cual será analizado conforme a las actuaciones que obren en el expediente electrónico, con la finalidad de reparar cualquier posible afectación al derecho de acceso, rectificación, cancelación u oposición de datos personales. </w:t>
      </w:r>
    </w:p>
    <w:p w14:paraId="2E896300" w14:textId="77777777" w:rsidR="00EF3E0C" w:rsidRDefault="00EF3E0C" w:rsidP="00A91FA4">
      <w:pPr>
        <w:spacing w:before="240" w:line="360" w:lineRule="auto"/>
        <w:jc w:val="both"/>
        <w:rPr>
          <w:rFonts w:ascii="Palatino Linotype" w:hAnsi="Palatino Linotype" w:cs="Arial"/>
          <w:sz w:val="24"/>
          <w:szCs w:val="24"/>
        </w:rPr>
      </w:pPr>
    </w:p>
    <w:p w14:paraId="40D7989F" w14:textId="77777777" w:rsidR="00FB5574" w:rsidRDefault="00FB5574" w:rsidP="00FB5574">
      <w:pPr>
        <w:pStyle w:val="Prrafodelista"/>
        <w:widowControl w:val="0"/>
        <w:autoSpaceDE w:val="0"/>
        <w:autoSpaceDN w:val="0"/>
        <w:adjustRightInd w:val="0"/>
        <w:spacing w:line="360" w:lineRule="auto"/>
        <w:ind w:left="0"/>
        <w:jc w:val="both"/>
        <w:rPr>
          <w:rFonts w:ascii="Palatino Linotype" w:hAnsi="Palatino Linotype"/>
          <w:b/>
          <w:sz w:val="28"/>
          <w:szCs w:val="28"/>
        </w:rPr>
      </w:pPr>
      <w:r>
        <w:rPr>
          <w:rFonts w:ascii="Palatino Linotype" w:hAnsi="Palatino Linotype"/>
          <w:b/>
          <w:sz w:val="28"/>
          <w:szCs w:val="28"/>
        </w:rPr>
        <w:t xml:space="preserve">TERCERO. Del estudio de las causales de improcedencia y sobreseimiento. </w:t>
      </w:r>
    </w:p>
    <w:p w14:paraId="2A06E66D" w14:textId="77777777" w:rsidR="00FB5574" w:rsidRDefault="00FB5574" w:rsidP="00FB557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14:paraId="65C2B531" w14:textId="77777777" w:rsidR="00FB5574" w:rsidRDefault="00FB5574" w:rsidP="00FB5574">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14:paraId="59080835" w14:textId="77777777" w:rsidR="00015DAF" w:rsidRDefault="00015DAF" w:rsidP="00FB5574">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79AE1195" w14:textId="77777777" w:rsidR="00FB5574" w:rsidRDefault="00FB5574" w:rsidP="00FB5574">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7E08AB">
        <w:rPr>
          <w:rFonts w:ascii="Palatino Linotype" w:hAnsi="Palatino Linotype" w:cs="Arial"/>
        </w:rPr>
        <w:lastRenderedPageBreak/>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14:paraId="5224C523" w14:textId="77777777" w:rsidR="002369B4" w:rsidRPr="00750A92" w:rsidRDefault="002369B4" w:rsidP="002369B4">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En virtud de lo anterior</w:t>
      </w:r>
      <w:r w:rsidRPr="00750A92">
        <w:rPr>
          <w:rFonts w:ascii="Palatino Linotype" w:hAnsi="Palatino Linotype"/>
          <w:sz w:val="24"/>
          <w:szCs w:val="24"/>
          <w:lang w:eastAsia="es-MX"/>
        </w:rPr>
        <w:t xml:space="preserve">, especial mención requiere el contexto para ejercer los derechos </w:t>
      </w:r>
      <w:r w:rsidRPr="00750A92">
        <w:rPr>
          <w:rFonts w:ascii="Palatino Linotype" w:hAnsi="Palatino Linotype"/>
          <w:b/>
          <w:sz w:val="24"/>
          <w:szCs w:val="24"/>
          <w:lang w:eastAsia="es-MX"/>
        </w:rPr>
        <w:t xml:space="preserve">ARCO </w:t>
      </w:r>
      <w:r w:rsidRPr="00750A92">
        <w:rPr>
          <w:rFonts w:ascii="Palatino Linotype" w:hAnsi="Palatino Linotype"/>
          <w:sz w:val="24"/>
          <w:szCs w:val="24"/>
          <w:lang w:eastAsia="es-MX"/>
        </w:rPr>
        <w:t xml:space="preserve">tratándose de </w:t>
      </w:r>
      <w:r>
        <w:rPr>
          <w:rFonts w:ascii="Palatino Linotype" w:hAnsi="Palatino Linotype"/>
          <w:sz w:val="24"/>
          <w:szCs w:val="24"/>
          <w:lang w:eastAsia="es-MX"/>
        </w:rPr>
        <w:t xml:space="preserve">titulares y </w:t>
      </w:r>
      <w:r w:rsidRPr="00750A92">
        <w:rPr>
          <w:rFonts w:ascii="Palatino Linotype" w:hAnsi="Palatino Linotype"/>
          <w:sz w:val="24"/>
          <w:szCs w:val="24"/>
          <w:lang w:eastAsia="es-MX"/>
        </w:rPr>
        <w:t>representantes legales, supuesto normativo estipulado en los artículos 106</w:t>
      </w:r>
      <w:r>
        <w:rPr>
          <w:rFonts w:ascii="Palatino Linotype" w:hAnsi="Palatino Linotype"/>
          <w:sz w:val="24"/>
          <w:szCs w:val="24"/>
          <w:lang w:eastAsia="es-MX"/>
        </w:rPr>
        <w:t>, 120</w:t>
      </w:r>
      <w:r w:rsidRPr="00750A92">
        <w:rPr>
          <w:rFonts w:ascii="Palatino Linotype" w:hAnsi="Palatino Linotype"/>
          <w:sz w:val="24"/>
          <w:szCs w:val="24"/>
          <w:lang w:eastAsia="es-MX"/>
        </w:rPr>
        <w:t xml:space="preserve"> y 121 de la Ley de Protección de Datos Personales en Posesión de Sujetos Obligados del Estado de México y Municipios, normatividad invocada que a la literalidad dispone: </w:t>
      </w:r>
    </w:p>
    <w:p w14:paraId="67AB9E63" w14:textId="77777777" w:rsidR="002369B4" w:rsidRDefault="002369B4" w:rsidP="002369B4">
      <w:pPr>
        <w:widowControl w:val="0"/>
        <w:autoSpaceDE w:val="0"/>
        <w:autoSpaceDN w:val="0"/>
        <w:adjustRightInd w:val="0"/>
        <w:spacing w:before="240" w:line="360" w:lineRule="auto"/>
        <w:ind w:left="851" w:right="851"/>
        <w:jc w:val="both"/>
        <w:rPr>
          <w:rFonts w:ascii="Palatino Linotype" w:hAnsi="Palatino Linotype"/>
          <w:b/>
          <w:i/>
          <w:lang w:eastAsia="es-MX"/>
        </w:rPr>
      </w:pPr>
      <w:r w:rsidRPr="00CE44DE">
        <w:rPr>
          <w:rFonts w:ascii="Palatino Linotype" w:hAnsi="Palatino Linotype"/>
          <w:b/>
          <w:i/>
          <w:lang w:eastAsia="es-MX"/>
        </w:rPr>
        <w:t>“Legitimación para Ejercer los Derechos ARCO</w:t>
      </w:r>
    </w:p>
    <w:p w14:paraId="3DE83187" w14:textId="77777777" w:rsidR="002369B4" w:rsidRPr="00DF2E3E" w:rsidRDefault="002369B4" w:rsidP="002369B4">
      <w:pPr>
        <w:pStyle w:val="INFOEM"/>
        <w:rPr>
          <w:lang w:eastAsia="es-MX"/>
        </w:rPr>
      </w:pPr>
      <w:r w:rsidRPr="00DF2E3E">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DF2E3E">
        <w:rPr>
          <w:lang w:eastAsia="es-MX"/>
        </w:rPr>
        <w:t xml:space="preserve"> </w:t>
      </w:r>
    </w:p>
    <w:p w14:paraId="0FC0E1A9" w14:textId="77777777" w:rsidR="002369B4" w:rsidRDefault="002369B4" w:rsidP="002369B4">
      <w:pPr>
        <w:pStyle w:val="INFOEM"/>
        <w:rPr>
          <w:b/>
          <w:u w:val="single"/>
        </w:rPr>
      </w:pPr>
      <w:r w:rsidRPr="00AF19F7">
        <w:rPr>
          <w:b/>
          <w:u w:val="single"/>
          <w:lang w:eastAsia="es-MX"/>
        </w:rPr>
        <w:t xml:space="preserve"> </w:t>
      </w:r>
      <w:r w:rsidRPr="00AF19F7">
        <w:rPr>
          <w:b/>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r>
        <w:rPr>
          <w:b/>
          <w:u w:val="single"/>
        </w:rPr>
        <w:t>.</w:t>
      </w:r>
    </w:p>
    <w:p w14:paraId="759DCD29" w14:textId="77777777" w:rsidR="002369B4" w:rsidRDefault="002369B4" w:rsidP="002369B4">
      <w:pPr>
        <w:pStyle w:val="INFOEM"/>
      </w:pPr>
      <w:r>
        <w:t>(…)</w:t>
      </w:r>
    </w:p>
    <w:p w14:paraId="41D483A6" w14:textId="77777777" w:rsidR="002369B4" w:rsidRPr="00007FCD" w:rsidRDefault="002369B4" w:rsidP="002369B4">
      <w:pPr>
        <w:pStyle w:val="INFOEM"/>
        <w:rPr>
          <w:b/>
        </w:rPr>
      </w:pPr>
      <w:r w:rsidRPr="00007FCD">
        <w:rPr>
          <w:b/>
        </w:rPr>
        <w:t xml:space="preserve">Medios para acreditar identidad </w:t>
      </w:r>
    </w:p>
    <w:p w14:paraId="10CB448F" w14:textId="77777777" w:rsidR="002369B4" w:rsidRDefault="002369B4" w:rsidP="002369B4">
      <w:pPr>
        <w:pStyle w:val="INFOEM"/>
      </w:pPr>
      <w:r>
        <w:lastRenderedPageBreak/>
        <w:t xml:space="preserve">Artículo 120. El titular podrá acreditar su identidad a través de cualquiera de los medios siguientes: </w:t>
      </w:r>
    </w:p>
    <w:p w14:paraId="6111DFD7" w14:textId="77777777" w:rsidR="002369B4" w:rsidRDefault="002369B4" w:rsidP="002369B4">
      <w:pPr>
        <w:pStyle w:val="INFOEM"/>
      </w:pPr>
      <w:r>
        <w:t xml:space="preserve">I. Identificación oficial. </w:t>
      </w:r>
    </w:p>
    <w:p w14:paraId="05C5164C" w14:textId="77777777" w:rsidR="002369B4" w:rsidRDefault="002369B4" w:rsidP="002369B4">
      <w:pPr>
        <w:pStyle w:val="INFOEM"/>
      </w:pPr>
      <w:r>
        <w:t>II. Firma electrónica avanzada o del instrumento electrónico que lo sustituya.</w:t>
      </w:r>
    </w:p>
    <w:p w14:paraId="74F51741" w14:textId="77777777" w:rsidR="002369B4" w:rsidRDefault="002369B4" w:rsidP="002369B4">
      <w:pPr>
        <w:pStyle w:val="INFOEM"/>
      </w:pPr>
      <w:r>
        <w:t xml:space="preserve"> III. Mecanismos de autenticación autorizados por el Instituto o el Instituto Nacional publicados por acuerdo general en el periódico oficial “Gaceta del Gobierno” o en el Diario Oficial de la Federación. </w:t>
      </w:r>
    </w:p>
    <w:p w14:paraId="798A1AE9" w14:textId="77777777" w:rsidR="002369B4" w:rsidRDefault="002369B4" w:rsidP="002369B4">
      <w:pPr>
        <w:pStyle w:val="INFOEM"/>
      </w:pPr>
      <w:r>
        <w:t>La utilización de la firma electrónica avanzada o del instrumento electrónico que lo sustituya eximirá de la presentación de la copia del documento de identificación.</w:t>
      </w:r>
    </w:p>
    <w:p w14:paraId="4237580D" w14:textId="77777777" w:rsidR="002369B4" w:rsidRDefault="002369B4" w:rsidP="002369B4">
      <w:pPr>
        <w:pStyle w:val="INFOEM"/>
      </w:pPr>
      <w:r w:rsidRPr="00AF19F7">
        <w:rPr>
          <w:b/>
          <w:u w:val="single"/>
        </w:rPr>
        <w:t>Formas para acreditar personalidad en representación</w:t>
      </w:r>
      <w:r>
        <w:t xml:space="preserve"> </w:t>
      </w:r>
    </w:p>
    <w:p w14:paraId="6039CADB" w14:textId="77777777" w:rsidR="002369B4" w:rsidRPr="00532794" w:rsidRDefault="002369B4" w:rsidP="002369B4">
      <w:pPr>
        <w:pStyle w:val="INFOEM"/>
        <w:rPr>
          <w:b/>
          <w:bCs/>
          <w:u w:val="single"/>
        </w:rPr>
      </w:pPr>
      <w:r w:rsidRPr="00532794">
        <w:rPr>
          <w:b/>
          <w:bCs/>
          <w:u w:val="single"/>
        </w:rPr>
        <w:t>Artículo 121. Cuando el titular actúe a través de un representante, éste deberá acreditar su personalidad en los términos siguientes:</w:t>
      </w:r>
    </w:p>
    <w:p w14:paraId="24280F1F" w14:textId="77777777" w:rsidR="002369B4" w:rsidRPr="00AF19F7" w:rsidRDefault="002369B4" w:rsidP="002369B4">
      <w:pPr>
        <w:pStyle w:val="INFOEM"/>
        <w:rPr>
          <w:b/>
          <w:u w:val="single"/>
        </w:rPr>
      </w:pPr>
      <w:r w:rsidRPr="00AF19F7">
        <w:rPr>
          <w:b/>
          <w:u w:val="single"/>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2FD8F0C1" w14:textId="77777777" w:rsidR="002369B4" w:rsidRPr="00AF19F7" w:rsidRDefault="002369B4" w:rsidP="002369B4">
      <w:pPr>
        <w:pStyle w:val="INFOEM"/>
      </w:pPr>
      <w:r>
        <w:t>II. Si se trata de una persona jurídica colectiva, a través de instrumento público.</w:t>
      </w:r>
    </w:p>
    <w:p w14:paraId="3098E372" w14:textId="77777777" w:rsidR="002369B4" w:rsidRDefault="002369B4" w:rsidP="002369B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745A6341" w14:textId="77777777" w:rsidR="002369B4" w:rsidRPr="007D69F7" w:rsidRDefault="002369B4" w:rsidP="002369B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D</w:t>
      </w:r>
      <w:r w:rsidRPr="007D69F7">
        <w:rPr>
          <w:rFonts w:ascii="Palatino Linotype" w:hAnsi="Palatino Linotype" w:cs="Arial"/>
        </w:rPr>
        <w:t xml:space="preserve">isposiciones que, resultan de aplicación estricta para la tramitación del procedimiento que forma parte de las garantías primarias del derecho a la protección </w:t>
      </w:r>
      <w:r w:rsidRPr="007D69F7">
        <w:rPr>
          <w:rFonts w:ascii="Palatino Linotype" w:hAnsi="Palatino Linotype" w:cs="Arial"/>
        </w:rPr>
        <w:lastRenderedPageBreak/>
        <w:t>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4A9EA275" w14:textId="77777777" w:rsidR="002369B4" w:rsidRPr="007D69F7" w:rsidRDefault="002369B4" w:rsidP="002369B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7D69F7">
        <w:rPr>
          <w:rFonts w:ascii="Palatino Linotype" w:hAnsi="Palatino Linotype" w:cs="Arial"/>
        </w:rPr>
        <w:t xml:space="preserve">Ordenamiento al cual se encuentran sujetos los titulares de las unidades de transparencia de los </w:t>
      </w:r>
      <w:r w:rsidRPr="00CE44DE">
        <w:rPr>
          <w:rFonts w:ascii="Palatino Linotype" w:hAnsi="Palatino Linotype" w:cs="Arial"/>
          <w:b/>
        </w:rPr>
        <w:t>Sujetos Obligados,</w:t>
      </w:r>
      <w:r w:rsidRPr="007D69F7">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E44DE">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se lleve a cabo, únicamente a favor de quien cuente con un interés jurídico</w:t>
      </w:r>
      <w:r w:rsidRPr="00DD63FA">
        <w:rPr>
          <w:rFonts w:ascii="Palatino Linotype" w:hAnsi="Palatino Linotype" w:cs="Arial"/>
          <w:b/>
          <w:u w:val="single"/>
        </w:rPr>
        <w:t xml:space="preserve"> o en s</w:t>
      </w:r>
      <w:r>
        <w:rPr>
          <w:rFonts w:ascii="Palatino Linotype" w:hAnsi="Palatino Linotype" w:cs="Arial"/>
          <w:b/>
          <w:u w:val="single"/>
        </w:rPr>
        <w:t>u caso, su representante legal.</w:t>
      </w:r>
    </w:p>
    <w:p w14:paraId="42CB476F" w14:textId="77777777" w:rsidR="002369B4" w:rsidRDefault="002369B4" w:rsidP="002369B4">
      <w:pPr>
        <w:pStyle w:val="Prrafodelista"/>
        <w:widowControl w:val="0"/>
        <w:autoSpaceDE w:val="0"/>
        <w:autoSpaceDN w:val="0"/>
        <w:adjustRightInd w:val="0"/>
        <w:spacing w:before="240" w:after="240" w:line="360" w:lineRule="auto"/>
        <w:ind w:left="0" w:right="49"/>
        <w:jc w:val="both"/>
        <w:rPr>
          <w:rFonts w:ascii="Palatino Linotype" w:hAnsi="Palatino Linotype" w:cs="Arial"/>
          <w:lang w:eastAsia="es-MX"/>
        </w:rPr>
      </w:pPr>
      <w:r w:rsidRPr="007D69F7">
        <w:rPr>
          <w:rFonts w:ascii="Palatino Linotype" w:hAnsi="Palatino Linotype" w:cs="Arial"/>
        </w:rPr>
        <w:t xml:space="preserve">En consecuencia, el ejercicio de derechos ARCO respecto de </w:t>
      </w:r>
      <w:r>
        <w:rPr>
          <w:rFonts w:ascii="Palatino Linotype" w:hAnsi="Palatino Linotype" w:cs="Arial"/>
        </w:rPr>
        <w:t xml:space="preserve">representantes legales </w:t>
      </w:r>
      <w:r w:rsidRPr="007D69F7">
        <w:rPr>
          <w:rFonts w:ascii="Palatino Linotype" w:hAnsi="Palatino Linotype" w:cs="Arial"/>
        </w:rPr>
        <w:t xml:space="preserve"> únicamente podrá llevarse a cabo por quienes cuenten con interés jurídico, por lo cual </w:t>
      </w:r>
      <w:r w:rsidRPr="007D69F7">
        <w:rPr>
          <w:rFonts w:ascii="Palatino Linotype" w:hAnsi="Palatino Linotype"/>
          <w:color w:val="000000"/>
          <w:lang w:eastAsia="es-MX"/>
        </w:rPr>
        <w:t xml:space="preserve">conviene señalar lo estipulado </w:t>
      </w:r>
      <w:r>
        <w:rPr>
          <w:rFonts w:ascii="Palatino Linotype" w:hAnsi="Palatino Linotype"/>
          <w:color w:val="000000"/>
          <w:lang w:eastAsia="es-MX"/>
        </w:rPr>
        <w:t xml:space="preserve">por </w:t>
      </w:r>
      <w:r w:rsidRPr="007D69F7">
        <w:rPr>
          <w:rFonts w:ascii="Palatino Linotype" w:hAnsi="Palatino Linotype" w:cs="Arial"/>
        </w:rPr>
        <w:t>el Poder Judicial de la Federación a través</w:t>
      </w:r>
      <w:r>
        <w:rPr>
          <w:rFonts w:ascii="Palatino Linotype" w:hAnsi="Palatino Linotype" w:cs="Arial"/>
        </w:rPr>
        <w:t xml:space="preserve"> de las Tesis y Jurisprudencias con</w:t>
      </w:r>
      <w:r w:rsidRPr="007D69F7">
        <w:rPr>
          <w:rFonts w:ascii="Palatino Linotype" w:hAnsi="Palatino Linotype" w:cs="Arial"/>
        </w:rPr>
        <w:t xml:space="preserve"> </w:t>
      </w:r>
      <w:r w:rsidRPr="007D69F7">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7D69F7">
        <w:rPr>
          <w:rStyle w:val="Refdenotaalpie"/>
          <w:rFonts w:ascii="Palatino Linotype" w:hAnsi="Palatino Linotype"/>
          <w:lang w:eastAsia="es-MX"/>
        </w:rPr>
        <w:footnoteReference w:id="1"/>
      </w:r>
      <w:r w:rsidRPr="007D69F7">
        <w:rPr>
          <w:rFonts w:ascii="Palatino Linotype" w:hAnsi="Palatino Linotype" w:cs="Arial"/>
          <w:lang w:eastAsia="es-MX"/>
        </w:rPr>
        <w:t xml:space="preserve">, se han pronunciado en cuanto al intereses jurídico en los términos </w:t>
      </w:r>
      <w:r w:rsidRPr="007D69F7">
        <w:rPr>
          <w:rFonts w:ascii="Palatino Linotype" w:hAnsi="Palatino Linotype" w:cs="Arial"/>
          <w:lang w:eastAsia="es-MX"/>
        </w:rPr>
        <w:lastRenderedPageBreak/>
        <w:t>siguientes:</w:t>
      </w:r>
    </w:p>
    <w:p w14:paraId="0B803A81" w14:textId="77777777" w:rsidR="002369B4" w:rsidRDefault="002369B4" w:rsidP="002369B4">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51511DC9" w14:textId="77777777" w:rsidR="002369B4" w:rsidRDefault="002369B4" w:rsidP="002369B4">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2FF08754" w14:textId="77777777" w:rsidR="002369B4" w:rsidRDefault="002369B4" w:rsidP="002369B4">
      <w:pPr>
        <w:spacing w:before="240" w:line="360" w:lineRule="auto"/>
        <w:ind w:left="851" w:right="851"/>
        <w:jc w:val="both"/>
        <w:rPr>
          <w:rFonts w:ascii="Palatino Linotype" w:hAnsi="Palatino Linotype" w:cs="Bookman Old Style"/>
          <w:i/>
        </w:rPr>
      </w:pPr>
    </w:p>
    <w:p w14:paraId="39847D27" w14:textId="77777777" w:rsidR="002369B4" w:rsidRDefault="002369B4" w:rsidP="002369B4">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2AC220A1" w14:textId="77777777" w:rsidR="002369B4" w:rsidRPr="00C95997" w:rsidRDefault="002369B4" w:rsidP="002369B4">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w:t>
      </w:r>
      <w:r w:rsidRPr="007D69F7">
        <w:rPr>
          <w:rFonts w:ascii="Palatino Linotype" w:hAnsi="Palatino Linotype" w:cs="Bookman Old Style"/>
          <w:i/>
        </w:rPr>
        <w:lastRenderedPageBreak/>
        <w:t xml:space="preserve">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38448DBF" w14:textId="3048AAFE" w:rsidR="00F9307F" w:rsidRDefault="00F9307F" w:rsidP="00A91FA4">
      <w:pPr>
        <w:spacing w:before="240" w:line="360" w:lineRule="auto"/>
        <w:jc w:val="both"/>
        <w:rPr>
          <w:rFonts w:ascii="Palatino Linotype" w:hAnsi="Palatino Linotype" w:cs="Arial"/>
          <w:sz w:val="24"/>
          <w:szCs w:val="24"/>
          <w:lang w:val="es-ES"/>
        </w:rPr>
      </w:pPr>
    </w:p>
    <w:p w14:paraId="2312D1D9" w14:textId="349B1E1A" w:rsidR="002369B4" w:rsidRDefault="008F1604" w:rsidP="00A91FA4">
      <w:pPr>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Esbozado</w:t>
      </w:r>
      <w:r w:rsidR="002369B4">
        <w:rPr>
          <w:rFonts w:ascii="Palatino Linotype" w:hAnsi="Palatino Linotype" w:cs="Arial"/>
          <w:sz w:val="24"/>
          <w:szCs w:val="24"/>
          <w:lang w:val="es-ES"/>
        </w:rPr>
        <w:t xml:space="preserve"> </w:t>
      </w:r>
      <w:r>
        <w:rPr>
          <w:rFonts w:ascii="Palatino Linotype" w:hAnsi="Palatino Linotype" w:cs="Arial"/>
          <w:sz w:val="24"/>
          <w:szCs w:val="24"/>
          <w:lang w:val="es-ES"/>
        </w:rPr>
        <w:t>el marco conceptual y procesal de los derechos ARCO</w:t>
      </w:r>
      <w:r w:rsidR="002369B4">
        <w:rPr>
          <w:rFonts w:ascii="Palatino Linotype" w:hAnsi="Palatino Linotype" w:cs="Arial"/>
          <w:sz w:val="24"/>
          <w:szCs w:val="24"/>
          <w:lang w:val="es-ES"/>
        </w:rPr>
        <w:t xml:space="preserve">, </w:t>
      </w:r>
      <w:r>
        <w:rPr>
          <w:rFonts w:ascii="Palatino Linotype" w:hAnsi="Palatino Linotype" w:cs="Arial"/>
          <w:sz w:val="24"/>
          <w:szCs w:val="24"/>
          <w:lang w:val="es-ES"/>
        </w:rPr>
        <w:t xml:space="preserve">es propicio referir </w:t>
      </w:r>
      <w:r w:rsidR="002369B4">
        <w:rPr>
          <w:rFonts w:ascii="Palatino Linotype" w:hAnsi="Palatino Linotype" w:cs="Arial"/>
          <w:sz w:val="24"/>
          <w:szCs w:val="24"/>
          <w:lang w:val="es-ES"/>
        </w:rPr>
        <w:t>desde una perspectiva etimológica</w:t>
      </w:r>
      <w:r>
        <w:rPr>
          <w:rFonts w:ascii="Palatino Linotype" w:hAnsi="Palatino Linotype" w:cs="Arial"/>
          <w:sz w:val="24"/>
          <w:szCs w:val="24"/>
          <w:lang w:val="es-ES"/>
        </w:rPr>
        <w:t xml:space="preserve"> que</w:t>
      </w:r>
      <w:r w:rsidR="002369B4">
        <w:rPr>
          <w:rFonts w:ascii="Palatino Linotype" w:hAnsi="Palatino Linotype" w:cs="Arial"/>
          <w:sz w:val="24"/>
          <w:szCs w:val="24"/>
          <w:lang w:val="es-ES"/>
        </w:rPr>
        <w:t xml:space="preserve"> la palabra sobreseer </w:t>
      </w:r>
      <w:r w:rsidR="006C0604">
        <w:rPr>
          <w:rFonts w:ascii="Palatino Linotype" w:hAnsi="Palatino Linotype" w:cs="Arial"/>
          <w:sz w:val="24"/>
          <w:szCs w:val="24"/>
          <w:lang w:val="es-ES"/>
        </w:rPr>
        <w:t xml:space="preserve">proviene del latín </w:t>
      </w:r>
      <w:r w:rsidR="006C0604">
        <w:rPr>
          <w:rFonts w:ascii="Palatino Linotype" w:hAnsi="Palatino Linotype" w:cs="Arial"/>
          <w:b/>
          <w:i/>
          <w:sz w:val="24"/>
          <w:szCs w:val="24"/>
          <w:lang w:val="es-ES"/>
        </w:rPr>
        <w:t xml:space="preserve">supersedere, </w:t>
      </w:r>
      <w:r w:rsidR="006C0604">
        <w:rPr>
          <w:rFonts w:ascii="Palatino Linotype" w:hAnsi="Palatino Linotype" w:cs="Arial"/>
          <w:sz w:val="24"/>
          <w:szCs w:val="24"/>
          <w:lang w:val="es-ES"/>
        </w:rPr>
        <w:t xml:space="preserve">compuesta por los prefijos </w:t>
      </w:r>
      <w:r w:rsidR="006C0604" w:rsidRPr="006C0604">
        <w:rPr>
          <w:rFonts w:ascii="Palatino Linotype" w:hAnsi="Palatino Linotype" w:cs="Arial"/>
          <w:b/>
          <w:i/>
          <w:sz w:val="24"/>
          <w:szCs w:val="24"/>
          <w:lang w:val="es-ES"/>
        </w:rPr>
        <w:t xml:space="preserve">super </w:t>
      </w:r>
      <w:r w:rsidR="006C0604">
        <w:rPr>
          <w:rFonts w:ascii="Palatino Linotype" w:hAnsi="Palatino Linotype" w:cs="Arial"/>
          <w:sz w:val="24"/>
          <w:szCs w:val="24"/>
          <w:lang w:val="es-ES"/>
        </w:rPr>
        <w:t xml:space="preserve">(sobre, por encima) y </w:t>
      </w:r>
      <w:r w:rsidR="006C0604">
        <w:rPr>
          <w:rFonts w:ascii="Palatino Linotype" w:hAnsi="Palatino Linotype" w:cs="Arial"/>
          <w:b/>
          <w:i/>
          <w:sz w:val="24"/>
          <w:szCs w:val="24"/>
          <w:lang w:val="es-ES"/>
        </w:rPr>
        <w:t xml:space="preserve">sedere </w:t>
      </w:r>
      <w:r w:rsidR="006C0604">
        <w:rPr>
          <w:rFonts w:ascii="Palatino Linotype" w:hAnsi="Palatino Linotype" w:cs="Arial"/>
          <w:sz w:val="24"/>
          <w:szCs w:val="24"/>
          <w:lang w:val="es-ES"/>
        </w:rPr>
        <w:t xml:space="preserve">(estar sentado). Asimismo, la Real Academia Española la define como: </w:t>
      </w:r>
    </w:p>
    <w:p w14:paraId="1848FFFC" w14:textId="61AFC509" w:rsidR="006C0604" w:rsidRDefault="006C0604" w:rsidP="006C0604">
      <w:pPr>
        <w:pStyle w:val="Citas"/>
      </w:pPr>
      <w:r w:rsidRPr="007D545A">
        <w:t xml:space="preserve">“1. </w:t>
      </w:r>
      <w:r>
        <w:t xml:space="preserve">Cesar en el cumplimiento de una obligación pecuniaria. </w:t>
      </w:r>
    </w:p>
    <w:p w14:paraId="00268B04" w14:textId="687B7B81" w:rsidR="006C0604" w:rsidRPr="006C0604" w:rsidRDefault="006C0604" w:rsidP="006C0604">
      <w:pPr>
        <w:pStyle w:val="Citas"/>
        <w:rPr>
          <w:b/>
        </w:rPr>
      </w:pPr>
      <w:r>
        <w:t xml:space="preserve">2. Poner fin a un procedimiento penal o sancionador sin llegar a una resolución sobre el fondo” </w:t>
      </w:r>
      <w:r>
        <w:rPr>
          <w:b/>
        </w:rPr>
        <w:t>[Sic]</w:t>
      </w:r>
    </w:p>
    <w:p w14:paraId="43A03AC2" w14:textId="77777777" w:rsidR="006C0604" w:rsidRDefault="006C0604" w:rsidP="00A91FA4">
      <w:pPr>
        <w:spacing w:before="240" w:line="360" w:lineRule="auto"/>
        <w:jc w:val="both"/>
        <w:rPr>
          <w:rFonts w:ascii="Palatino Linotype" w:hAnsi="Palatino Linotype" w:cs="Arial"/>
          <w:sz w:val="24"/>
          <w:szCs w:val="24"/>
          <w:lang w:val="es-ES"/>
        </w:rPr>
      </w:pPr>
    </w:p>
    <w:p w14:paraId="2F8B199C" w14:textId="5A42218F" w:rsidR="006C0604" w:rsidRPr="00A76F41" w:rsidRDefault="00015DAF" w:rsidP="006C0604">
      <w:pPr>
        <w:pStyle w:val="Prrafodelista"/>
        <w:autoSpaceDE w:val="0"/>
        <w:autoSpaceDN w:val="0"/>
        <w:adjustRightInd w:val="0"/>
        <w:spacing w:line="360" w:lineRule="auto"/>
        <w:ind w:left="0"/>
        <w:jc w:val="both"/>
        <w:rPr>
          <w:rFonts w:ascii="Palatino Linotype" w:hAnsi="Palatino Linotype" w:cs="Arial"/>
        </w:rPr>
      </w:pPr>
      <w:r w:rsidRPr="00A76F41">
        <w:rPr>
          <w:rFonts w:ascii="Palatino Linotype" w:hAnsi="Palatino Linotype" w:cs="Arial"/>
        </w:rPr>
        <w:t>Adicionalmente</w:t>
      </w:r>
      <w:r w:rsidR="006C0604" w:rsidRPr="00A76F41">
        <w:rPr>
          <w:rFonts w:ascii="Palatino Linotype" w:hAnsi="Palatino Linotype" w:cs="Arial"/>
        </w:rPr>
        <w:t xml:space="preserve">, Rafael de Pina (2013) en su obra </w:t>
      </w:r>
      <w:r w:rsidR="006C0604" w:rsidRPr="00A76F41">
        <w:rPr>
          <w:rFonts w:ascii="Palatino Linotype" w:hAnsi="Palatino Linotype" w:cs="Arial"/>
          <w:i/>
        </w:rPr>
        <w:t xml:space="preserve">“Diccionario de Derecho” </w:t>
      </w:r>
      <w:r w:rsidR="006C0604" w:rsidRPr="00A76F41">
        <w:rPr>
          <w:rFonts w:ascii="Palatino Linotype" w:hAnsi="Palatino Linotype" w:cs="Arial"/>
        </w:rPr>
        <w:t xml:space="preserve">delimita las fronteras conceptuales de la palabra </w:t>
      </w:r>
      <w:r w:rsidR="006C0604" w:rsidRPr="00A76F41">
        <w:rPr>
          <w:rFonts w:ascii="Palatino Linotype" w:hAnsi="Palatino Linotype" w:cs="Arial"/>
          <w:b/>
          <w:i/>
        </w:rPr>
        <w:t xml:space="preserve">sobreseer </w:t>
      </w:r>
      <w:r w:rsidR="006C0604" w:rsidRPr="00A76F41">
        <w:rPr>
          <w:rFonts w:ascii="Palatino Linotype" w:hAnsi="Palatino Linotype" w:cs="Arial"/>
        </w:rPr>
        <w:t xml:space="preserve">en los siguientes términos: </w:t>
      </w:r>
    </w:p>
    <w:p w14:paraId="02ABB23A" w14:textId="58E677F1" w:rsidR="006C0604" w:rsidRDefault="006C0604" w:rsidP="006C0604">
      <w:pPr>
        <w:pStyle w:val="Citas"/>
      </w:pPr>
      <w:r w:rsidRPr="007D545A">
        <w:t>“</w:t>
      </w:r>
      <w:r>
        <w:t xml:space="preserve">Dictar la autoridad judicial un auto de sobreseimiento. </w:t>
      </w:r>
    </w:p>
    <w:p w14:paraId="26A9BDE3" w14:textId="4B36DD0F" w:rsidR="006C0604" w:rsidRDefault="006C0604" w:rsidP="006C0604">
      <w:pPr>
        <w:pStyle w:val="Citas"/>
        <w:rPr>
          <w:b/>
        </w:rPr>
      </w:pPr>
      <w:r>
        <w:t xml:space="preserve">Dictar la autoridad administrativa una resolución de este género en virtud de la cual queda sobreseído un expediente” </w:t>
      </w:r>
      <w:r>
        <w:rPr>
          <w:b/>
        </w:rPr>
        <w:t>[Sic]</w:t>
      </w:r>
    </w:p>
    <w:p w14:paraId="12CB533B" w14:textId="77777777" w:rsidR="006C0604" w:rsidRDefault="006C0604" w:rsidP="006C0604">
      <w:pPr>
        <w:pStyle w:val="Citas"/>
        <w:ind w:left="0"/>
      </w:pPr>
    </w:p>
    <w:p w14:paraId="1D44BC8D" w14:textId="6515D162" w:rsidR="006C0604" w:rsidRPr="006C0604" w:rsidRDefault="006C0604" w:rsidP="008F1604">
      <w:pPr>
        <w:pStyle w:val="Citas"/>
        <w:ind w:left="0" w:right="0"/>
        <w:rPr>
          <w:i w:val="0"/>
          <w:sz w:val="24"/>
          <w:szCs w:val="24"/>
        </w:rPr>
      </w:pPr>
      <w:r>
        <w:rPr>
          <w:i w:val="0"/>
          <w:sz w:val="24"/>
          <w:szCs w:val="24"/>
        </w:rPr>
        <w:lastRenderedPageBreak/>
        <w:t xml:space="preserve">De forma complementaria, el autor en cita, define la palabra </w:t>
      </w:r>
      <w:r>
        <w:rPr>
          <w:b/>
          <w:sz w:val="24"/>
          <w:szCs w:val="24"/>
        </w:rPr>
        <w:t xml:space="preserve">sobreseimiento </w:t>
      </w:r>
      <w:r>
        <w:rPr>
          <w:i w:val="0"/>
          <w:sz w:val="24"/>
          <w:szCs w:val="24"/>
        </w:rPr>
        <w:t xml:space="preserve">como: </w:t>
      </w:r>
    </w:p>
    <w:p w14:paraId="643DFA53" w14:textId="08963CD6" w:rsidR="006C0604" w:rsidRDefault="006C0604" w:rsidP="006C0604">
      <w:pPr>
        <w:pStyle w:val="INFOEM"/>
        <w:rPr>
          <w:lang w:val="es-ES"/>
        </w:rPr>
      </w:pPr>
      <w:r>
        <w:rPr>
          <w:lang w:val="es-ES"/>
        </w:rPr>
        <w:t xml:space="preserve">“Acto en virtud del cual una autoridad judicial o administrativa da por terminado un proceso (civil o penal) o un expediente gubernativo con anterioridad al momento en que deba considerarse cerrado el ciclo de las actividades correspondientes al procedimiento de que se trate. </w:t>
      </w:r>
    </w:p>
    <w:p w14:paraId="0D9E2FA3" w14:textId="144459D4" w:rsidR="006C0604" w:rsidRDefault="00C1572B" w:rsidP="006C0604">
      <w:pPr>
        <w:pStyle w:val="INFOEM"/>
        <w:rPr>
          <w:b/>
          <w:lang w:val="es-ES"/>
        </w:rPr>
      </w:pPr>
      <w:r>
        <w:rPr>
          <w:lang w:val="es-ES"/>
        </w:rPr>
        <w:t xml:space="preserve">En el proceso penal el auto de sobreseimiento produce los mismos efectos que la sentencia absolutoria” </w:t>
      </w:r>
      <w:r>
        <w:rPr>
          <w:b/>
          <w:lang w:val="es-ES"/>
        </w:rPr>
        <w:t>[Sic]</w:t>
      </w:r>
    </w:p>
    <w:p w14:paraId="5A596DBD" w14:textId="77777777" w:rsidR="00C1572B" w:rsidRDefault="00C1572B" w:rsidP="00C1572B">
      <w:pPr>
        <w:pStyle w:val="INFOEM"/>
        <w:ind w:left="0"/>
        <w:rPr>
          <w:b/>
          <w:lang w:val="es-ES"/>
        </w:rPr>
      </w:pPr>
    </w:p>
    <w:p w14:paraId="33D3C7E6" w14:textId="683DA404" w:rsidR="00C1572B" w:rsidRDefault="00C1572B" w:rsidP="00C1572B">
      <w:pPr>
        <w:pStyle w:val="INFOEM"/>
        <w:ind w:left="0" w:right="0"/>
        <w:rPr>
          <w:i w:val="0"/>
          <w:sz w:val="24"/>
          <w:szCs w:val="24"/>
          <w:lang w:val="es-ES"/>
        </w:rPr>
      </w:pPr>
      <w:r>
        <w:rPr>
          <w:i w:val="0"/>
          <w:sz w:val="24"/>
          <w:szCs w:val="24"/>
          <w:lang w:val="es-ES"/>
        </w:rPr>
        <w:t xml:space="preserve">Luego entonces, se arriba a la premisa de que el sobreseimiento es una institución de carácter procesal que concluye la instancia judicial o administrativa, que surge como efecto de la actualización de una causa legal que impide su continuación, resolviendo en consecuencia la controversia sin un estudio de fondo. </w:t>
      </w:r>
    </w:p>
    <w:p w14:paraId="46989FF7" w14:textId="29C69BA8" w:rsidR="00C1572B" w:rsidRDefault="00C1572B" w:rsidP="00C1572B">
      <w:pPr>
        <w:pStyle w:val="INFOEM"/>
        <w:ind w:left="0" w:right="0"/>
        <w:rPr>
          <w:i w:val="0"/>
          <w:sz w:val="24"/>
          <w:szCs w:val="24"/>
          <w:lang w:val="es-ES"/>
        </w:rPr>
      </w:pPr>
      <w:r>
        <w:rPr>
          <w:i w:val="0"/>
          <w:sz w:val="24"/>
          <w:szCs w:val="24"/>
          <w:lang w:val="es-ES"/>
        </w:rPr>
        <w:t xml:space="preserve">Una vez precisadas dichas consideraciones, por cuestión de método y técnica jurídica, se procede a estudiar al presente asunto a la luz del artículo 139, fracción III de la Ley de Protección de Datos Personales en Posesión de Sujetos Obligados del Estado de México y Municipios, </w:t>
      </w:r>
      <w:r w:rsidR="009F4F11">
        <w:rPr>
          <w:i w:val="0"/>
          <w:sz w:val="24"/>
          <w:szCs w:val="24"/>
          <w:lang w:val="es-ES"/>
        </w:rPr>
        <w:t xml:space="preserve">que reza a la letra lo siguiente: </w:t>
      </w:r>
    </w:p>
    <w:p w14:paraId="70530A6C" w14:textId="22D10868" w:rsidR="00C1572B" w:rsidRDefault="00C1572B" w:rsidP="00C1572B">
      <w:pPr>
        <w:pStyle w:val="Citas"/>
      </w:pPr>
      <w:r>
        <w:t>“Artículo 139. El recurso de revisión sólo podrá ser sobreseído cuando:</w:t>
      </w:r>
    </w:p>
    <w:p w14:paraId="483C3959" w14:textId="39424101" w:rsidR="00C1572B" w:rsidRDefault="00C1572B" w:rsidP="00C1572B">
      <w:pPr>
        <w:pStyle w:val="Citas"/>
      </w:pPr>
      <w:r>
        <w:t>(…)</w:t>
      </w:r>
    </w:p>
    <w:p w14:paraId="3DC4885F" w14:textId="028E560E" w:rsidR="00C1572B" w:rsidRPr="00C1572B" w:rsidRDefault="00C1572B" w:rsidP="00C1572B">
      <w:pPr>
        <w:pStyle w:val="Citas"/>
        <w:rPr>
          <w:b/>
          <w:u w:val="single"/>
        </w:rPr>
      </w:pPr>
      <w:r w:rsidRPr="00C1572B">
        <w:rPr>
          <w:b/>
          <w:u w:val="single"/>
        </w:rPr>
        <w:t>III. Admitido el recurso de revisión, se actualice alguna causal de improcedencia en los términos de la presente Ley.</w:t>
      </w:r>
    </w:p>
    <w:p w14:paraId="2987F655" w14:textId="5F4AFC73" w:rsidR="00C1572B" w:rsidRPr="00C1572B" w:rsidRDefault="00C1572B" w:rsidP="00C1572B">
      <w:pPr>
        <w:pStyle w:val="Citas"/>
        <w:rPr>
          <w:b/>
          <w:sz w:val="24"/>
          <w:szCs w:val="24"/>
          <w:lang w:val="es-ES"/>
        </w:rPr>
      </w:pPr>
      <w:r>
        <w:lastRenderedPageBreak/>
        <w:t xml:space="preserve">(…)” </w:t>
      </w:r>
      <w:r>
        <w:rPr>
          <w:b/>
        </w:rPr>
        <w:t>[Sic]</w:t>
      </w:r>
    </w:p>
    <w:p w14:paraId="6ED48CDD" w14:textId="6B2CFC22" w:rsidR="00EF3E0C" w:rsidRDefault="00EF3E0C" w:rsidP="00A91FA4">
      <w:pPr>
        <w:spacing w:before="240" w:line="360" w:lineRule="auto"/>
        <w:jc w:val="both"/>
        <w:rPr>
          <w:rFonts w:ascii="Palatino Linotype" w:hAnsi="Palatino Linotype" w:cs="Arial"/>
          <w:sz w:val="24"/>
          <w:szCs w:val="24"/>
        </w:rPr>
      </w:pPr>
    </w:p>
    <w:p w14:paraId="5AC3BA44" w14:textId="5AEDC412" w:rsidR="00C1572B" w:rsidRDefault="009F4F11" w:rsidP="00A91FA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Es decir, de una interpretación literal y gramatical a la porción normativa en cita se desprenden tres elementos normativos: </w:t>
      </w:r>
    </w:p>
    <w:p w14:paraId="4015075E" w14:textId="77777777" w:rsidR="009F4F11" w:rsidRPr="00E63047" w:rsidRDefault="009F4F11" w:rsidP="009F4F11">
      <w:pPr>
        <w:pStyle w:val="Prrafodelista"/>
        <w:numPr>
          <w:ilvl w:val="0"/>
          <w:numId w:val="48"/>
        </w:numPr>
        <w:spacing w:line="360" w:lineRule="auto"/>
        <w:jc w:val="both"/>
        <w:rPr>
          <w:rFonts w:ascii="Palatino Linotype" w:hAnsi="Palatino Linotype" w:cs="Arial"/>
        </w:rPr>
      </w:pPr>
      <w:r w:rsidRPr="00E63047">
        <w:rPr>
          <w:rFonts w:ascii="Palatino Linotype" w:hAnsi="Palatino Linotype" w:cs="Arial"/>
        </w:rPr>
        <w:t>Admitido el recurso de revisión;</w:t>
      </w:r>
    </w:p>
    <w:p w14:paraId="01C87B37" w14:textId="77777777" w:rsidR="009F4F11" w:rsidRPr="00E63047" w:rsidRDefault="009F4F11" w:rsidP="009F4F11">
      <w:pPr>
        <w:pStyle w:val="Prrafodelista"/>
        <w:numPr>
          <w:ilvl w:val="0"/>
          <w:numId w:val="48"/>
        </w:numPr>
        <w:spacing w:line="360" w:lineRule="auto"/>
        <w:jc w:val="both"/>
        <w:rPr>
          <w:rFonts w:ascii="Palatino Linotype" w:hAnsi="Palatino Linotype" w:cs="Arial"/>
        </w:rPr>
      </w:pPr>
      <w:r w:rsidRPr="00E63047">
        <w:rPr>
          <w:rFonts w:ascii="Palatino Linotype" w:hAnsi="Palatino Linotype" w:cs="Arial"/>
        </w:rPr>
        <w:t>Aparezca alguna causal de improcedencia;</w:t>
      </w:r>
    </w:p>
    <w:p w14:paraId="032BAD33" w14:textId="77777777" w:rsidR="009F4F11" w:rsidRPr="00E63047" w:rsidRDefault="009F4F11" w:rsidP="009F4F11">
      <w:pPr>
        <w:pStyle w:val="Prrafodelista"/>
        <w:numPr>
          <w:ilvl w:val="0"/>
          <w:numId w:val="48"/>
        </w:numPr>
        <w:spacing w:line="360" w:lineRule="auto"/>
        <w:jc w:val="both"/>
        <w:rPr>
          <w:rFonts w:ascii="Palatino Linotype" w:hAnsi="Palatino Linotype" w:cs="Arial"/>
        </w:rPr>
      </w:pPr>
      <w:r w:rsidRPr="00E63047">
        <w:rPr>
          <w:rFonts w:ascii="Palatino Linotype" w:hAnsi="Palatino Linotype" w:cs="Arial"/>
        </w:rPr>
        <w:t>En los términos de la presente ley.</w:t>
      </w:r>
    </w:p>
    <w:p w14:paraId="308E3757" w14:textId="77777777" w:rsidR="009F4F11" w:rsidRDefault="009F4F11" w:rsidP="00A91FA4">
      <w:pPr>
        <w:spacing w:before="240" w:line="360" w:lineRule="auto"/>
        <w:jc w:val="both"/>
        <w:rPr>
          <w:rFonts w:ascii="Palatino Linotype" w:hAnsi="Palatino Linotype" w:cs="Arial"/>
          <w:sz w:val="24"/>
          <w:szCs w:val="24"/>
        </w:rPr>
      </w:pPr>
    </w:p>
    <w:p w14:paraId="26A610F3" w14:textId="587196E8" w:rsidR="009F4F11" w:rsidRPr="00E63047" w:rsidRDefault="009F4F11" w:rsidP="009F4F11">
      <w:pPr>
        <w:spacing w:after="0" w:line="360" w:lineRule="auto"/>
        <w:jc w:val="both"/>
        <w:rPr>
          <w:rFonts w:ascii="Palatino Linotype" w:hAnsi="Palatino Linotype" w:cs="Arial"/>
          <w:sz w:val="24"/>
        </w:rPr>
      </w:pPr>
      <w:r w:rsidRPr="00E63047">
        <w:rPr>
          <w:rFonts w:ascii="Palatino Linotype" w:hAnsi="Palatino Linotype" w:cs="Arial"/>
          <w:sz w:val="24"/>
        </w:rPr>
        <w:t xml:space="preserve">El primer elemento normativo en el caso en concreto que se resuelve se actualiza, ya que el presente recurso de revisión fue admitido en fecha </w:t>
      </w:r>
      <w:r>
        <w:rPr>
          <w:rFonts w:ascii="Palatino Linotype" w:hAnsi="Palatino Linotype" w:cs="Arial"/>
          <w:b/>
          <w:sz w:val="24"/>
        </w:rPr>
        <w:t>ocho de septiembre</w:t>
      </w:r>
      <w:r w:rsidRPr="00E63047">
        <w:rPr>
          <w:rFonts w:ascii="Palatino Linotype" w:hAnsi="Palatino Linotype" w:cs="Arial"/>
          <w:b/>
          <w:sz w:val="24"/>
        </w:rPr>
        <w:t xml:space="preserve"> de dos mil veintiuno</w:t>
      </w:r>
      <w:r w:rsidRPr="00E63047">
        <w:rPr>
          <w:rFonts w:ascii="Palatino Linotype" w:hAnsi="Palatino Linotype" w:cs="Arial"/>
          <w:sz w:val="24"/>
        </w:rPr>
        <w:t>, es decir, ya aconteció el presupuesto primario que prevé la hipótesis legal, para que está opere.</w:t>
      </w:r>
    </w:p>
    <w:p w14:paraId="2E33B405" w14:textId="1B63727A" w:rsidR="009F4F11" w:rsidRDefault="009F4F11" w:rsidP="00A91FA4">
      <w:pPr>
        <w:spacing w:before="240" w:line="360" w:lineRule="auto"/>
        <w:jc w:val="both"/>
        <w:rPr>
          <w:rFonts w:ascii="Palatino Linotype" w:hAnsi="Palatino Linotype" w:cs="Arial"/>
          <w:sz w:val="24"/>
        </w:rPr>
      </w:pPr>
      <w:r w:rsidRPr="00E63047">
        <w:rPr>
          <w:rFonts w:ascii="Palatino Linotype" w:hAnsi="Palatino Linotype" w:cs="Arial"/>
          <w:sz w:val="24"/>
        </w:rPr>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w:t>
      </w:r>
      <w:r w:rsidRPr="00E63047">
        <w:rPr>
          <w:rFonts w:ascii="Palatino Linotype" w:hAnsi="Palatino Linotype" w:cs="Arial"/>
          <w:i/>
          <w:sz w:val="24"/>
        </w:rPr>
        <w:t>(la admisión y la procedibilidad)</w:t>
      </w:r>
      <w:r w:rsidRPr="00E63047">
        <w:rPr>
          <w:rFonts w:ascii="Palatino Linotype" w:hAnsi="Palatino Linotype" w:cs="Arial"/>
          <w:sz w:val="24"/>
        </w:rPr>
        <w:t xml:space="preserve">, sino que una va inmersa en la otra, se entiende ello de la lectura </w:t>
      </w:r>
      <w:r>
        <w:rPr>
          <w:rFonts w:ascii="Palatino Linotype" w:hAnsi="Palatino Linotype" w:cs="Arial"/>
          <w:sz w:val="24"/>
        </w:rPr>
        <w:t xml:space="preserve">del numeral 185, fracción I de la Ley de Transparencia local, porción normativa de aplicación supletoria que dispone a la literalidad lo siguiente: </w:t>
      </w:r>
    </w:p>
    <w:p w14:paraId="31B76207" w14:textId="512B827E" w:rsidR="009F4F11" w:rsidRPr="00E63047" w:rsidRDefault="009F4F11" w:rsidP="009F4F11">
      <w:pPr>
        <w:pStyle w:val="INFOEM"/>
      </w:pPr>
      <w:r w:rsidRPr="00E63047">
        <w:lastRenderedPageBreak/>
        <w:t xml:space="preserve"> “</w:t>
      </w:r>
      <w:r w:rsidRPr="00E63047">
        <w:rPr>
          <w:b/>
        </w:rPr>
        <w:t>Artículo 185.</w:t>
      </w:r>
      <w:r w:rsidRPr="00E63047">
        <w:t xml:space="preserve"> El Instituto resolverá el recurso de revisión conforme a lo siguiente:</w:t>
      </w:r>
    </w:p>
    <w:p w14:paraId="633871EB" w14:textId="12C5C33D" w:rsidR="009F4F11" w:rsidRDefault="009F4F11" w:rsidP="009F4F11">
      <w:pPr>
        <w:pStyle w:val="INFOEM"/>
      </w:pPr>
      <w:r w:rsidRPr="00E63047">
        <w:t xml:space="preserve">I. Interpuesto el recurso de revisión, el sistema electrónico y excepcionalmente, el Presidente del Pleno lo turnará en un plazo no mayor de tres días hábiles, al Comisionado ponente que corresponda, </w:t>
      </w:r>
      <w:r w:rsidRPr="00E63047">
        <w:rPr>
          <w:b/>
          <w:u w:val="single"/>
        </w:rPr>
        <w:t>quien deberá proceder a su análisis para que decrete su admisión o su desechamiento</w:t>
      </w:r>
      <w:r>
        <w:t>;</w:t>
      </w:r>
    </w:p>
    <w:p w14:paraId="3ECE7E08" w14:textId="41BDECD6" w:rsidR="009F4F11" w:rsidRPr="009F4F11" w:rsidRDefault="009F4F11" w:rsidP="009F4F11">
      <w:pPr>
        <w:pStyle w:val="INFOEM"/>
        <w:rPr>
          <w:b/>
        </w:rPr>
      </w:pPr>
      <w:r>
        <w:t xml:space="preserve">(…)” </w:t>
      </w:r>
      <w:r>
        <w:rPr>
          <w:b/>
        </w:rPr>
        <w:t xml:space="preserve">[Sic] </w:t>
      </w:r>
    </w:p>
    <w:p w14:paraId="1A4F2171" w14:textId="77777777" w:rsidR="009F4F11" w:rsidRDefault="009F4F11" w:rsidP="009F4F11">
      <w:pPr>
        <w:pStyle w:val="INFOEM"/>
        <w:ind w:left="0"/>
        <w:rPr>
          <w:b/>
        </w:rPr>
      </w:pPr>
    </w:p>
    <w:p w14:paraId="40EB64F6" w14:textId="77777777" w:rsidR="009F4F11" w:rsidRPr="00E63047" w:rsidRDefault="009F4F11" w:rsidP="009F4F11">
      <w:pPr>
        <w:spacing w:after="0" w:line="360" w:lineRule="auto"/>
        <w:jc w:val="both"/>
        <w:rPr>
          <w:rFonts w:ascii="Palatino Linotype" w:hAnsi="Palatino Linotype" w:cs="Arial"/>
          <w:sz w:val="24"/>
        </w:rPr>
      </w:pPr>
      <w:r w:rsidRPr="00E63047">
        <w:rPr>
          <w:rFonts w:ascii="Palatino Linotype" w:hAnsi="Palatino Linotype" w:cs="Arial"/>
          <w:sz w:val="24"/>
        </w:rPr>
        <w:t>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ambos casos se debe analizar si el recurso es procedente o no, para llegar a la determinación de admitir o desechar.</w:t>
      </w:r>
    </w:p>
    <w:p w14:paraId="218D06F0" w14:textId="77777777" w:rsidR="009F4F11" w:rsidRPr="00E63047" w:rsidRDefault="009F4F11" w:rsidP="009F4F11">
      <w:pPr>
        <w:spacing w:after="0" w:line="360" w:lineRule="auto"/>
        <w:jc w:val="both"/>
        <w:rPr>
          <w:rFonts w:ascii="Palatino Linotype" w:hAnsi="Palatino Linotype" w:cs="Arial"/>
          <w:sz w:val="24"/>
        </w:rPr>
      </w:pPr>
    </w:p>
    <w:p w14:paraId="3A4FE94C" w14:textId="77777777" w:rsidR="009F4F11" w:rsidRPr="00E63047" w:rsidRDefault="009F4F11" w:rsidP="009F4F11">
      <w:pPr>
        <w:spacing w:after="0" w:line="360" w:lineRule="auto"/>
        <w:jc w:val="both"/>
        <w:rPr>
          <w:rFonts w:ascii="Palatino Linotype" w:hAnsi="Palatino Linotype" w:cs="Arial"/>
          <w:sz w:val="24"/>
        </w:rPr>
      </w:pPr>
      <w:r w:rsidRPr="00E63047">
        <w:rPr>
          <w:rFonts w:ascii="Palatino Linotype" w:hAnsi="Palatino Linotype" w:cs="Arial"/>
          <w:sz w:val="24"/>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E63047">
        <w:rPr>
          <w:rFonts w:ascii="Palatino Linotype" w:hAnsi="Palatino Linotype" w:cs="Arial"/>
          <w:i/>
          <w:sz w:val="24"/>
        </w:rPr>
        <w:t>sensu,</w:t>
      </w:r>
      <w:r w:rsidRPr="00E63047">
        <w:rPr>
          <w:rFonts w:ascii="Palatino Linotype" w:hAnsi="Palatino Linotype" w:cs="Arial"/>
          <w:sz w:val="24"/>
        </w:rPr>
        <w:t xml:space="preserve"> no podemos referirnos a que sí se actualiza una causal de desechamiento sea visto como un asunto procedente; sino que al admitirse un asunto es porque se llegó a la conclusión de que operaron las condiciones necesarias que hacen </w:t>
      </w:r>
      <w:r w:rsidRPr="00E63047">
        <w:rPr>
          <w:rFonts w:ascii="Palatino Linotype" w:hAnsi="Palatino Linotype" w:cs="Arial"/>
          <w:sz w:val="24"/>
        </w:rPr>
        <w:lastRenderedPageBreak/>
        <w:t>a un recurso de revisión como procedente, en suma, la admisión y la procedencia deben tratarse como un solo acto, porque la ley no hace tal distinción sino que establece ambos en un solo acto, citado en el supuesto legal arriba transcrito.</w:t>
      </w:r>
    </w:p>
    <w:p w14:paraId="059B822C" w14:textId="6423B291" w:rsidR="009F4F11" w:rsidRDefault="009F4F11" w:rsidP="009F4F11">
      <w:pPr>
        <w:pStyle w:val="INFOEM"/>
        <w:ind w:left="0" w:right="0"/>
        <w:rPr>
          <w:i w:val="0"/>
          <w:sz w:val="24"/>
          <w:szCs w:val="24"/>
        </w:rPr>
      </w:pPr>
      <w:r>
        <w:rPr>
          <w:i w:val="0"/>
          <w:sz w:val="24"/>
          <w:szCs w:val="24"/>
        </w:rPr>
        <w:t>Toda vez que el recurso de revisión en estudio, se ha decretado su admisión y por ende su procedencia, ya que actualiza alguna de las hipótesis previstas en el artículo 129 de la Ley de Protección de Datos Personales en Posesión de Sujetos Obligados del Estado de México y Municipios, que dispone lo siguiente:</w:t>
      </w:r>
    </w:p>
    <w:p w14:paraId="488650B9" w14:textId="49F43D48" w:rsidR="009F4F11" w:rsidRDefault="009F4F11" w:rsidP="009F4F11">
      <w:pPr>
        <w:pStyle w:val="Citas"/>
      </w:pPr>
      <w:r>
        <w:t>“Artículo 129. El recurso de revisión procederá en los supuestos siguientes:</w:t>
      </w:r>
    </w:p>
    <w:p w14:paraId="39DFD8D6" w14:textId="3FD59246" w:rsidR="009F4F11" w:rsidRPr="009F4F11" w:rsidRDefault="009F4F11" w:rsidP="009F4F11">
      <w:pPr>
        <w:pStyle w:val="Citas"/>
        <w:rPr>
          <w:b/>
          <w:sz w:val="24"/>
          <w:szCs w:val="24"/>
        </w:rPr>
      </w:pPr>
      <w:r>
        <w:t xml:space="preserve">(…)” </w:t>
      </w:r>
      <w:r>
        <w:rPr>
          <w:b/>
        </w:rPr>
        <w:t xml:space="preserve">[Sic] </w:t>
      </w:r>
    </w:p>
    <w:p w14:paraId="62183A5B" w14:textId="77777777" w:rsidR="007813C4" w:rsidRDefault="007813C4" w:rsidP="007813C4">
      <w:pPr>
        <w:pStyle w:val="INFOEM"/>
        <w:ind w:left="0" w:right="0"/>
        <w:rPr>
          <w:i w:val="0"/>
          <w:sz w:val="24"/>
        </w:rPr>
      </w:pPr>
    </w:p>
    <w:p w14:paraId="77BF4650" w14:textId="77777777" w:rsidR="007813C4" w:rsidRPr="00E63047" w:rsidRDefault="007813C4" w:rsidP="007813C4">
      <w:pPr>
        <w:spacing w:after="0" w:line="360" w:lineRule="auto"/>
        <w:jc w:val="both"/>
        <w:rPr>
          <w:rFonts w:ascii="Palatino Linotype" w:hAnsi="Palatino Linotype" w:cs="Arial"/>
          <w:sz w:val="24"/>
        </w:rPr>
      </w:pPr>
      <w:r w:rsidRPr="006D73E1">
        <w:rPr>
          <w:rFonts w:ascii="Palatino Linotype" w:hAnsi="Palatino Linotype" w:cs="Arial"/>
          <w:sz w:val="24"/>
        </w:rPr>
        <w:t>Como se puede observar, el artículo en cita es el único dentro de la</w:t>
      </w:r>
      <w:r w:rsidRPr="006D73E1">
        <w:rPr>
          <w:rFonts w:ascii="Palatino Linotype" w:hAnsi="Palatino Linotype"/>
          <w:sz w:val="24"/>
          <w:szCs w:val="24"/>
        </w:rPr>
        <w:t xml:space="preserve"> Ley de Protección de Datos Personales en Posesión de Sujetos Obligados del Estado de México y Municipios, que</w:t>
      </w:r>
      <w:r>
        <w:rPr>
          <w:i/>
          <w:sz w:val="24"/>
          <w:szCs w:val="24"/>
        </w:rPr>
        <w:t xml:space="preserve"> </w:t>
      </w:r>
      <w:r w:rsidRPr="00E63047">
        <w:rPr>
          <w:rFonts w:ascii="Palatino Linotype" w:hAnsi="Palatino Linotype" w:cs="Arial"/>
          <w:sz w:val="24"/>
        </w:rPr>
        <w:t>prevé las causas de procedencia de los recursos de revisión, (sin que se advierte la existencia de alguno otro) por ende es que para que se admita un recurso de revisión se debe actualizar uno de los supuestos previstos en el artículo aludido.</w:t>
      </w:r>
    </w:p>
    <w:p w14:paraId="7F5963BD" w14:textId="7291C207" w:rsidR="009F4F11" w:rsidRDefault="007813C4" w:rsidP="007813C4">
      <w:pPr>
        <w:pStyle w:val="INFOEM"/>
        <w:ind w:left="0" w:right="0"/>
        <w:rPr>
          <w:i w:val="0"/>
          <w:sz w:val="24"/>
          <w:szCs w:val="24"/>
        </w:rPr>
      </w:pPr>
      <w:r>
        <w:rPr>
          <w:i w:val="0"/>
          <w:sz w:val="24"/>
          <w:szCs w:val="24"/>
        </w:rPr>
        <w:t xml:space="preserve">Ahora bien, </w:t>
      </w:r>
      <w:r w:rsidR="00B8720B">
        <w:rPr>
          <w:i w:val="0"/>
          <w:sz w:val="24"/>
          <w:szCs w:val="24"/>
        </w:rPr>
        <w:t xml:space="preserve">por analogía </w:t>
      </w:r>
      <w:r w:rsidR="009455E7">
        <w:rPr>
          <w:i w:val="0"/>
          <w:sz w:val="24"/>
          <w:szCs w:val="24"/>
        </w:rPr>
        <w:t xml:space="preserve">conviene señalar lo estipulado por el Poder Judicial de la Federación a través de la jurisprudencia con número de registro </w:t>
      </w:r>
      <w:r w:rsidR="009455E7">
        <w:rPr>
          <w:b/>
          <w:i w:val="0"/>
          <w:sz w:val="24"/>
          <w:szCs w:val="24"/>
        </w:rPr>
        <w:t xml:space="preserve">195744 </w:t>
      </w:r>
      <w:r w:rsidR="009455E7">
        <w:rPr>
          <w:i w:val="0"/>
          <w:sz w:val="24"/>
          <w:szCs w:val="24"/>
        </w:rPr>
        <w:t>de la Novena Época</w:t>
      </w:r>
      <w:r w:rsidR="008B16BB">
        <w:rPr>
          <w:i w:val="0"/>
          <w:sz w:val="24"/>
          <w:szCs w:val="24"/>
        </w:rPr>
        <w:t xml:space="preserve">, sustentada por la Segunda Sala de la Suprema Corte de Justicia de la Nación, órgano colegiado que se ha pronunciado en cuanto al sobreseimiento en los siguientes términos: </w:t>
      </w:r>
    </w:p>
    <w:p w14:paraId="3871BEE4" w14:textId="154BDAC6" w:rsidR="008B16BB" w:rsidRPr="008B16BB" w:rsidRDefault="008B16BB" w:rsidP="008B16BB">
      <w:pPr>
        <w:pStyle w:val="INFOEM"/>
        <w:rPr>
          <w:b/>
          <w:u w:val="single"/>
        </w:rPr>
      </w:pPr>
      <w:r w:rsidRPr="008B16BB">
        <w:rPr>
          <w:b/>
          <w:u w:val="single"/>
        </w:rPr>
        <w:lastRenderedPageBreak/>
        <w:t>“SOBRESEIMIENTO. BASTA EL ESTUDIO DE UNA SOLA CAUSAL DE IMPROCEDENCIA</w:t>
      </w:r>
    </w:p>
    <w:p w14:paraId="0527B6F3" w14:textId="77777777" w:rsidR="008B16BB" w:rsidRPr="008B16BB" w:rsidRDefault="008B16BB" w:rsidP="008B16BB">
      <w:pPr>
        <w:pStyle w:val="Citas"/>
        <w:rPr>
          <w:lang w:eastAsia="es-MX"/>
        </w:rPr>
      </w:pPr>
      <w:r w:rsidRPr="008B16BB">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37BE0834" w14:textId="5EFE4DB2" w:rsidR="008B16BB" w:rsidRPr="008B16BB" w:rsidRDefault="008B16BB" w:rsidP="008B16BB">
      <w:pPr>
        <w:pStyle w:val="Citas"/>
        <w:rPr>
          <w:lang w:eastAsia="es-MX"/>
        </w:rPr>
      </w:pPr>
      <w:r w:rsidRPr="008B16BB">
        <w:rPr>
          <w:lang w:eastAsia="es-MX"/>
        </w:rPr>
        <w:t>Amparo en revisión 7488/81. Maximino Juárez Miguel (Poblado de San Francisco Jaltepetongo, Municipio del mismo nombre, Estado de Oaxaca. Acumulados). 29 de noviembre de 1982. Cinco votos. Ponente: Carlos del Río Rodríguez. Secretario: Wilfrido Castañón León.</w:t>
      </w:r>
    </w:p>
    <w:p w14:paraId="104D93A0" w14:textId="77777777" w:rsidR="008B16BB" w:rsidRPr="008B16BB" w:rsidRDefault="008B16BB" w:rsidP="008B16BB">
      <w:pPr>
        <w:pStyle w:val="Citas"/>
        <w:rPr>
          <w:lang w:eastAsia="es-MX"/>
        </w:rPr>
      </w:pPr>
      <w:r w:rsidRPr="008B16BB">
        <w:rPr>
          <w:lang w:eastAsia="es-MX"/>
        </w:rPr>
        <w:t>Amparo en revisión 540/97. Bancomer, S.A., Institución de Banca Múltiple y Grupo Financiero. 30 de enero de 1998. Cinco votos. Ponente: Sergio Salvador Aguirre Anguiano. Secretaria: Alma Delia Aguilar Chávez Nava.</w:t>
      </w:r>
    </w:p>
    <w:p w14:paraId="2B7128A4" w14:textId="77777777" w:rsidR="008B16BB" w:rsidRPr="008B16BB" w:rsidRDefault="008B16BB" w:rsidP="008B16BB">
      <w:pPr>
        <w:pStyle w:val="Citas"/>
        <w:rPr>
          <w:lang w:eastAsia="es-MX"/>
        </w:rPr>
      </w:pPr>
      <w:r w:rsidRPr="008B16BB">
        <w:rPr>
          <w:lang w:eastAsia="es-MX"/>
        </w:rPr>
        <w:t>Amparo en revisión 3059/97. Francisco Cañedo Zavaleta. 30 de enero de 1998. Cinco votos. Ponente: Sergio Salvador Aguirre Anguiano. Secretaria: Adela Domínguez Salazar.</w:t>
      </w:r>
    </w:p>
    <w:p w14:paraId="01F0D651" w14:textId="77777777" w:rsidR="008B16BB" w:rsidRPr="008B16BB" w:rsidRDefault="008B16BB" w:rsidP="008B16BB">
      <w:pPr>
        <w:pStyle w:val="Citas"/>
        <w:rPr>
          <w:lang w:eastAsia="es-MX"/>
        </w:rPr>
      </w:pPr>
      <w:r w:rsidRPr="008B16BB">
        <w:rPr>
          <w:lang w:eastAsia="es-MX"/>
        </w:rPr>
        <w:t>Amparo en revisión 1634/96. Arturo Veana Espinosa. 20 de febrero de 1998. Cinco votos. Ponente: Sergio Salvador Aguirre Anguiano. Secretaria: Adela Domínguez Salazar.</w:t>
      </w:r>
    </w:p>
    <w:p w14:paraId="2259C4B9" w14:textId="77777777" w:rsidR="008B16BB" w:rsidRPr="008B16BB" w:rsidRDefault="008B16BB" w:rsidP="008B16BB">
      <w:pPr>
        <w:pStyle w:val="Citas"/>
        <w:rPr>
          <w:lang w:eastAsia="es-MX"/>
        </w:rPr>
      </w:pPr>
      <w:r w:rsidRPr="008B16BB">
        <w:rPr>
          <w:lang w:eastAsia="es-MX"/>
        </w:rPr>
        <w:t>Amparo en revisión 2204/97. De Raffaelo, S.A. de C.V. 27 de mayo de 1998. Cinco votos. Ponente: Juan Díaz Romero. Secretario: Aristeo Martínez Cruz.</w:t>
      </w:r>
    </w:p>
    <w:p w14:paraId="74661BB9" w14:textId="60A7259E" w:rsidR="008B16BB" w:rsidRPr="008B16BB" w:rsidRDefault="008B16BB" w:rsidP="008B16BB">
      <w:pPr>
        <w:pStyle w:val="Citas"/>
        <w:rPr>
          <w:b/>
          <w:lang w:eastAsia="es-MX"/>
        </w:rPr>
      </w:pPr>
      <w:r w:rsidRPr="008B16BB">
        <w:rPr>
          <w:lang w:eastAsia="es-MX"/>
        </w:rPr>
        <w:lastRenderedPageBreak/>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49519B7C" w14:textId="77777777" w:rsidR="008B16BB" w:rsidRDefault="008B16BB" w:rsidP="007813C4">
      <w:pPr>
        <w:pStyle w:val="INFOEM"/>
        <w:ind w:left="0" w:right="0"/>
        <w:rPr>
          <w:i w:val="0"/>
          <w:sz w:val="24"/>
          <w:szCs w:val="24"/>
        </w:rPr>
      </w:pPr>
    </w:p>
    <w:p w14:paraId="223BFD41" w14:textId="560E473D" w:rsidR="00B8720B" w:rsidRDefault="00B8720B" w:rsidP="00B8720B">
      <w:pPr>
        <w:pStyle w:val="INFOEM"/>
        <w:ind w:left="0" w:right="0"/>
        <w:rPr>
          <w:i w:val="0"/>
          <w:sz w:val="24"/>
          <w:szCs w:val="24"/>
        </w:rPr>
      </w:pPr>
      <w:r>
        <w:rPr>
          <w:i w:val="0"/>
          <w:sz w:val="24"/>
          <w:szCs w:val="24"/>
        </w:rPr>
        <w:t xml:space="preserve">Luego entonces, se traen a colación las causales de improcedencia previstas en el numeral 138 de la Ley de Protección de Datos Personales en Posesión de Sujetos Obligados del Estado de México y Municipios, </w:t>
      </w:r>
      <w:r w:rsidR="006D73E1">
        <w:rPr>
          <w:i w:val="0"/>
          <w:sz w:val="24"/>
          <w:szCs w:val="24"/>
        </w:rPr>
        <w:t xml:space="preserve">normatividad </w:t>
      </w:r>
      <w:r>
        <w:rPr>
          <w:i w:val="0"/>
          <w:sz w:val="24"/>
          <w:szCs w:val="24"/>
        </w:rPr>
        <w:t>que dispone lo siguiente:</w:t>
      </w:r>
    </w:p>
    <w:p w14:paraId="7124AB5C" w14:textId="6B4CB642" w:rsidR="00B8720B" w:rsidRDefault="00B8720B" w:rsidP="00B8720B">
      <w:pPr>
        <w:pStyle w:val="Citas"/>
      </w:pPr>
      <w:r>
        <w:t xml:space="preserve">“Artículo 138. El recurso de revisión podrá ser desechado por improcedente cuando: </w:t>
      </w:r>
    </w:p>
    <w:p w14:paraId="68ED68D2" w14:textId="77777777" w:rsidR="00B8720B" w:rsidRPr="00B8720B" w:rsidRDefault="00B8720B" w:rsidP="00B8720B">
      <w:pPr>
        <w:pStyle w:val="Citas"/>
        <w:rPr>
          <w:b/>
          <w:u w:val="single"/>
        </w:rPr>
      </w:pPr>
      <w:r w:rsidRPr="00B8720B">
        <w:rPr>
          <w:b/>
          <w:u w:val="single"/>
        </w:rPr>
        <w:t xml:space="preserve">I. Sea extemporáneo por haber transcurrido el plazo establecido en el artículo 128 de la presente Ley. </w:t>
      </w:r>
    </w:p>
    <w:p w14:paraId="607BE14D" w14:textId="77777777" w:rsidR="00B8720B" w:rsidRDefault="00B8720B" w:rsidP="00B8720B">
      <w:pPr>
        <w:pStyle w:val="Citas"/>
      </w:pPr>
      <w:r>
        <w:t>II. El titular o su representante no acrediten debidamente su identidad y personalidad de este último.</w:t>
      </w:r>
    </w:p>
    <w:p w14:paraId="27D574D4" w14:textId="77777777" w:rsidR="00B8720B" w:rsidRDefault="00B8720B" w:rsidP="00B8720B">
      <w:pPr>
        <w:pStyle w:val="Citas"/>
      </w:pPr>
      <w:r>
        <w:t xml:space="preserve"> III. El Instituto haya resuelto anteriormente en definitiva sobre la materia del mismo. </w:t>
      </w:r>
    </w:p>
    <w:p w14:paraId="031BBCD9" w14:textId="77777777" w:rsidR="00B8720B" w:rsidRDefault="00B8720B" w:rsidP="00B8720B">
      <w:pPr>
        <w:pStyle w:val="Citas"/>
      </w:pPr>
      <w:r>
        <w:t xml:space="preserve">IV. No se actualice alguna de las causales del recurso de revisión previstas en el artículo 129 de la presente Ley. </w:t>
      </w:r>
    </w:p>
    <w:p w14:paraId="5D7D127D" w14:textId="77777777" w:rsidR="00B8720B" w:rsidRDefault="00B8720B" w:rsidP="00B8720B">
      <w:pPr>
        <w:pStyle w:val="Citas"/>
      </w:pPr>
      <w:r>
        <w:t xml:space="preserve">V. Se esté tramitando ante los tribunales competentes algún recurso o medio de defensa interpuesto por el recurrente, o en su caso, por el tercero interesado, en contra del acto recurrido ante el Instituto. </w:t>
      </w:r>
    </w:p>
    <w:p w14:paraId="50EB6EC4" w14:textId="77777777" w:rsidR="00B8720B" w:rsidRDefault="00B8720B" w:rsidP="00B8720B">
      <w:pPr>
        <w:pStyle w:val="Citas"/>
      </w:pPr>
      <w:r>
        <w:t xml:space="preserve">VI. El recurrente modifique o amplíe su petición en el recurso de revisión, únicamente respecto de los nuevos contenidos. </w:t>
      </w:r>
    </w:p>
    <w:p w14:paraId="2AEFF364" w14:textId="77777777" w:rsidR="00B8720B" w:rsidRDefault="00B8720B" w:rsidP="00B8720B">
      <w:pPr>
        <w:pStyle w:val="Citas"/>
      </w:pPr>
      <w:r>
        <w:lastRenderedPageBreak/>
        <w:t xml:space="preserve">VII. El recurrente no acredite interés jurídico. </w:t>
      </w:r>
    </w:p>
    <w:p w14:paraId="075AF9BD" w14:textId="695CA312" w:rsidR="008B16BB" w:rsidRPr="00B8720B" w:rsidRDefault="00B8720B" w:rsidP="00B8720B">
      <w:pPr>
        <w:pStyle w:val="Citas"/>
        <w:rPr>
          <w:b/>
          <w:sz w:val="24"/>
          <w:szCs w:val="24"/>
        </w:rPr>
      </w:pPr>
      <w:r>
        <w:t xml:space="preserve">El desechamiento no implica la preclusión del derecho del titular para interponer ante el Instituto un nuevo recurso de revisión.” </w:t>
      </w:r>
      <w:r>
        <w:rPr>
          <w:b/>
        </w:rPr>
        <w:t xml:space="preserve">[Sic] </w:t>
      </w:r>
    </w:p>
    <w:p w14:paraId="56839C62" w14:textId="77777777" w:rsidR="007813C4" w:rsidRDefault="007813C4" w:rsidP="007813C4">
      <w:pPr>
        <w:pStyle w:val="INFOEM"/>
        <w:ind w:left="0" w:right="0"/>
        <w:rPr>
          <w:i w:val="0"/>
          <w:sz w:val="24"/>
          <w:szCs w:val="24"/>
        </w:rPr>
      </w:pPr>
    </w:p>
    <w:p w14:paraId="6AC539D2" w14:textId="77777777" w:rsidR="00B8720B" w:rsidRPr="00E63047" w:rsidRDefault="00B8720B" w:rsidP="00B8720B">
      <w:pPr>
        <w:spacing w:after="0" w:line="360" w:lineRule="auto"/>
        <w:jc w:val="both"/>
        <w:rPr>
          <w:rFonts w:ascii="Palatino Linotype" w:hAnsi="Palatino Linotype" w:cs="Arial"/>
          <w:sz w:val="24"/>
        </w:rPr>
      </w:pPr>
      <w:r w:rsidRPr="00E63047">
        <w:rPr>
          <w:rFonts w:ascii="Palatino Linotype" w:hAnsi="Palatino Linotype" w:cs="Arial"/>
          <w:sz w:val="24"/>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14:paraId="2B481BE3" w14:textId="77777777" w:rsidR="00B8720B" w:rsidRPr="00E63047" w:rsidRDefault="00B8720B" w:rsidP="00B8720B">
      <w:pPr>
        <w:spacing w:after="0" w:line="360" w:lineRule="auto"/>
        <w:jc w:val="both"/>
        <w:rPr>
          <w:rFonts w:ascii="Palatino Linotype" w:hAnsi="Palatino Linotype" w:cs="Arial"/>
          <w:sz w:val="24"/>
        </w:rPr>
      </w:pPr>
    </w:p>
    <w:p w14:paraId="08628AD7" w14:textId="77777777" w:rsidR="00B8720B" w:rsidRPr="00E63047" w:rsidRDefault="00B8720B" w:rsidP="00B8720B">
      <w:pPr>
        <w:spacing w:after="0" w:line="360" w:lineRule="auto"/>
        <w:jc w:val="both"/>
        <w:rPr>
          <w:rFonts w:ascii="Palatino Linotype" w:hAnsi="Palatino Linotype" w:cs="Arial"/>
          <w:sz w:val="24"/>
        </w:rPr>
      </w:pPr>
      <w:r w:rsidRPr="00E63047">
        <w:rPr>
          <w:rFonts w:ascii="Palatino Linotype" w:hAnsi="Palatino Linotype" w:cs="Arial"/>
          <w:sz w:val="24"/>
        </w:rPr>
        <w:t xml:space="preserve">La ley es clara en ese sentido, por lo que no es posible invocar dicho precepto ulteriormente a que ha sido admitido </w:t>
      </w:r>
      <w:r w:rsidRPr="00E63047">
        <w:rPr>
          <w:rFonts w:ascii="Palatino Linotype" w:hAnsi="Palatino Linotype" w:cs="Arial"/>
          <w:i/>
          <w:sz w:val="24"/>
        </w:rPr>
        <w:t>(y por ende procedente)</w:t>
      </w:r>
      <w:r w:rsidRPr="00E63047">
        <w:rPr>
          <w:rFonts w:ascii="Palatino Linotype" w:hAnsi="Palatino Linotype" w:cs="Arial"/>
          <w:sz w:val="24"/>
        </w:rPr>
        <w:t>, alegando la actualización de un desechamiento, porque este ya sería posterior a la etapa procedimental en la que debió desecharse.</w:t>
      </w:r>
    </w:p>
    <w:p w14:paraId="3827D28D" w14:textId="48E0B993" w:rsidR="00B8720B" w:rsidRPr="00015DAF" w:rsidRDefault="00B8720B" w:rsidP="007813C4">
      <w:pPr>
        <w:pStyle w:val="INFOEM"/>
        <w:ind w:left="0" w:right="0"/>
        <w:rPr>
          <w:i w:val="0"/>
          <w:sz w:val="24"/>
        </w:rPr>
      </w:pPr>
      <w:r w:rsidRPr="00B8720B">
        <w:rPr>
          <w:i w:val="0"/>
          <w:sz w:val="24"/>
        </w:rPr>
        <w:t>En ese sentido es que el presente recurso de revisión actualiza el primer elemento normativo del sup</w:t>
      </w:r>
      <w:r>
        <w:rPr>
          <w:i w:val="0"/>
          <w:sz w:val="24"/>
        </w:rPr>
        <w:t xml:space="preserve">uesto previsto en la fracción III, del artículo 139 </w:t>
      </w:r>
      <w:r w:rsidR="00F3468F">
        <w:rPr>
          <w:i w:val="0"/>
          <w:sz w:val="24"/>
        </w:rPr>
        <w:t xml:space="preserve">de </w:t>
      </w:r>
      <w:r>
        <w:rPr>
          <w:i w:val="0"/>
          <w:sz w:val="24"/>
          <w:szCs w:val="24"/>
        </w:rPr>
        <w:t xml:space="preserve">la Ley de Protección de Datos Personales en Posesión de Sujetos Obligados del Estado de México y Municipios, </w:t>
      </w:r>
      <w:r w:rsidRPr="00B8720B">
        <w:rPr>
          <w:i w:val="0"/>
          <w:sz w:val="24"/>
        </w:rPr>
        <w:t>ya que éste fue admitido, mediante acuerdo de fecha</w:t>
      </w:r>
      <w:r>
        <w:rPr>
          <w:i w:val="0"/>
          <w:sz w:val="24"/>
        </w:rPr>
        <w:t xml:space="preserve"> ocho de septiembre de dos mil veintiuno, en el que no se desechó por contener alguna causal de </w:t>
      </w:r>
      <w:r w:rsidRPr="00015DAF">
        <w:rPr>
          <w:i w:val="0"/>
          <w:sz w:val="24"/>
        </w:rPr>
        <w:t xml:space="preserve">improcedencia. </w:t>
      </w:r>
    </w:p>
    <w:p w14:paraId="26BC9582" w14:textId="72611FF2" w:rsidR="00B8720B" w:rsidRPr="00015DAF" w:rsidRDefault="00B8720B" w:rsidP="007813C4">
      <w:pPr>
        <w:pStyle w:val="INFOEM"/>
        <w:ind w:left="0" w:right="0"/>
        <w:rPr>
          <w:i w:val="0"/>
          <w:sz w:val="24"/>
        </w:rPr>
      </w:pPr>
      <w:r w:rsidRPr="00015DAF">
        <w:rPr>
          <w:i w:val="0"/>
          <w:sz w:val="24"/>
        </w:rPr>
        <w:lastRenderedPageBreak/>
        <w:t>Por lo que hace al segundo elemento normativo consistente en</w:t>
      </w:r>
      <w:r w:rsidRPr="00015DAF">
        <w:rPr>
          <w:b/>
          <w:i w:val="0"/>
          <w:sz w:val="24"/>
        </w:rPr>
        <w:t>: “2.- Aparezca alguna causal de improcedencia;”,</w:t>
      </w:r>
      <w:r w:rsidRPr="00015DAF">
        <w:rPr>
          <w:i w:val="0"/>
          <w:sz w:val="24"/>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015DAF">
        <w:rPr>
          <w:b/>
          <w:i w:val="0"/>
          <w:sz w:val="24"/>
        </w:rPr>
        <w:t>a)</w:t>
      </w:r>
      <w:r w:rsidRPr="00015DAF">
        <w:rPr>
          <w:i w:val="0"/>
          <w:sz w:val="24"/>
        </w:rPr>
        <w:t xml:space="preserve"> La existencia de una causal de improcedencia en el expediente, y </w:t>
      </w:r>
      <w:r w:rsidRPr="00015DAF">
        <w:rPr>
          <w:b/>
          <w:i w:val="0"/>
          <w:sz w:val="24"/>
        </w:rPr>
        <w:t>b)</w:t>
      </w:r>
      <w:r w:rsidRPr="00015DAF">
        <w:rPr>
          <w:i w:val="0"/>
          <w:sz w:val="24"/>
        </w:rPr>
        <w:t xml:space="preserve"> La forma en que la autoridad ha de detectarla, señalarla y valorarla, es decir, a que “aparezca”; ahora bien, por lo que hace al inciso I del artículo 138 de la multicitada ley de protección de datos personales, se prevé la extemporaneidad por haber transcurrido el término para impugnar la respuesta de los sujetos obligados. </w:t>
      </w:r>
    </w:p>
    <w:p w14:paraId="053F8F17" w14:textId="3B166D58" w:rsidR="00B8720B" w:rsidRPr="00015DAF" w:rsidRDefault="00B8720B" w:rsidP="007813C4">
      <w:pPr>
        <w:pStyle w:val="INFOEM"/>
        <w:ind w:left="0" w:right="0"/>
        <w:rPr>
          <w:b/>
          <w:i w:val="0"/>
          <w:sz w:val="24"/>
          <w:szCs w:val="24"/>
        </w:rPr>
      </w:pPr>
      <w:r w:rsidRPr="00015DAF">
        <w:rPr>
          <w:i w:val="0"/>
          <w:sz w:val="24"/>
          <w:szCs w:val="24"/>
        </w:rPr>
        <w:t xml:space="preserve">De lo anterior se destaca el hecho que el recurso será desechado por improcedente, cuando sea extemporáneo, el particular formuló solicitud de información pública en fecha </w:t>
      </w:r>
      <w:r w:rsidRPr="00015DAF">
        <w:rPr>
          <w:b/>
          <w:i w:val="0"/>
          <w:sz w:val="24"/>
          <w:szCs w:val="24"/>
        </w:rPr>
        <w:t xml:space="preserve">trece de mayo de dos mil veintiuno, </w:t>
      </w:r>
      <w:r w:rsidR="00F3468F" w:rsidRPr="00015DAF">
        <w:rPr>
          <w:i w:val="0"/>
          <w:sz w:val="24"/>
          <w:szCs w:val="24"/>
        </w:rPr>
        <w:t xml:space="preserve">en seguimiento al procedimiento de acceso a datos personales, </w:t>
      </w:r>
      <w:r w:rsidR="00F3468F" w:rsidRPr="00015DAF">
        <w:rPr>
          <w:b/>
          <w:i w:val="0"/>
          <w:sz w:val="24"/>
          <w:szCs w:val="24"/>
        </w:rPr>
        <w:t xml:space="preserve">El Sujeto Obligado </w:t>
      </w:r>
      <w:r w:rsidR="00F3468F" w:rsidRPr="00015DAF">
        <w:rPr>
          <w:i w:val="0"/>
          <w:sz w:val="24"/>
          <w:szCs w:val="24"/>
        </w:rPr>
        <w:t xml:space="preserve">dio respuesta a la solicitud el </w:t>
      </w:r>
      <w:r w:rsidR="00F3468F" w:rsidRPr="00015DAF">
        <w:rPr>
          <w:b/>
          <w:i w:val="0"/>
          <w:sz w:val="24"/>
          <w:szCs w:val="24"/>
        </w:rPr>
        <w:t xml:space="preserve">veintisiete de mayo de dos mil veintiuno. </w:t>
      </w:r>
    </w:p>
    <w:p w14:paraId="769CC9F5" w14:textId="3AB62150" w:rsidR="00F3468F" w:rsidRPr="00015DAF" w:rsidRDefault="00F3468F" w:rsidP="00F3468F">
      <w:pPr>
        <w:pStyle w:val="Textoindependiente"/>
        <w:spacing w:after="0" w:line="360" w:lineRule="auto"/>
        <w:ind w:left="110" w:right="107" w:hanging="1"/>
        <w:jc w:val="both"/>
        <w:rPr>
          <w:rFonts w:ascii="Palatino Linotype" w:hAnsi="Palatino Linotype"/>
          <w:sz w:val="24"/>
          <w:szCs w:val="24"/>
        </w:rPr>
      </w:pPr>
      <w:r w:rsidRPr="00015DAF">
        <w:rPr>
          <w:rFonts w:ascii="Palatino Linotype" w:hAnsi="Palatino Linotype"/>
          <w:sz w:val="24"/>
          <w:szCs w:val="24"/>
        </w:rPr>
        <w:t xml:space="preserve">Por lo que el día límite para interponer el recurso de revisión ocurrió en la fecha </w:t>
      </w:r>
      <w:r w:rsidRPr="00015DAF">
        <w:rPr>
          <w:rFonts w:ascii="Palatino Linotype" w:hAnsi="Palatino Linotype"/>
          <w:b/>
          <w:sz w:val="24"/>
          <w:szCs w:val="24"/>
        </w:rPr>
        <w:t>diecisiete de junio de dos mil veintiuno</w:t>
      </w:r>
      <w:r w:rsidRPr="00015DAF">
        <w:rPr>
          <w:rFonts w:ascii="Palatino Linotype" w:hAnsi="Palatino Linotype"/>
          <w:sz w:val="24"/>
          <w:szCs w:val="24"/>
        </w:rPr>
        <w:t xml:space="preserve">, pues de acuerdo al artículo 128 </w:t>
      </w:r>
      <w:r w:rsidRPr="00015DAF">
        <w:rPr>
          <w:rFonts w:ascii="Palatino Linotype" w:hAnsi="Palatino Linotype"/>
          <w:sz w:val="24"/>
        </w:rPr>
        <w:t xml:space="preserve">de </w:t>
      </w:r>
      <w:r w:rsidRPr="00015DAF">
        <w:rPr>
          <w:rFonts w:ascii="Palatino Linotype" w:hAnsi="Palatino Linotype"/>
          <w:sz w:val="24"/>
          <w:szCs w:val="24"/>
        </w:rPr>
        <w:t xml:space="preserve">la Ley de Protección de Datos Personales en Posesión de Sujetos Obligados del Estado de México y Municipios, que establece: </w:t>
      </w:r>
    </w:p>
    <w:p w14:paraId="7F964BED" w14:textId="6C0F9271" w:rsidR="00F3468F" w:rsidRDefault="00F3468F" w:rsidP="00F3468F">
      <w:pPr>
        <w:pStyle w:val="Citas"/>
      </w:pPr>
      <w:r>
        <w:t xml:space="preserve">“Artículo 128. El titular, por sí mismo o a través de su representante, podrán interponer un recurso de revisión ante el Instituto o la Unidad de Transparencia del </w:t>
      </w:r>
      <w:r>
        <w:lastRenderedPageBreak/>
        <w:t xml:space="preserve">responsable que haya conocido de la solicitud para el ejercicio de los derechos ARCO, dentro de un plazo que no podrá exceder de quince días contados a partir del siguiente a la fecha de la notificación de la respuesta. </w:t>
      </w:r>
    </w:p>
    <w:p w14:paraId="5D8278CB" w14:textId="384BE982" w:rsidR="00F3468F" w:rsidRPr="00F3468F" w:rsidRDefault="00F3468F" w:rsidP="00F3468F">
      <w:pPr>
        <w:pStyle w:val="Citas"/>
        <w:rPr>
          <w:b/>
          <w:sz w:val="24"/>
          <w:szCs w:val="24"/>
        </w:rPr>
      </w:pPr>
      <w: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r>
        <w:rPr>
          <w:b/>
        </w:rPr>
        <w:t xml:space="preserve">[Sic] </w:t>
      </w:r>
    </w:p>
    <w:p w14:paraId="321879AE" w14:textId="77777777" w:rsidR="00F3468F" w:rsidRDefault="00F3468F" w:rsidP="00F3468F">
      <w:pPr>
        <w:pStyle w:val="Textoindependiente"/>
        <w:spacing w:after="0" w:line="360" w:lineRule="auto"/>
        <w:ind w:left="110" w:right="107" w:hanging="1"/>
        <w:jc w:val="both"/>
        <w:rPr>
          <w:rFonts w:ascii="Palatino Linotype" w:hAnsi="Palatino Linotype"/>
          <w:sz w:val="24"/>
          <w:szCs w:val="24"/>
        </w:rPr>
      </w:pPr>
    </w:p>
    <w:p w14:paraId="7000D383" w14:textId="08985542" w:rsidR="00F3468F" w:rsidRDefault="00F3468F" w:rsidP="00F3468F">
      <w:pPr>
        <w:pStyle w:val="Textoindependiente"/>
        <w:spacing w:after="0" w:line="360" w:lineRule="auto"/>
        <w:ind w:left="110" w:right="107" w:hanging="1"/>
        <w:jc w:val="both"/>
        <w:rPr>
          <w:rFonts w:ascii="Palatino Linotype" w:hAnsi="Palatino Linotype"/>
          <w:sz w:val="24"/>
          <w:szCs w:val="24"/>
        </w:rPr>
      </w:pPr>
      <w:r w:rsidRPr="00E63047">
        <w:rPr>
          <w:rFonts w:ascii="Palatino Linotype" w:hAnsi="Palatino Linotype"/>
          <w:sz w:val="24"/>
          <w:szCs w:val="24"/>
        </w:rPr>
        <w:t>Luego entonces, los quince días hábiles para interponer el recurso de revisión, con los que contaba el particular, trascurrieron del</w:t>
      </w:r>
      <w:r>
        <w:rPr>
          <w:rFonts w:ascii="Palatino Linotype" w:hAnsi="Palatino Linotype"/>
          <w:sz w:val="24"/>
          <w:szCs w:val="24"/>
        </w:rPr>
        <w:t xml:space="preserve"> veintiocho de mayo al diecisiete de junio del presente. Sirve de sustento las siguientes imágenes ilustrativas correspondientes al calendario del Órgano garante susceptible de ser consultado en la siguiente dirección electrónica: </w:t>
      </w:r>
    </w:p>
    <w:p w14:paraId="4A5A6317" w14:textId="186F003F" w:rsidR="00F3468F" w:rsidRDefault="00D016EB" w:rsidP="00F3468F">
      <w:pPr>
        <w:pStyle w:val="Textoindependiente"/>
        <w:spacing w:after="0" w:line="360" w:lineRule="auto"/>
        <w:ind w:left="110" w:right="107" w:hanging="1"/>
        <w:jc w:val="both"/>
        <w:rPr>
          <w:rFonts w:ascii="Palatino Linotype" w:hAnsi="Palatino Linotype"/>
          <w:sz w:val="24"/>
          <w:szCs w:val="24"/>
        </w:rPr>
      </w:pPr>
      <w:hyperlink r:id="rId9" w:history="1">
        <w:r w:rsidR="00F3468F" w:rsidRPr="00200A09">
          <w:rPr>
            <w:rStyle w:val="Hipervnculo"/>
            <w:rFonts w:ascii="Palatino Linotype" w:hAnsi="Palatino Linotype"/>
            <w:sz w:val="24"/>
            <w:szCs w:val="24"/>
          </w:rPr>
          <w:t>https://www.infoem.org.mx/doc/publicaciones/calendarioOficial_2021.jpg</w:t>
        </w:r>
      </w:hyperlink>
      <w:r w:rsidR="00F3468F">
        <w:rPr>
          <w:rFonts w:ascii="Palatino Linotype" w:hAnsi="Palatino Linotype"/>
          <w:sz w:val="24"/>
          <w:szCs w:val="24"/>
        </w:rPr>
        <w:t xml:space="preserve"> </w:t>
      </w:r>
    </w:p>
    <w:p w14:paraId="570B67AB" w14:textId="71739F07" w:rsidR="00F3468F" w:rsidRDefault="001C3A85" w:rsidP="00F3468F">
      <w:pPr>
        <w:pStyle w:val="Textoindependiente"/>
        <w:spacing w:after="0" w:line="360" w:lineRule="auto"/>
        <w:ind w:left="110" w:right="107" w:hanging="1"/>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79744" behindDoc="0" locked="0" layoutInCell="1" allowOverlap="1" wp14:anchorId="6E95A4D1" wp14:editId="63120962">
            <wp:simplePos x="0" y="0"/>
            <wp:positionH relativeFrom="column">
              <wp:posOffset>329565</wp:posOffset>
            </wp:positionH>
            <wp:positionV relativeFrom="paragraph">
              <wp:posOffset>315595</wp:posOffset>
            </wp:positionV>
            <wp:extent cx="2381250" cy="2543175"/>
            <wp:effectExtent l="19050" t="19050" r="19050" b="28575"/>
            <wp:wrapThrough wrapText="bothSides">
              <wp:wrapPolygon edited="0">
                <wp:start x="-173" y="-162"/>
                <wp:lineTo x="-173" y="21681"/>
                <wp:lineTo x="21600" y="21681"/>
                <wp:lineTo x="21600" y="-162"/>
                <wp:lineTo x="-173" y="-162"/>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5431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78720" behindDoc="0" locked="0" layoutInCell="1" allowOverlap="1" wp14:anchorId="36A3F57F" wp14:editId="536D7B40">
            <wp:simplePos x="0" y="0"/>
            <wp:positionH relativeFrom="column">
              <wp:posOffset>3187065</wp:posOffset>
            </wp:positionH>
            <wp:positionV relativeFrom="paragraph">
              <wp:posOffset>315595</wp:posOffset>
            </wp:positionV>
            <wp:extent cx="2381250" cy="2543175"/>
            <wp:effectExtent l="19050" t="19050" r="19050" b="28575"/>
            <wp:wrapThrough wrapText="bothSides">
              <wp:wrapPolygon edited="0">
                <wp:start x="-173" y="-162"/>
                <wp:lineTo x="-173" y="21681"/>
                <wp:lineTo x="21600" y="21681"/>
                <wp:lineTo x="21600" y="-162"/>
                <wp:lineTo x="-173" y="-162"/>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25431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B6C5A3D" w14:textId="77777777" w:rsidR="00F3468F" w:rsidRPr="00015DAF" w:rsidRDefault="00F3468F" w:rsidP="00F3468F">
      <w:pPr>
        <w:pStyle w:val="Textoindependiente"/>
        <w:spacing w:after="0" w:line="360" w:lineRule="auto"/>
        <w:ind w:left="110" w:right="107" w:hanging="1"/>
        <w:jc w:val="both"/>
        <w:rPr>
          <w:rFonts w:ascii="Palatino Linotype" w:hAnsi="Palatino Linotype"/>
          <w:sz w:val="24"/>
          <w:szCs w:val="24"/>
        </w:rPr>
      </w:pPr>
      <w:r w:rsidRPr="00015DAF">
        <w:rPr>
          <w:rFonts w:ascii="Palatino Linotype" w:hAnsi="Palatino Linotype"/>
          <w:sz w:val="24"/>
          <w:szCs w:val="24"/>
        </w:rPr>
        <w:lastRenderedPageBreak/>
        <w:t xml:space="preserve">Ahora bien, el recurso de revisión se presentó ante el Instituto mediante el SARCOEM en fecha </w:t>
      </w:r>
      <w:r w:rsidRPr="00015DAF">
        <w:rPr>
          <w:rFonts w:ascii="Palatino Linotype" w:hAnsi="Palatino Linotype"/>
          <w:b/>
          <w:sz w:val="24"/>
          <w:szCs w:val="24"/>
        </w:rPr>
        <w:t xml:space="preserve">dos de septiembre de dos mil veintiuno, </w:t>
      </w:r>
      <w:r w:rsidRPr="00015DAF">
        <w:rPr>
          <w:rFonts w:ascii="Palatino Linotype" w:hAnsi="Palatino Linotype"/>
          <w:sz w:val="24"/>
          <w:szCs w:val="24"/>
        </w:rPr>
        <w:t>del</w:t>
      </w:r>
      <w:r w:rsidRPr="00015DAF">
        <w:rPr>
          <w:rFonts w:ascii="Palatino Linotype" w:hAnsi="Palatino Linotype"/>
          <w:spacing w:val="38"/>
          <w:sz w:val="24"/>
          <w:szCs w:val="24"/>
        </w:rPr>
        <w:t xml:space="preserve"> </w:t>
      </w:r>
      <w:r w:rsidRPr="00015DAF">
        <w:rPr>
          <w:rFonts w:ascii="Palatino Linotype" w:hAnsi="Palatino Linotype"/>
          <w:sz w:val="24"/>
          <w:szCs w:val="24"/>
        </w:rPr>
        <w:t>cómputo</w:t>
      </w:r>
      <w:r w:rsidRPr="00015DAF">
        <w:rPr>
          <w:rFonts w:ascii="Palatino Linotype" w:hAnsi="Palatino Linotype"/>
          <w:spacing w:val="39"/>
          <w:sz w:val="24"/>
          <w:szCs w:val="24"/>
        </w:rPr>
        <w:t xml:space="preserve"> </w:t>
      </w:r>
      <w:r w:rsidRPr="00015DAF">
        <w:rPr>
          <w:rFonts w:ascii="Palatino Linotype" w:hAnsi="Palatino Linotype"/>
          <w:sz w:val="24"/>
          <w:szCs w:val="24"/>
        </w:rPr>
        <w:t>del</w:t>
      </w:r>
      <w:r w:rsidRPr="00015DAF">
        <w:rPr>
          <w:rFonts w:ascii="Palatino Linotype" w:hAnsi="Palatino Linotype"/>
          <w:spacing w:val="39"/>
          <w:sz w:val="24"/>
          <w:szCs w:val="24"/>
        </w:rPr>
        <w:t xml:space="preserve"> </w:t>
      </w:r>
      <w:r w:rsidRPr="00015DAF">
        <w:rPr>
          <w:rFonts w:ascii="Palatino Linotype" w:hAnsi="Palatino Linotype"/>
          <w:sz w:val="24"/>
          <w:szCs w:val="24"/>
        </w:rPr>
        <w:t>plazo</w:t>
      </w:r>
      <w:r w:rsidRPr="00015DAF">
        <w:rPr>
          <w:rFonts w:ascii="Palatino Linotype" w:hAnsi="Palatino Linotype"/>
          <w:spacing w:val="37"/>
          <w:sz w:val="24"/>
          <w:szCs w:val="24"/>
        </w:rPr>
        <w:t xml:space="preserve"> </w:t>
      </w:r>
      <w:r w:rsidRPr="00015DAF">
        <w:rPr>
          <w:rFonts w:ascii="Palatino Linotype" w:hAnsi="Palatino Linotype"/>
          <w:sz w:val="24"/>
          <w:szCs w:val="24"/>
        </w:rPr>
        <w:t>antes</w:t>
      </w:r>
      <w:r w:rsidRPr="00015DAF">
        <w:rPr>
          <w:rFonts w:ascii="Palatino Linotype" w:hAnsi="Palatino Linotype"/>
          <w:spacing w:val="38"/>
          <w:sz w:val="24"/>
          <w:szCs w:val="24"/>
        </w:rPr>
        <w:t xml:space="preserve"> </w:t>
      </w:r>
      <w:r w:rsidRPr="00015DAF">
        <w:rPr>
          <w:rFonts w:ascii="Palatino Linotype" w:hAnsi="Palatino Linotype"/>
          <w:sz w:val="24"/>
          <w:szCs w:val="24"/>
        </w:rPr>
        <w:t>descrito</w:t>
      </w:r>
      <w:r w:rsidRPr="00015DAF">
        <w:rPr>
          <w:rFonts w:ascii="Palatino Linotype" w:hAnsi="Palatino Linotype"/>
          <w:spacing w:val="37"/>
          <w:sz w:val="24"/>
          <w:szCs w:val="24"/>
        </w:rPr>
        <w:t xml:space="preserve"> </w:t>
      </w:r>
      <w:r w:rsidRPr="00015DAF">
        <w:rPr>
          <w:rFonts w:ascii="Palatino Linotype" w:hAnsi="Palatino Linotype"/>
          <w:sz w:val="24"/>
          <w:szCs w:val="24"/>
        </w:rPr>
        <w:t>se</w:t>
      </w:r>
      <w:r w:rsidRPr="00015DAF">
        <w:rPr>
          <w:rFonts w:ascii="Palatino Linotype" w:hAnsi="Palatino Linotype"/>
          <w:spacing w:val="37"/>
          <w:sz w:val="24"/>
          <w:szCs w:val="24"/>
        </w:rPr>
        <w:t xml:space="preserve"> </w:t>
      </w:r>
      <w:r w:rsidRPr="00015DAF">
        <w:rPr>
          <w:rFonts w:ascii="Palatino Linotype" w:hAnsi="Palatino Linotype"/>
          <w:sz w:val="24"/>
          <w:szCs w:val="24"/>
        </w:rPr>
        <w:t>observa</w:t>
      </w:r>
      <w:r w:rsidRPr="00015DAF">
        <w:rPr>
          <w:rFonts w:ascii="Palatino Linotype" w:hAnsi="Palatino Linotype"/>
          <w:spacing w:val="39"/>
          <w:sz w:val="24"/>
          <w:szCs w:val="24"/>
        </w:rPr>
        <w:t xml:space="preserve"> </w:t>
      </w:r>
      <w:r w:rsidRPr="00015DAF">
        <w:rPr>
          <w:rFonts w:ascii="Palatino Linotype" w:hAnsi="Palatino Linotype"/>
          <w:sz w:val="24"/>
          <w:szCs w:val="24"/>
        </w:rPr>
        <w:t>que</w:t>
      </w:r>
      <w:r w:rsidRPr="00015DAF">
        <w:rPr>
          <w:rFonts w:ascii="Palatino Linotype" w:hAnsi="Palatino Linotype"/>
          <w:spacing w:val="40"/>
          <w:sz w:val="24"/>
          <w:szCs w:val="24"/>
        </w:rPr>
        <w:t xml:space="preserve"> </w:t>
      </w:r>
      <w:r w:rsidRPr="00015DAF">
        <w:rPr>
          <w:rFonts w:ascii="Palatino Linotype" w:hAnsi="Palatino Linotype"/>
          <w:sz w:val="24"/>
          <w:szCs w:val="24"/>
        </w:rPr>
        <w:t>el</w:t>
      </w:r>
      <w:r w:rsidRPr="00015DAF">
        <w:rPr>
          <w:rFonts w:ascii="Palatino Linotype" w:hAnsi="Palatino Linotype"/>
          <w:spacing w:val="38"/>
          <w:sz w:val="24"/>
          <w:szCs w:val="24"/>
        </w:rPr>
        <w:t xml:space="preserve"> </w:t>
      </w:r>
      <w:r w:rsidRPr="00015DAF">
        <w:rPr>
          <w:rFonts w:ascii="Palatino Linotype" w:hAnsi="Palatino Linotype"/>
          <w:sz w:val="24"/>
          <w:szCs w:val="24"/>
        </w:rPr>
        <w:t>recurso</w:t>
      </w:r>
      <w:r w:rsidRPr="00015DAF">
        <w:rPr>
          <w:rFonts w:ascii="Palatino Linotype" w:hAnsi="Palatino Linotype"/>
          <w:spacing w:val="38"/>
          <w:sz w:val="24"/>
          <w:szCs w:val="24"/>
        </w:rPr>
        <w:t xml:space="preserve"> </w:t>
      </w:r>
      <w:r w:rsidRPr="00015DAF">
        <w:rPr>
          <w:rFonts w:ascii="Palatino Linotype" w:hAnsi="Palatino Linotype"/>
          <w:sz w:val="24"/>
          <w:szCs w:val="24"/>
        </w:rPr>
        <w:t xml:space="preserve">de revisión </w:t>
      </w:r>
      <w:r w:rsidRPr="00015DAF">
        <w:rPr>
          <w:rFonts w:ascii="Palatino Linotype" w:hAnsi="Palatino Linotype"/>
          <w:b/>
          <w:sz w:val="24"/>
          <w:szCs w:val="24"/>
          <w:u w:val="single" w:color="000000"/>
        </w:rPr>
        <w:t>NO</w:t>
      </w:r>
      <w:r w:rsidRPr="00015DAF">
        <w:rPr>
          <w:rFonts w:ascii="Palatino Linotype" w:hAnsi="Palatino Linotype"/>
          <w:sz w:val="24"/>
          <w:szCs w:val="24"/>
        </w:rPr>
        <w:t xml:space="preserve"> se presentó de forma oportuna, ya que al momento en que se tuvo</w:t>
      </w:r>
      <w:r w:rsidRPr="00015DAF">
        <w:rPr>
          <w:rFonts w:ascii="Palatino Linotype" w:hAnsi="Palatino Linotype"/>
          <w:spacing w:val="7"/>
          <w:sz w:val="24"/>
          <w:szCs w:val="24"/>
        </w:rPr>
        <w:t xml:space="preserve"> </w:t>
      </w:r>
      <w:r w:rsidRPr="00015DAF">
        <w:rPr>
          <w:rFonts w:ascii="Palatino Linotype" w:hAnsi="Palatino Linotype"/>
          <w:sz w:val="24"/>
          <w:szCs w:val="24"/>
        </w:rPr>
        <w:t>por presentado,</w:t>
      </w:r>
      <w:r w:rsidRPr="00015DAF">
        <w:rPr>
          <w:rFonts w:ascii="Palatino Linotype" w:hAnsi="Palatino Linotype"/>
          <w:spacing w:val="7"/>
          <w:sz w:val="24"/>
          <w:szCs w:val="24"/>
        </w:rPr>
        <w:t xml:space="preserve"> </w:t>
      </w:r>
      <w:r w:rsidRPr="00015DAF">
        <w:rPr>
          <w:rFonts w:ascii="Palatino Linotype" w:hAnsi="Palatino Linotype"/>
          <w:sz w:val="24"/>
          <w:szCs w:val="24"/>
        </w:rPr>
        <w:t>el</w:t>
      </w:r>
      <w:r w:rsidRPr="00015DAF">
        <w:rPr>
          <w:rFonts w:ascii="Palatino Linotype" w:hAnsi="Palatino Linotype"/>
          <w:spacing w:val="9"/>
          <w:sz w:val="24"/>
          <w:szCs w:val="24"/>
        </w:rPr>
        <w:t xml:space="preserve"> </w:t>
      </w:r>
      <w:r w:rsidRPr="00015DAF">
        <w:rPr>
          <w:rFonts w:ascii="Palatino Linotype" w:hAnsi="Palatino Linotype"/>
          <w:sz w:val="24"/>
          <w:szCs w:val="24"/>
        </w:rPr>
        <w:t>plazo ya había fenecido.</w:t>
      </w:r>
    </w:p>
    <w:p w14:paraId="3DA3E7F3" w14:textId="54F58029" w:rsidR="00940A6B" w:rsidRPr="00015DAF" w:rsidRDefault="00940A6B" w:rsidP="00F3468F">
      <w:pPr>
        <w:pStyle w:val="Textoindependiente"/>
        <w:spacing w:after="0" w:line="360" w:lineRule="auto"/>
        <w:ind w:left="110" w:right="107" w:hanging="1"/>
        <w:jc w:val="both"/>
        <w:rPr>
          <w:rFonts w:ascii="Palatino Linotype" w:hAnsi="Palatino Linotype" w:cs="Arial"/>
          <w:b/>
          <w:i/>
          <w:sz w:val="24"/>
          <w:szCs w:val="24"/>
        </w:rPr>
      </w:pPr>
    </w:p>
    <w:p w14:paraId="36CEC4FB" w14:textId="7CCFDB6E" w:rsidR="00F3468F" w:rsidRPr="00015DAF" w:rsidRDefault="00F3468F" w:rsidP="00F3468F">
      <w:pPr>
        <w:pStyle w:val="Textoindependiente"/>
        <w:spacing w:after="0" w:line="360" w:lineRule="auto"/>
        <w:ind w:left="110" w:right="107" w:hanging="1"/>
        <w:jc w:val="both"/>
        <w:rPr>
          <w:rFonts w:ascii="Palatino Linotype" w:hAnsi="Palatino Linotype"/>
          <w:sz w:val="24"/>
          <w:szCs w:val="24"/>
        </w:rPr>
      </w:pPr>
      <w:r w:rsidRPr="00015DAF">
        <w:rPr>
          <w:rFonts w:ascii="Palatino Linotype" w:hAnsi="Palatino Linotype" w:cs="Arial"/>
          <w:sz w:val="24"/>
          <w:szCs w:val="24"/>
        </w:rPr>
        <w:t xml:space="preserve">Por las razones antes expuestas se actualiza la causal de </w:t>
      </w:r>
      <w:r w:rsidR="00015DAF" w:rsidRPr="00015DAF">
        <w:rPr>
          <w:rFonts w:ascii="Palatino Linotype" w:hAnsi="Palatino Linotype" w:cs="Arial"/>
          <w:sz w:val="24"/>
          <w:szCs w:val="24"/>
        </w:rPr>
        <w:t>improcedencia</w:t>
      </w:r>
      <w:r w:rsidRPr="00015DAF">
        <w:rPr>
          <w:rFonts w:ascii="Palatino Linotype" w:hAnsi="Palatino Linotype" w:cs="Arial"/>
          <w:sz w:val="24"/>
          <w:szCs w:val="24"/>
        </w:rPr>
        <w:t xml:space="preserve"> prevista en el </w:t>
      </w:r>
      <w:r w:rsidR="00162C85" w:rsidRPr="00015DAF">
        <w:rPr>
          <w:rFonts w:ascii="Palatino Linotype" w:hAnsi="Palatino Linotype"/>
          <w:sz w:val="24"/>
          <w:szCs w:val="24"/>
        </w:rPr>
        <w:t>numeral 138, fracción I  de la Ley de Protección de Datos Personales en Posesión de Sujetos Obligados del Estado de México y Municipios.</w:t>
      </w:r>
    </w:p>
    <w:p w14:paraId="152FC5C9" w14:textId="77777777" w:rsidR="00015DAF" w:rsidRPr="00015DAF" w:rsidRDefault="00015DAF" w:rsidP="00F3468F">
      <w:pPr>
        <w:pStyle w:val="Textoindependiente"/>
        <w:spacing w:after="0" w:line="360" w:lineRule="auto"/>
        <w:ind w:left="110" w:right="107" w:hanging="1"/>
        <w:jc w:val="both"/>
        <w:rPr>
          <w:rFonts w:ascii="Palatino Linotype" w:hAnsi="Palatino Linotype"/>
          <w:sz w:val="24"/>
          <w:szCs w:val="24"/>
        </w:rPr>
      </w:pPr>
    </w:p>
    <w:p w14:paraId="394BBFF7" w14:textId="77777777" w:rsidR="00162C85" w:rsidRPr="00E63047" w:rsidRDefault="00162C85" w:rsidP="00162C85">
      <w:pPr>
        <w:pStyle w:val="Prrafodelista"/>
        <w:autoSpaceDE w:val="0"/>
        <w:autoSpaceDN w:val="0"/>
        <w:adjustRightInd w:val="0"/>
        <w:spacing w:line="360" w:lineRule="auto"/>
        <w:ind w:left="0"/>
        <w:jc w:val="both"/>
        <w:rPr>
          <w:rFonts w:ascii="Palatino Linotype" w:hAnsi="Palatino Linotype" w:cs="Arial"/>
        </w:rPr>
      </w:pPr>
      <w:r w:rsidRPr="00E63047">
        <w:rPr>
          <w:rFonts w:ascii="Palatino Linotype" w:hAnsi="Palatino Linotype" w:cs="Arial"/>
        </w:rPr>
        <w:t xml:space="preserve">Ahora bien, respecto de este mismo segundo elemento normativo en que se estudia, por lo que hace al denominado inciso </w:t>
      </w:r>
      <w:r w:rsidRPr="00E63047">
        <w:rPr>
          <w:rFonts w:ascii="Palatino Linotype" w:hAnsi="Palatino Linotype" w:cs="Arial"/>
          <w:b/>
        </w:rPr>
        <w:t>“b)”</w:t>
      </w:r>
      <w:r w:rsidRPr="00E63047">
        <w:rPr>
          <w:rFonts w:ascii="Palatino Linotype" w:hAnsi="Palatino Linotype" w:cs="Arial"/>
        </w:rPr>
        <w:t xml:space="preserve">, la forma en que la autoridad ha de detectar, señalar o valorar la causa de improcedencia en el recurso de revisión es decir, a que </w:t>
      </w:r>
      <w:r w:rsidRPr="00E63047">
        <w:rPr>
          <w:rFonts w:ascii="Palatino Linotype" w:hAnsi="Palatino Linotype" w:cs="Arial"/>
          <w:i/>
        </w:rPr>
        <w:t>“aparezca”</w:t>
      </w:r>
      <w:r w:rsidRPr="00E63047">
        <w:rPr>
          <w:rFonts w:ascii="Palatino Linotype" w:hAnsi="Palatino Linotype" w:cs="Arial"/>
        </w:rPr>
        <w:t xml:space="preserve">, hablando por supuesto, del momento procesal en que debe llevarse a cabo, es necesario referir que la causa de improcedencia apareció en el recurso de revisión en el momento en que se admitió, respecto a este punto la Ley en la materia no establece algún momento en específico en que deba aparecer una causal de improcedencia, sino que de forma general refiere </w:t>
      </w:r>
      <w:r w:rsidRPr="00E63047">
        <w:rPr>
          <w:rFonts w:ascii="Palatino Linotype" w:hAnsi="Palatino Linotype" w:cs="Arial"/>
          <w:i/>
        </w:rPr>
        <w:t>“aparezca”</w:t>
      </w:r>
      <w:r w:rsidRPr="00E63047">
        <w:rPr>
          <w:rFonts w:ascii="Palatino Linotype" w:hAnsi="Palatino Linotype" w:cs="Arial"/>
        </w:rPr>
        <w:t>, lo cual puede ocurrir en cualquier momento; en el presente asunto aparece la causal de improcedencia, de la que se ha hecho el estudio anteriormente, en el momento de admitir el recurso de revisión, y es hasta el momento en que se resuelve en que la autoridad resolutora la puede señalar; ahora bien, el señalar o dar cuenta de la existencia de una causa de improcedencia es distinta al momento en que aquella aparece.</w:t>
      </w:r>
    </w:p>
    <w:p w14:paraId="4D1C8C1D" w14:textId="77777777" w:rsidR="00162C85" w:rsidRDefault="00162C85" w:rsidP="00162C85">
      <w:pPr>
        <w:pStyle w:val="Prrafodelista"/>
        <w:autoSpaceDE w:val="0"/>
        <w:autoSpaceDN w:val="0"/>
        <w:adjustRightInd w:val="0"/>
        <w:spacing w:line="360" w:lineRule="auto"/>
        <w:ind w:left="0"/>
        <w:jc w:val="both"/>
        <w:rPr>
          <w:rFonts w:ascii="Palatino Linotype" w:hAnsi="Palatino Linotype" w:cs="Arial"/>
        </w:rPr>
      </w:pPr>
      <w:r w:rsidRPr="00015DAF">
        <w:rPr>
          <w:rFonts w:ascii="Palatino Linotype" w:hAnsi="Palatino Linotype" w:cs="Arial"/>
        </w:rPr>
        <w:lastRenderedPageBreak/>
        <w:t>En efecto, son dos cuestiones diversas, una atañe a los autos del expediente en que se resuelve cuya instrumentación (u ordinaria forma de transcurrir el procedimiento) trae como consecuencia la aparición de alguna causa de improcedencia, como en el presente caso que el recurrente no desahogó la prevención en los términos establecidos en la presente Ley, y la segunda a las atribuciones de este ente colegiado para resolver estudiando todas las constancias que obran en el expediente, cuya encomienda engloba el señalar o dar cuenta de la actualización de una causa de improcedencia.</w:t>
      </w:r>
    </w:p>
    <w:p w14:paraId="77327EB7" w14:textId="77777777" w:rsidR="00015DAF" w:rsidRPr="00015DAF" w:rsidRDefault="00015DAF" w:rsidP="00162C85">
      <w:pPr>
        <w:pStyle w:val="Prrafodelista"/>
        <w:autoSpaceDE w:val="0"/>
        <w:autoSpaceDN w:val="0"/>
        <w:adjustRightInd w:val="0"/>
        <w:spacing w:line="360" w:lineRule="auto"/>
        <w:ind w:left="0"/>
        <w:jc w:val="both"/>
        <w:rPr>
          <w:rFonts w:ascii="Palatino Linotype" w:hAnsi="Palatino Linotype" w:cs="Arial"/>
        </w:rPr>
      </w:pPr>
    </w:p>
    <w:p w14:paraId="140257F0" w14:textId="77777777" w:rsidR="00162C85" w:rsidRDefault="00162C85" w:rsidP="00162C85">
      <w:pPr>
        <w:pStyle w:val="Prrafodelista"/>
        <w:autoSpaceDE w:val="0"/>
        <w:autoSpaceDN w:val="0"/>
        <w:adjustRightInd w:val="0"/>
        <w:spacing w:line="360" w:lineRule="auto"/>
        <w:ind w:left="0"/>
        <w:jc w:val="both"/>
        <w:rPr>
          <w:rFonts w:ascii="Palatino Linotype" w:hAnsi="Palatino Linotype" w:cs="Arial"/>
        </w:rPr>
      </w:pPr>
      <w:r w:rsidRPr="00015DAF">
        <w:rPr>
          <w:rFonts w:ascii="Palatino Linotype" w:hAnsi="Palatino Linotype" w:cs="Arial"/>
        </w:rPr>
        <w:t>Ahora bien, respecto a tal circunstancia, este Órgano Garante de la Transparencia puede en cualquier momento advertir la existencia de la causal de improcedencia, la multicitada Ley no limita a este Instituto a circunscribirse a un término, plazo, periodo o momento, para advertir o identificar la existencia de una causal de improcedencia,</w:t>
      </w:r>
      <w:r w:rsidRPr="00E63047">
        <w:rPr>
          <w:rFonts w:ascii="Palatino Linotype" w:hAnsi="Palatino Linotype" w:cs="Arial"/>
        </w:rPr>
        <w:t xml:space="preserve"> sino que puede hacerlo en cualquier momento una vez que aparezca, que como se ha dicho anteriormente, en el presente caso, apareció al momento de admitirse el recurso de revisión, del cual este Órgano Garante de la Transparencia la advirtió al momento de resolver el recurso de revisión que nos ocupa.</w:t>
      </w:r>
    </w:p>
    <w:p w14:paraId="608452EB" w14:textId="77777777" w:rsidR="000A61D2" w:rsidRPr="00E63047" w:rsidRDefault="000A61D2" w:rsidP="00162C85">
      <w:pPr>
        <w:pStyle w:val="Prrafodelista"/>
        <w:autoSpaceDE w:val="0"/>
        <w:autoSpaceDN w:val="0"/>
        <w:adjustRightInd w:val="0"/>
        <w:spacing w:line="360" w:lineRule="auto"/>
        <w:ind w:left="0"/>
        <w:jc w:val="both"/>
        <w:rPr>
          <w:rFonts w:ascii="Palatino Linotype" w:hAnsi="Palatino Linotype" w:cs="Arial"/>
        </w:rPr>
      </w:pPr>
    </w:p>
    <w:p w14:paraId="25100D01" w14:textId="3A802137" w:rsidR="00CB1F03" w:rsidRPr="006D73E1" w:rsidRDefault="00CB1F03" w:rsidP="00CB1F03">
      <w:pPr>
        <w:pStyle w:val="Prrafodelista"/>
        <w:autoSpaceDE w:val="0"/>
        <w:autoSpaceDN w:val="0"/>
        <w:adjustRightInd w:val="0"/>
        <w:spacing w:line="360" w:lineRule="auto"/>
        <w:ind w:left="0"/>
        <w:jc w:val="both"/>
        <w:rPr>
          <w:rFonts w:ascii="Palatino Linotype" w:hAnsi="Palatino Linotype" w:cs="Arial"/>
        </w:rPr>
      </w:pPr>
      <w:r w:rsidRPr="006D73E1">
        <w:rPr>
          <w:rFonts w:ascii="Palatino Linotype" w:hAnsi="Palatino Linotype" w:cs="Arial"/>
        </w:rPr>
        <w:t>Es por ello que el segundo elemento norm</w:t>
      </w:r>
      <w:r w:rsidR="000A61D2" w:rsidRPr="006D73E1">
        <w:rPr>
          <w:rFonts w:ascii="Palatino Linotype" w:hAnsi="Palatino Linotype" w:cs="Arial"/>
        </w:rPr>
        <w:t>ativo previsto en la fracción III</w:t>
      </w:r>
      <w:r w:rsidRPr="006D73E1">
        <w:rPr>
          <w:rFonts w:ascii="Palatino Linotype" w:hAnsi="Palatino Linotype" w:cs="Arial"/>
        </w:rPr>
        <w:t>, del artículo 1</w:t>
      </w:r>
      <w:r w:rsidR="000A61D2" w:rsidRPr="006D73E1">
        <w:rPr>
          <w:rFonts w:ascii="Palatino Linotype" w:hAnsi="Palatino Linotype" w:cs="Arial"/>
        </w:rPr>
        <w:t>39</w:t>
      </w:r>
      <w:r w:rsidRPr="006D73E1">
        <w:rPr>
          <w:rFonts w:ascii="Palatino Linotype" w:hAnsi="Palatino Linotype" w:cs="Arial"/>
        </w:rPr>
        <w:t xml:space="preserve">, </w:t>
      </w:r>
      <w:r w:rsidR="000A61D2" w:rsidRPr="006D73E1">
        <w:rPr>
          <w:rFonts w:ascii="Palatino Linotype" w:hAnsi="Palatino Linotype" w:cs="Arial"/>
        </w:rPr>
        <w:t xml:space="preserve">de la </w:t>
      </w:r>
      <w:r w:rsidR="000A61D2" w:rsidRPr="006D73E1">
        <w:rPr>
          <w:rFonts w:ascii="Palatino Linotype" w:hAnsi="Palatino Linotype"/>
        </w:rPr>
        <w:t>Ley de Protección de Datos Personales en Posesión de Sujetos Obligados del Estado de México y Municipios</w:t>
      </w:r>
      <w:r w:rsidR="000A61D2" w:rsidRPr="006D73E1">
        <w:rPr>
          <w:rFonts w:ascii="Palatino Linotype" w:hAnsi="Palatino Linotype" w:cs="Arial"/>
        </w:rPr>
        <w:t xml:space="preserve">  </w:t>
      </w:r>
      <w:r w:rsidRPr="006D73E1">
        <w:rPr>
          <w:rFonts w:ascii="Palatino Linotype" w:hAnsi="Palatino Linotype" w:cs="Arial"/>
        </w:rPr>
        <w:t>se configura perfectamente en el presente recurso de revisión.</w:t>
      </w:r>
    </w:p>
    <w:p w14:paraId="4FA74EBC" w14:textId="77777777" w:rsidR="000A61D2" w:rsidRDefault="000A61D2" w:rsidP="00CB1F03">
      <w:pPr>
        <w:pStyle w:val="Prrafodelista"/>
        <w:autoSpaceDE w:val="0"/>
        <w:autoSpaceDN w:val="0"/>
        <w:adjustRightInd w:val="0"/>
        <w:spacing w:line="360" w:lineRule="auto"/>
        <w:ind w:left="0"/>
        <w:jc w:val="both"/>
        <w:rPr>
          <w:rFonts w:ascii="Palatino Linotype" w:hAnsi="Palatino Linotype" w:cs="Arial"/>
        </w:rPr>
      </w:pPr>
    </w:p>
    <w:p w14:paraId="3EB56317" w14:textId="77777777" w:rsidR="000A61D2" w:rsidRPr="00E63047" w:rsidRDefault="000A61D2" w:rsidP="000A61D2">
      <w:pPr>
        <w:pStyle w:val="Prrafodelista"/>
        <w:autoSpaceDE w:val="0"/>
        <w:autoSpaceDN w:val="0"/>
        <w:adjustRightInd w:val="0"/>
        <w:spacing w:line="360" w:lineRule="auto"/>
        <w:ind w:left="0"/>
        <w:jc w:val="both"/>
        <w:rPr>
          <w:rFonts w:ascii="Palatino Linotype" w:hAnsi="Palatino Linotype" w:cs="Arial"/>
        </w:rPr>
      </w:pPr>
      <w:r w:rsidRPr="00E63047">
        <w:rPr>
          <w:rFonts w:ascii="Palatino Linotype" w:hAnsi="Palatino Linotype" w:cs="Arial"/>
        </w:rPr>
        <w:lastRenderedPageBreak/>
        <w:t>En relación al tercer elemento normativo, que establece: “</w:t>
      </w:r>
      <w:r w:rsidRPr="00E63047">
        <w:rPr>
          <w:rFonts w:ascii="Palatino Linotype" w:hAnsi="Palatino Linotype" w:cs="Arial"/>
          <w:i/>
        </w:rPr>
        <w:t>en términos de esta ley</w:t>
      </w:r>
      <w:r w:rsidRPr="00E63047">
        <w:rPr>
          <w:rFonts w:ascii="Palatino Linotype" w:hAnsi="Palatino Linotype" w:cs="Arial"/>
        </w:rPr>
        <w:t>”, se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 o requisitos no contempladas en ella, en tal sentido es que en el presente recurso de revisión se actualizaron los elementos normativos que contempla la hipótesis jurídica a continuación inserta.</w:t>
      </w:r>
    </w:p>
    <w:p w14:paraId="578CEF14" w14:textId="77777777" w:rsidR="000A61D2" w:rsidRDefault="000A61D2" w:rsidP="000A61D2">
      <w:pPr>
        <w:pStyle w:val="Citas"/>
      </w:pPr>
      <w:r>
        <w:t>“Artículo 139. El recurso de revisión sólo podrá ser sobreseído cuando:</w:t>
      </w:r>
    </w:p>
    <w:p w14:paraId="54BCBB64" w14:textId="77777777" w:rsidR="000A61D2" w:rsidRDefault="000A61D2" w:rsidP="000A61D2">
      <w:pPr>
        <w:pStyle w:val="Citas"/>
      </w:pPr>
      <w:r>
        <w:t>(…)</w:t>
      </w:r>
    </w:p>
    <w:p w14:paraId="676DBF19" w14:textId="77777777" w:rsidR="000A61D2" w:rsidRPr="00C1572B" w:rsidRDefault="000A61D2" w:rsidP="000A61D2">
      <w:pPr>
        <w:pStyle w:val="Citas"/>
        <w:rPr>
          <w:b/>
          <w:u w:val="single"/>
        </w:rPr>
      </w:pPr>
      <w:r w:rsidRPr="00C1572B">
        <w:rPr>
          <w:b/>
          <w:u w:val="single"/>
        </w:rPr>
        <w:t>III. Admitido el recurso de revisión, se actualice alguna causal de improcedencia en los términos de la presente Ley.</w:t>
      </w:r>
    </w:p>
    <w:p w14:paraId="7848FEC4" w14:textId="77777777" w:rsidR="000A61D2" w:rsidRPr="00C1572B" w:rsidRDefault="000A61D2" w:rsidP="000A61D2">
      <w:pPr>
        <w:pStyle w:val="Citas"/>
        <w:rPr>
          <w:b/>
          <w:sz w:val="24"/>
          <w:szCs w:val="24"/>
          <w:lang w:val="es-ES"/>
        </w:rPr>
      </w:pPr>
      <w:r>
        <w:t xml:space="preserve">(…)” </w:t>
      </w:r>
      <w:r>
        <w:rPr>
          <w:b/>
        </w:rPr>
        <w:t>[Sic]</w:t>
      </w:r>
    </w:p>
    <w:p w14:paraId="5DC2CDFF" w14:textId="77777777" w:rsidR="006D73E1" w:rsidRDefault="006D73E1" w:rsidP="000A61D2">
      <w:pPr>
        <w:spacing w:after="0" w:line="360" w:lineRule="auto"/>
        <w:ind w:right="51"/>
        <w:jc w:val="both"/>
        <w:rPr>
          <w:rFonts w:ascii="Palatino Linotype" w:hAnsi="Palatino Linotype" w:cs="Arial"/>
          <w:sz w:val="24"/>
          <w:szCs w:val="24"/>
        </w:rPr>
      </w:pPr>
    </w:p>
    <w:p w14:paraId="6E53E829" w14:textId="6757AFB1" w:rsidR="000A61D2" w:rsidRPr="00503344" w:rsidRDefault="000A61D2" w:rsidP="000A61D2">
      <w:pPr>
        <w:spacing w:after="0" w:line="360" w:lineRule="auto"/>
        <w:ind w:right="51"/>
        <w:jc w:val="both"/>
        <w:rPr>
          <w:rFonts w:ascii="Palatino Linotype" w:hAnsi="Palatino Linotype" w:cs="Arial"/>
          <w:b/>
          <w:sz w:val="24"/>
          <w:szCs w:val="24"/>
          <w:u w:val="single"/>
        </w:rPr>
      </w:pPr>
      <w:r w:rsidRPr="00503344">
        <w:rPr>
          <w:rFonts w:ascii="Palatino Linotype" w:hAnsi="Palatino Linotype" w:cs="Arial"/>
          <w:b/>
          <w:sz w:val="24"/>
          <w:szCs w:val="24"/>
          <w:u w:val="single"/>
        </w:rPr>
        <w:t xml:space="preserve">No obstante lo anterior, se dejan a salvo los derechos de la hoy Recurrente para que </w:t>
      </w:r>
      <w:r w:rsidR="00503344" w:rsidRPr="00503344">
        <w:rPr>
          <w:rFonts w:ascii="Palatino Linotype" w:hAnsi="Palatino Linotype" w:cs="Arial"/>
          <w:b/>
          <w:sz w:val="24"/>
          <w:szCs w:val="24"/>
          <w:u w:val="single"/>
        </w:rPr>
        <w:t xml:space="preserve">acuda ante el módulo de transparencia del  Sujeto Obligado, a efecto de acreditar su identidad para la entrega de la información requerida, sin necesidad de ejercer mediante solicitud diversa el derecho de acceso a datos personales. </w:t>
      </w:r>
    </w:p>
    <w:p w14:paraId="4EA4F7C6" w14:textId="77777777" w:rsidR="000A61D2" w:rsidRDefault="000A61D2" w:rsidP="000A61D2">
      <w:pPr>
        <w:spacing w:after="0" w:line="360" w:lineRule="auto"/>
        <w:ind w:right="51"/>
        <w:jc w:val="both"/>
        <w:rPr>
          <w:rFonts w:ascii="Palatino Linotype" w:hAnsi="Palatino Linotype" w:cs="Arial"/>
          <w:sz w:val="24"/>
          <w:szCs w:val="24"/>
        </w:rPr>
      </w:pPr>
    </w:p>
    <w:p w14:paraId="55B2A163" w14:textId="374B416E" w:rsidR="000A61D2" w:rsidRPr="00E63047" w:rsidRDefault="000A61D2" w:rsidP="000A61D2">
      <w:pPr>
        <w:spacing w:after="0" w:line="360" w:lineRule="auto"/>
        <w:ind w:right="51"/>
        <w:jc w:val="both"/>
        <w:rPr>
          <w:rFonts w:ascii="Palatino Linotype" w:hAnsi="Palatino Linotype" w:cs="Arial"/>
          <w:sz w:val="24"/>
          <w:szCs w:val="24"/>
        </w:rPr>
      </w:pPr>
      <w:r w:rsidRPr="006D73E1">
        <w:rPr>
          <w:rFonts w:ascii="Palatino Linotype" w:hAnsi="Palatino Linotype"/>
          <w:sz w:val="24"/>
          <w:szCs w:val="24"/>
        </w:rPr>
        <w:t xml:space="preserve">En mérito de lo expuesto en líneas anteriores, </w:t>
      </w:r>
      <w:r w:rsidRPr="006D73E1">
        <w:rPr>
          <w:rFonts w:ascii="Palatino Linotype" w:hAnsi="Palatino Linotype" w:cs="Arial"/>
          <w:sz w:val="24"/>
          <w:szCs w:val="24"/>
        </w:rPr>
        <w:t xml:space="preserve">con fundamento en el artículo 137, fracción I de la </w:t>
      </w:r>
      <w:r w:rsidRPr="006D73E1">
        <w:rPr>
          <w:rFonts w:ascii="Palatino Linotype" w:hAnsi="Palatino Linotype"/>
          <w:sz w:val="24"/>
          <w:szCs w:val="24"/>
        </w:rPr>
        <w:t>Ley de Protección de Datos Personales en Posesión de Sujetos Obligados del Estado de México y Municipios</w:t>
      </w:r>
      <w:r w:rsidRPr="006D73E1">
        <w:rPr>
          <w:rFonts w:ascii="Palatino Linotype" w:hAnsi="Palatino Linotype" w:cs="Arial"/>
          <w:sz w:val="24"/>
          <w:szCs w:val="24"/>
        </w:rPr>
        <w:t>,</w:t>
      </w:r>
      <w:r>
        <w:rPr>
          <w:rFonts w:ascii="Palatino Linotype" w:hAnsi="Palatino Linotype" w:cs="Arial"/>
        </w:rPr>
        <w:t xml:space="preserve"> </w:t>
      </w:r>
      <w:r w:rsidRPr="00E63047">
        <w:rPr>
          <w:rFonts w:ascii="Palatino Linotype" w:hAnsi="Palatino Linotype" w:cs="Arial"/>
          <w:sz w:val="24"/>
          <w:szCs w:val="24"/>
        </w:rPr>
        <w:t xml:space="preserve">se </w:t>
      </w:r>
      <w:r w:rsidRPr="00E63047">
        <w:rPr>
          <w:rFonts w:ascii="Palatino Linotype" w:hAnsi="Palatino Linotype" w:cs="Arial"/>
          <w:b/>
          <w:sz w:val="24"/>
          <w:szCs w:val="24"/>
        </w:rPr>
        <w:t>SOBRESEE</w:t>
      </w:r>
      <w:r w:rsidRPr="00E63047">
        <w:rPr>
          <w:rFonts w:ascii="Palatino Linotype" w:hAnsi="Palatino Linotype" w:cs="Arial"/>
          <w:sz w:val="24"/>
          <w:szCs w:val="24"/>
        </w:rPr>
        <w:t xml:space="preserve"> el recurso de revisión </w:t>
      </w:r>
      <w:r w:rsidRPr="00E63047">
        <w:rPr>
          <w:rFonts w:ascii="Palatino Linotype" w:hAnsi="Palatino Linotype" w:cs="Arial"/>
          <w:b/>
          <w:sz w:val="24"/>
          <w:szCs w:val="24"/>
        </w:rPr>
        <w:t>0</w:t>
      </w:r>
      <w:r>
        <w:rPr>
          <w:rFonts w:ascii="Palatino Linotype" w:hAnsi="Palatino Linotype" w:cs="Arial"/>
          <w:b/>
          <w:sz w:val="24"/>
          <w:szCs w:val="24"/>
        </w:rPr>
        <w:t>4440/INFOEM/AD</w:t>
      </w:r>
      <w:r w:rsidRPr="00E63047">
        <w:rPr>
          <w:rFonts w:ascii="Palatino Linotype" w:hAnsi="Palatino Linotype" w:cs="Arial"/>
          <w:b/>
          <w:sz w:val="24"/>
          <w:szCs w:val="24"/>
        </w:rPr>
        <w:t>/RR/2021</w:t>
      </w:r>
      <w:r w:rsidRPr="00E63047">
        <w:rPr>
          <w:rFonts w:ascii="Palatino Linotype" w:hAnsi="Palatino Linotype" w:cs="Arial"/>
          <w:sz w:val="24"/>
          <w:szCs w:val="24"/>
        </w:rPr>
        <w:t>, que ha sido materia del presente fallo.</w:t>
      </w:r>
    </w:p>
    <w:p w14:paraId="5CCCC46A" w14:textId="77777777" w:rsidR="000A61D2" w:rsidRPr="00E63047" w:rsidRDefault="000A61D2" w:rsidP="000A61D2">
      <w:pPr>
        <w:tabs>
          <w:tab w:val="left" w:pos="709"/>
        </w:tabs>
        <w:spacing w:after="0" w:line="360" w:lineRule="auto"/>
        <w:ind w:right="51"/>
        <w:jc w:val="both"/>
        <w:rPr>
          <w:rFonts w:ascii="Palatino Linotype" w:hAnsi="Palatino Linotype" w:cs="Arial"/>
          <w:sz w:val="24"/>
          <w:szCs w:val="24"/>
        </w:rPr>
      </w:pPr>
      <w:r w:rsidRPr="00E63047">
        <w:rPr>
          <w:rFonts w:ascii="Palatino Linotype" w:hAnsi="Palatino Linotype" w:cs="Arial"/>
          <w:sz w:val="24"/>
          <w:szCs w:val="24"/>
        </w:rPr>
        <w:lastRenderedPageBreak/>
        <w:t>Por lo antes expuesto y fundado es de resolverse y,</w:t>
      </w:r>
    </w:p>
    <w:p w14:paraId="36980AB9" w14:textId="77777777" w:rsidR="000A61D2" w:rsidRPr="00E63047" w:rsidRDefault="000A61D2" w:rsidP="000A61D2">
      <w:pPr>
        <w:tabs>
          <w:tab w:val="left" w:pos="709"/>
        </w:tabs>
        <w:spacing w:line="360" w:lineRule="auto"/>
        <w:ind w:right="51"/>
        <w:jc w:val="both"/>
        <w:rPr>
          <w:rFonts w:ascii="Palatino Linotype" w:hAnsi="Palatino Linotype" w:cs="Arial"/>
        </w:rPr>
      </w:pPr>
    </w:p>
    <w:p w14:paraId="01E02A7C" w14:textId="77777777" w:rsidR="000A61D2" w:rsidRPr="00E63047" w:rsidRDefault="000A61D2" w:rsidP="000A61D2">
      <w:pPr>
        <w:spacing w:line="360" w:lineRule="auto"/>
        <w:jc w:val="center"/>
        <w:rPr>
          <w:rFonts w:ascii="Palatino Linotype" w:hAnsi="Palatino Linotype"/>
          <w:b/>
          <w:bCs/>
          <w:spacing w:val="60"/>
          <w:sz w:val="28"/>
          <w:lang w:val="es-ES_tradnl"/>
        </w:rPr>
      </w:pPr>
      <w:r w:rsidRPr="00E63047">
        <w:rPr>
          <w:rFonts w:ascii="Palatino Linotype" w:hAnsi="Palatino Linotype"/>
          <w:b/>
          <w:bCs/>
          <w:spacing w:val="60"/>
          <w:sz w:val="28"/>
          <w:lang w:val="es-ES_tradnl"/>
        </w:rPr>
        <w:t>SE    RESUELVE</w:t>
      </w:r>
    </w:p>
    <w:p w14:paraId="0FCA9145" w14:textId="77777777" w:rsidR="000A61D2" w:rsidRPr="00E63047" w:rsidRDefault="000A61D2" w:rsidP="000A61D2">
      <w:pPr>
        <w:pStyle w:val="Sinespaciado"/>
      </w:pPr>
    </w:p>
    <w:p w14:paraId="6933BCB6" w14:textId="7B3DE7DD" w:rsidR="000A61D2" w:rsidRDefault="000A61D2" w:rsidP="000A61D2">
      <w:pPr>
        <w:spacing w:line="360" w:lineRule="auto"/>
        <w:jc w:val="both"/>
        <w:rPr>
          <w:rFonts w:ascii="Palatino Linotype" w:hAnsi="Palatino Linotype" w:cs="Arial"/>
          <w:sz w:val="24"/>
        </w:rPr>
      </w:pPr>
      <w:r w:rsidRPr="00E63047">
        <w:rPr>
          <w:rFonts w:ascii="Palatino Linotype" w:hAnsi="Palatino Linotype" w:cs="Arial"/>
          <w:b/>
          <w:sz w:val="28"/>
        </w:rPr>
        <w:t>PRIMERO.</w:t>
      </w:r>
      <w:r w:rsidRPr="00E63047">
        <w:rPr>
          <w:rFonts w:ascii="Palatino Linotype" w:hAnsi="Palatino Linotype" w:cs="Arial"/>
          <w:sz w:val="28"/>
        </w:rPr>
        <w:t xml:space="preserve"> </w:t>
      </w:r>
      <w:r w:rsidRPr="00E63047">
        <w:rPr>
          <w:rFonts w:ascii="Palatino Linotype" w:hAnsi="Palatino Linotype" w:cs="Arial"/>
          <w:sz w:val="24"/>
        </w:rPr>
        <w:t xml:space="preserve">Se </w:t>
      </w:r>
      <w:r w:rsidRPr="00E63047">
        <w:rPr>
          <w:rFonts w:ascii="Palatino Linotype" w:hAnsi="Palatino Linotype" w:cs="Arial"/>
          <w:b/>
          <w:sz w:val="24"/>
        </w:rPr>
        <w:t>SOBRESEE</w:t>
      </w:r>
      <w:r w:rsidRPr="00E63047">
        <w:rPr>
          <w:rFonts w:ascii="Palatino Linotype" w:hAnsi="Palatino Linotype" w:cs="Arial"/>
          <w:sz w:val="24"/>
        </w:rPr>
        <w:t xml:space="preserve"> el recurso de revisión número </w:t>
      </w:r>
      <w:r>
        <w:rPr>
          <w:rFonts w:ascii="Palatino Linotype" w:hAnsi="Palatino Linotype" w:cs="Arial"/>
          <w:b/>
          <w:sz w:val="24"/>
        </w:rPr>
        <w:t>04440</w:t>
      </w:r>
      <w:r w:rsidR="00EA1CC7">
        <w:rPr>
          <w:rFonts w:ascii="Palatino Linotype" w:hAnsi="Palatino Linotype" w:cs="Arial"/>
          <w:b/>
          <w:sz w:val="24"/>
        </w:rPr>
        <w:t>/INFOEM/AD</w:t>
      </w:r>
      <w:r w:rsidRPr="00E63047">
        <w:rPr>
          <w:rFonts w:ascii="Palatino Linotype" w:hAnsi="Palatino Linotype" w:cs="Arial"/>
          <w:b/>
          <w:sz w:val="24"/>
        </w:rPr>
        <w:t>/RR/2021</w:t>
      </w:r>
      <w:r w:rsidRPr="00E63047">
        <w:rPr>
          <w:rFonts w:ascii="Palatino Linotype" w:hAnsi="Palatino Linotype" w:cs="Arial"/>
          <w:sz w:val="24"/>
        </w:rPr>
        <w:t xml:space="preserve">, </w:t>
      </w:r>
      <w:r w:rsidRPr="00015DAF">
        <w:rPr>
          <w:rFonts w:ascii="Palatino Linotype" w:hAnsi="Palatino Linotype" w:cs="Arial"/>
          <w:sz w:val="24"/>
        </w:rPr>
        <w:t xml:space="preserve">por actualizarse la causal de improcedencia inmersa en la fracción I, del artículo 138, de la </w:t>
      </w:r>
      <w:r w:rsidRPr="00015DAF">
        <w:rPr>
          <w:rFonts w:ascii="Palatino Linotype" w:hAnsi="Palatino Linotype"/>
          <w:sz w:val="24"/>
          <w:szCs w:val="24"/>
        </w:rPr>
        <w:t>Ley de Protección de Datos Personales en Posesión de Sujetos Obligados del Estado de México y Municipios</w:t>
      </w:r>
      <w:r w:rsidRPr="00015DAF">
        <w:rPr>
          <w:rFonts w:ascii="Palatino Linotype" w:hAnsi="Palatino Linotype" w:cs="Arial"/>
          <w:sz w:val="24"/>
        </w:rPr>
        <w:t xml:space="preserve">, en términos del Considerando </w:t>
      </w:r>
      <w:r w:rsidRPr="00015DAF">
        <w:rPr>
          <w:rFonts w:ascii="Palatino Linotype" w:hAnsi="Palatino Linotype" w:cs="Arial"/>
          <w:b/>
          <w:sz w:val="24"/>
        </w:rPr>
        <w:t>TERCERO</w:t>
      </w:r>
      <w:r w:rsidRPr="00015DAF">
        <w:rPr>
          <w:rFonts w:ascii="Palatino Linotype" w:hAnsi="Palatino Linotype" w:cs="Arial"/>
          <w:sz w:val="24"/>
        </w:rPr>
        <w:t xml:space="preserve"> de la presente resolución.</w:t>
      </w:r>
    </w:p>
    <w:p w14:paraId="49B77E5B" w14:textId="77777777" w:rsidR="007A2D41" w:rsidRDefault="007A2D41" w:rsidP="000A61D2">
      <w:pPr>
        <w:spacing w:line="360" w:lineRule="auto"/>
        <w:jc w:val="both"/>
        <w:rPr>
          <w:rFonts w:ascii="Palatino Linotype" w:hAnsi="Palatino Linotype" w:cs="Arial"/>
          <w:sz w:val="24"/>
        </w:rPr>
      </w:pPr>
    </w:p>
    <w:p w14:paraId="00DB8F40" w14:textId="1F0C119F" w:rsidR="000A61D2" w:rsidRPr="00E63047" w:rsidRDefault="000A61D2" w:rsidP="000A61D2">
      <w:pPr>
        <w:spacing w:after="0" w:line="360" w:lineRule="auto"/>
        <w:jc w:val="both"/>
        <w:rPr>
          <w:rFonts w:ascii="Palatino Linotype" w:hAnsi="Palatino Linotype" w:cs="Arial"/>
          <w:sz w:val="24"/>
        </w:rPr>
      </w:pPr>
      <w:r w:rsidRPr="00E63047">
        <w:rPr>
          <w:rFonts w:ascii="Palatino Linotype" w:hAnsi="Palatino Linotype" w:cs="Arial"/>
          <w:b/>
          <w:sz w:val="28"/>
        </w:rPr>
        <w:t>SEGUNDO</w:t>
      </w:r>
      <w:r w:rsidRPr="00E63047">
        <w:rPr>
          <w:rFonts w:ascii="Palatino Linotype" w:hAnsi="Palatino Linotype" w:cs="Arial"/>
          <w:sz w:val="28"/>
        </w:rPr>
        <w:t xml:space="preserve">. </w:t>
      </w:r>
      <w:r w:rsidRPr="00E63047">
        <w:rPr>
          <w:rFonts w:ascii="Palatino Linotype" w:hAnsi="Palatino Linotype" w:cs="Arial"/>
          <w:sz w:val="24"/>
        </w:rPr>
        <w:t xml:space="preserve">Notifíquese vía </w:t>
      </w:r>
      <w:r>
        <w:rPr>
          <w:rFonts w:ascii="Palatino Linotype" w:hAnsi="Palatino Linotype" w:cs="Arial"/>
          <w:sz w:val="24"/>
        </w:rPr>
        <w:t>Sistema de Acceso, Rectificación, Cancelación y Oposición de Datos Personales del Estado de México (</w:t>
      </w:r>
      <w:r>
        <w:rPr>
          <w:rFonts w:ascii="Palatino Linotype" w:hAnsi="Palatino Linotype" w:cs="Arial"/>
          <w:b/>
          <w:sz w:val="24"/>
        </w:rPr>
        <w:t>SARCOEM)</w:t>
      </w:r>
      <w:r w:rsidRPr="00E63047">
        <w:rPr>
          <w:rFonts w:ascii="Palatino Linotype" w:hAnsi="Palatino Linotype"/>
          <w:b/>
          <w:sz w:val="24"/>
        </w:rPr>
        <w:t xml:space="preserve"> </w:t>
      </w:r>
      <w:r w:rsidRPr="00E63047">
        <w:rPr>
          <w:rFonts w:ascii="Palatino Linotype" w:hAnsi="Palatino Linotype" w:cs="Arial"/>
          <w:sz w:val="24"/>
        </w:rPr>
        <w:t>la presente resolución al</w:t>
      </w:r>
      <w:r w:rsidRPr="00E63047">
        <w:rPr>
          <w:rFonts w:ascii="Palatino Linotype" w:hAnsi="Palatino Linotype"/>
          <w:sz w:val="24"/>
        </w:rPr>
        <w:t xml:space="preserve"> </w:t>
      </w:r>
      <w:r w:rsidRPr="00E63047">
        <w:rPr>
          <w:rFonts w:ascii="Palatino Linotype" w:hAnsi="Palatino Linotype" w:cs="Arial"/>
          <w:sz w:val="24"/>
        </w:rPr>
        <w:t>Titular</w:t>
      </w:r>
      <w:r w:rsidRPr="00E63047">
        <w:rPr>
          <w:rFonts w:ascii="Palatino Linotype" w:hAnsi="Palatino Linotype"/>
          <w:sz w:val="24"/>
        </w:rPr>
        <w:t xml:space="preserve"> </w:t>
      </w:r>
      <w:r w:rsidRPr="00E63047">
        <w:rPr>
          <w:rFonts w:ascii="Palatino Linotype" w:hAnsi="Palatino Linotype" w:cs="Arial"/>
          <w:sz w:val="24"/>
        </w:rPr>
        <w:t xml:space="preserve">de la Unidad de Transparencia del </w:t>
      </w:r>
      <w:r w:rsidRPr="00E63047">
        <w:rPr>
          <w:rFonts w:ascii="Palatino Linotype" w:hAnsi="Palatino Linotype" w:cs="Arial"/>
          <w:b/>
          <w:sz w:val="24"/>
        </w:rPr>
        <w:t>Sujeto Obligado</w:t>
      </w:r>
      <w:r w:rsidRPr="00E63047">
        <w:rPr>
          <w:rFonts w:ascii="Palatino Linotype" w:hAnsi="Palatino Linotype" w:cs="Arial"/>
          <w:sz w:val="24"/>
        </w:rPr>
        <w:t>.</w:t>
      </w:r>
    </w:p>
    <w:p w14:paraId="02134AC4" w14:textId="77777777" w:rsidR="000A61D2" w:rsidRPr="00E63047" w:rsidRDefault="000A61D2" w:rsidP="000A61D2">
      <w:pPr>
        <w:spacing w:after="0" w:line="360" w:lineRule="auto"/>
        <w:ind w:right="51"/>
        <w:jc w:val="both"/>
        <w:rPr>
          <w:rFonts w:ascii="Palatino Linotype" w:hAnsi="Palatino Linotype" w:cs="Arial"/>
          <w:b/>
          <w:sz w:val="28"/>
        </w:rPr>
      </w:pPr>
    </w:p>
    <w:p w14:paraId="4ACBC275" w14:textId="2613BF50" w:rsidR="00015DAF" w:rsidRPr="00F86CA4" w:rsidRDefault="00015DAF" w:rsidP="00015DAF">
      <w:pPr>
        <w:autoSpaceDE w:val="0"/>
        <w:autoSpaceDN w:val="0"/>
        <w:adjustRightInd w:val="0"/>
        <w:spacing w:line="360" w:lineRule="auto"/>
        <w:ind w:right="49"/>
        <w:jc w:val="both"/>
        <w:rPr>
          <w:rFonts w:ascii="Palatino Linotype" w:eastAsia="Times New Roman" w:hAnsi="Palatino Linotype" w:cs="Arial"/>
          <w:sz w:val="24"/>
          <w:szCs w:val="24"/>
        </w:rPr>
      </w:pPr>
      <w:r>
        <w:rPr>
          <w:rFonts w:ascii="Palatino Linotype" w:eastAsia="Times New Roman" w:hAnsi="Palatino Linotype" w:cs="Arial"/>
          <w:b/>
          <w:sz w:val="24"/>
          <w:szCs w:val="24"/>
        </w:rPr>
        <w:t>TERCERO</w:t>
      </w:r>
      <w:r w:rsidRPr="00F86CA4">
        <w:rPr>
          <w:rFonts w:ascii="Palatino Linotype" w:eastAsia="Times New Roman" w:hAnsi="Palatino Linotype" w:cs="Arial"/>
          <w:b/>
          <w:sz w:val="24"/>
          <w:szCs w:val="24"/>
        </w:rPr>
        <w:t xml:space="preserve">. </w:t>
      </w:r>
      <w:r w:rsidRPr="00F86CA4">
        <w:rPr>
          <w:rFonts w:ascii="Palatino Linotype" w:eastAsia="Times New Roman" w:hAnsi="Palatino Linotype" w:cs="Arial"/>
          <w:sz w:val="24"/>
          <w:szCs w:val="24"/>
        </w:rPr>
        <w:t xml:space="preserve">Notifíquese la presente resolución a </w:t>
      </w:r>
      <w:r w:rsidRPr="00F86CA4">
        <w:rPr>
          <w:rFonts w:ascii="Palatino Linotype" w:eastAsia="Times New Roman" w:hAnsi="Palatino Linotype" w:cs="Arial"/>
          <w:b/>
          <w:sz w:val="24"/>
          <w:szCs w:val="24"/>
        </w:rPr>
        <w:t>LA RECURRENTE</w:t>
      </w:r>
      <w:r w:rsidRPr="00F86CA4">
        <w:rPr>
          <w:rFonts w:ascii="Palatino Linotype" w:eastAsia="Times New Roman" w:hAnsi="Palatino Linotype" w:cs="Arial"/>
          <w:sz w:val="24"/>
          <w:szCs w:val="24"/>
        </w:rPr>
        <w:t xml:space="preserve"> </w:t>
      </w:r>
      <w:r w:rsidRPr="00F86CA4">
        <w:rPr>
          <w:rFonts w:ascii="Palatino Linotype" w:hAnsi="Palatino Linotype" w:cs="Arial"/>
          <w:sz w:val="24"/>
          <w:szCs w:val="24"/>
        </w:rPr>
        <w:t>vía Sistema de Acceso, Rectificación, Cancelación y Oposición de Datos P</w:t>
      </w:r>
      <w:r w:rsidR="00712CC0">
        <w:rPr>
          <w:rFonts w:ascii="Palatino Linotype" w:hAnsi="Palatino Linotype" w:cs="Arial"/>
          <w:sz w:val="24"/>
          <w:szCs w:val="24"/>
        </w:rPr>
        <w:t>ersonales del Estado de México (</w:t>
      </w:r>
      <w:r w:rsidR="00712CC0">
        <w:rPr>
          <w:rFonts w:ascii="Palatino Linotype" w:hAnsi="Palatino Linotype" w:cs="Arial"/>
          <w:b/>
          <w:sz w:val="24"/>
          <w:szCs w:val="24"/>
        </w:rPr>
        <w:t>SARCOEM)</w:t>
      </w:r>
      <w:r w:rsidRPr="00F86CA4">
        <w:rPr>
          <w:rFonts w:ascii="Palatino Linotype" w:hAnsi="Palatino Linotype" w:cs="Arial"/>
          <w:b/>
          <w:sz w:val="24"/>
          <w:szCs w:val="24"/>
        </w:rPr>
        <w:t xml:space="preserve">, </w:t>
      </w:r>
      <w:r w:rsidRPr="00F86CA4">
        <w:rPr>
          <w:rFonts w:ascii="Palatino Linotype" w:eastAsia="Times New Roman" w:hAnsi="Palatino Linotype" w:cs="Arial"/>
          <w:sz w:val="24"/>
          <w:szCs w:val="24"/>
        </w:rPr>
        <w:t xml:space="preserve">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 </w:t>
      </w:r>
    </w:p>
    <w:p w14:paraId="1B8F1F00" w14:textId="77777777" w:rsidR="000A61D2" w:rsidRDefault="000A61D2" w:rsidP="000A61D2">
      <w:pPr>
        <w:spacing w:after="0" w:line="360" w:lineRule="auto"/>
        <w:ind w:right="51"/>
        <w:jc w:val="both"/>
        <w:rPr>
          <w:rFonts w:ascii="Palatino Linotype" w:hAnsi="Palatino Linotype" w:cs="Arial"/>
          <w:sz w:val="24"/>
          <w:szCs w:val="24"/>
        </w:rPr>
      </w:pPr>
    </w:p>
    <w:p w14:paraId="156E060C" w14:textId="370DCD39" w:rsidR="00015DAF" w:rsidRPr="00015DAF" w:rsidRDefault="00015DAF" w:rsidP="00015DAF">
      <w:pPr>
        <w:pStyle w:val="Prrafodelista"/>
        <w:autoSpaceDE w:val="0"/>
        <w:autoSpaceDN w:val="0"/>
        <w:adjustRightInd w:val="0"/>
        <w:spacing w:before="240" w:after="160" w:line="360" w:lineRule="auto"/>
        <w:ind w:left="0"/>
        <w:jc w:val="both"/>
        <w:rPr>
          <w:rFonts w:ascii="Palatino Linotype" w:hAnsi="Palatino Linotype"/>
          <w:bCs/>
        </w:rPr>
      </w:pPr>
      <w:r w:rsidRPr="00015DAF">
        <w:rPr>
          <w:rFonts w:ascii="Palatino Linotype" w:hAnsi="Palatino Linotype" w:cs="Arial"/>
        </w:rPr>
        <w:lastRenderedPageBreak/>
        <w:t>ASÍ LO ACORDÓ, POR UNANIMIDAD DE VOTOS, EL PLENO DEL</w:t>
      </w:r>
      <w:r w:rsidRPr="00015DAF">
        <w:rPr>
          <w:rFonts w:ascii="Palatino Linotype" w:eastAsia="Arial Unicode MS" w:hAnsi="Palatino Linotype" w:cs="Arial"/>
        </w:rPr>
        <w:t xml:space="preserve"> INSTITUTO DE TRANSPARENCIA, ACCESO A LA INFORMACIÓN PÚBLICA Y PROTECCIÓN DE DATOS PERSONALES DEL ESTADO DE MÉXICO Y MUNICIPIOS</w:t>
      </w:r>
      <w:r w:rsidRPr="00015DAF">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OCTAVA SESIÓN ORDINARIA CELEBRADA EL VEINTISIETE DE OCTUBRE DE DOS MIL VEINTIUNO, ANTE EL SECRETARIO TÉCNICO DEL PLENO, ALEXIS TAPIA RAMÍREZ. </w:t>
      </w:r>
    </w:p>
    <w:p w14:paraId="38EAB002" w14:textId="77777777" w:rsidR="00015DAF" w:rsidRDefault="00015DAF" w:rsidP="00015DA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CRR/J</w:t>
      </w:r>
      <w:r w:rsidRPr="00280B8B">
        <w:rPr>
          <w:rFonts w:ascii="Palatino Linotype" w:hAnsi="Palatino Linotype"/>
          <w:bCs/>
          <w:sz w:val="18"/>
          <w:szCs w:val="18"/>
        </w:rPr>
        <w:t>CMA</w:t>
      </w:r>
    </w:p>
    <w:p w14:paraId="61D0453D" w14:textId="36969B6B" w:rsidR="001C3A85" w:rsidRDefault="001C3A85" w:rsidP="00015DA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80768" behindDoc="0" locked="0" layoutInCell="1" allowOverlap="1" wp14:anchorId="4AD51C48" wp14:editId="0E7CFA80">
                <wp:simplePos x="0" y="0"/>
                <wp:positionH relativeFrom="column">
                  <wp:posOffset>-232410</wp:posOffset>
                </wp:positionH>
                <wp:positionV relativeFrom="paragraph">
                  <wp:posOffset>177165</wp:posOffset>
                </wp:positionV>
                <wp:extent cx="6315075" cy="381000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6315075" cy="381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EC18AF" id="Conector recto 5"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pt,13.95pt" to="478.95pt,3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" strokecolor="#5b9bd5 [3204]" strokeweight=".5pt">
                <v:stroke joinstyle="miter"/>
              </v:line>
            </w:pict>
          </mc:Fallback>
        </mc:AlternateContent>
      </w:r>
    </w:p>
    <w:p w14:paraId="0DFD31D8" w14:textId="77777777" w:rsidR="001C3A85" w:rsidRDefault="001C3A85" w:rsidP="00015DAF">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56DE889" w14:textId="77777777" w:rsidR="001C3A85" w:rsidRDefault="001C3A85" w:rsidP="00015DAF">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47EAB09" w14:textId="77777777" w:rsidR="001C3A85" w:rsidRDefault="001C3A85" w:rsidP="00015DAF">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7434E3" w14:textId="77777777" w:rsidR="001C3A85" w:rsidRDefault="001C3A85" w:rsidP="00015DAF">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71DC048" w14:textId="77777777" w:rsidR="001C3A85" w:rsidRDefault="001C3A85" w:rsidP="00015DAF">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665F80" w14:textId="77777777" w:rsidR="001C3A85" w:rsidRDefault="001C3A85" w:rsidP="00015DAF">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16A8712" w14:textId="77777777" w:rsidR="001C3A85" w:rsidRDefault="001C3A85" w:rsidP="00015DAF">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36B8067" w14:textId="77777777" w:rsidR="00015DAF" w:rsidRPr="00E63047" w:rsidRDefault="00015DAF" w:rsidP="000A61D2">
      <w:pPr>
        <w:spacing w:after="0" w:line="360" w:lineRule="auto"/>
        <w:ind w:right="51"/>
        <w:jc w:val="both"/>
        <w:rPr>
          <w:rFonts w:ascii="Palatino Linotype" w:hAnsi="Palatino Linotype" w:cs="Arial"/>
          <w:sz w:val="24"/>
          <w:szCs w:val="24"/>
        </w:rPr>
      </w:pPr>
    </w:p>
    <w:p w14:paraId="2362997E" w14:textId="77777777" w:rsidR="000A61D2" w:rsidRPr="00E63047" w:rsidRDefault="000A61D2" w:rsidP="00162C85">
      <w:pPr>
        <w:pStyle w:val="Prrafodelista"/>
        <w:autoSpaceDE w:val="0"/>
        <w:autoSpaceDN w:val="0"/>
        <w:adjustRightInd w:val="0"/>
        <w:spacing w:line="360" w:lineRule="auto"/>
        <w:ind w:left="0"/>
        <w:jc w:val="both"/>
        <w:rPr>
          <w:rFonts w:ascii="Palatino Linotype" w:hAnsi="Palatino Linotype" w:cs="Arial"/>
        </w:rPr>
      </w:pPr>
    </w:p>
    <w:p w14:paraId="6A443EFE" w14:textId="77777777" w:rsidR="00162C85" w:rsidRPr="00F3468F" w:rsidRDefault="00162C85" w:rsidP="00F3468F">
      <w:pPr>
        <w:pStyle w:val="Textoindependiente"/>
        <w:spacing w:after="0" w:line="360" w:lineRule="auto"/>
        <w:ind w:left="110" w:right="107" w:hanging="1"/>
        <w:jc w:val="both"/>
        <w:rPr>
          <w:rFonts w:ascii="Palatino Linotype" w:hAnsi="Palatino Linotype" w:cs="Arial"/>
        </w:rPr>
      </w:pPr>
    </w:p>
    <w:p w14:paraId="54062C31" w14:textId="77777777" w:rsidR="00940A6B" w:rsidRPr="00940A6B" w:rsidRDefault="00940A6B" w:rsidP="00F86CA4">
      <w:pPr>
        <w:pStyle w:val="Sinespaciado"/>
        <w:spacing w:line="360" w:lineRule="auto"/>
        <w:jc w:val="both"/>
        <w:rPr>
          <w:rFonts w:ascii="Palatino Linotype" w:hAnsi="Palatino Linotype" w:cs="Arial"/>
          <w:i/>
        </w:rPr>
      </w:pPr>
    </w:p>
    <w:sectPr w:rsidR="00940A6B" w:rsidRPr="00940A6B" w:rsidSect="00AB402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07790" w14:textId="77777777" w:rsidR="001F0025" w:rsidRDefault="001F0025" w:rsidP="006168E4">
      <w:pPr>
        <w:spacing w:after="0" w:line="240" w:lineRule="auto"/>
      </w:pPr>
      <w:r>
        <w:separator/>
      </w:r>
    </w:p>
  </w:endnote>
  <w:endnote w:type="continuationSeparator" w:id="0">
    <w:p w14:paraId="434F2BFA" w14:textId="77777777" w:rsidR="001F0025" w:rsidRDefault="001F002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0A61D2" w:rsidRPr="000B69FA" w:rsidRDefault="000A61D2"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16EB">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16EB">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0A61D2" w:rsidRPr="000B69FA" w:rsidRDefault="000A61D2"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41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4187">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79863" w14:textId="77777777" w:rsidR="001F0025" w:rsidRDefault="001F0025" w:rsidP="006168E4">
      <w:pPr>
        <w:spacing w:after="0" w:line="240" w:lineRule="auto"/>
      </w:pPr>
      <w:r>
        <w:separator/>
      </w:r>
    </w:p>
  </w:footnote>
  <w:footnote w:type="continuationSeparator" w:id="0">
    <w:p w14:paraId="41AF838F" w14:textId="77777777" w:rsidR="001F0025" w:rsidRDefault="001F0025" w:rsidP="006168E4">
      <w:pPr>
        <w:spacing w:after="0" w:line="240" w:lineRule="auto"/>
      </w:pPr>
      <w:r>
        <w:continuationSeparator/>
      </w:r>
    </w:p>
  </w:footnote>
  <w:footnote w:id="1">
    <w:p w14:paraId="746A83B2" w14:textId="77777777" w:rsidR="000A61D2" w:rsidRPr="006741D8" w:rsidRDefault="000A61D2" w:rsidP="002369B4">
      <w:pPr>
        <w:pStyle w:val="Textonotapie"/>
        <w:jc w:val="both"/>
        <w:rPr>
          <w:rFonts w:ascii="Palatino Linotype" w:hAnsi="Palatino Linotype"/>
          <w:sz w:val="16"/>
          <w:szCs w:val="16"/>
        </w:rPr>
      </w:pPr>
    </w:p>
    <w:p w14:paraId="354B413F" w14:textId="77777777" w:rsidR="000A61D2" w:rsidRPr="006741D8" w:rsidRDefault="000A61D2" w:rsidP="002369B4">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0A61D2" w:rsidRDefault="000A61D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A61D2" w14:paraId="1B55C452" w14:textId="77777777" w:rsidTr="00AB402D">
      <w:trPr>
        <w:trHeight w:val="227"/>
      </w:trPr>
      <w:tc>
        <w:tcPr>
          <w:tcW w:w="5529" w:type="dxa"/>
          <w:hideMark/>
        </w:tcPr>
        <w:p w14:paraId="7D61692F" w14:textId="77777777" w:rsidR="000A61D2" w:rsidRDefault="000A61D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DED538B" w:rsidR="000A61D2" w:rsidRPr="00B4142F" w:rsidRDefault="000A61D2"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04440/INFOEM/AD/RR/2021</w:t>
          </w:r>
        </w:p>
      </w:tc>
    </w:tr>
    <w:tr w:rsidR="000A61D2" w14:paraId="54A9600B" w14:textId="77777777" w:rsidTr="00AB402D">
      <w:trPr>
        <w:trHeight w:val="242"/>
      </w:trPr>
      <w:tc>
        <w:tcPr>
          <w:tcW w:w="5529" w:type="dxa"/>
          <w:hideMark/>
        </w:tcPr>
        <w:p w14:paraId="44594D83" w14:textId="77777777" w:rsidR="000A61D2" w:rsidRDefault="000A61D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1673014" w:rsidR="000A61D2" w:rsidRPr="00F06FED" w:rsidRDefault="000A61D2"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0A61D2" w14:paraId="02ED08B1" w14:textId="77777777" w:rsidTr="00AB402D">
      <w:trPr>
        <w:trHeight w:val="342"/>
      </w:trPr>
      <w:tc>
        <w:tcPr>
          <w:tcW w:w="5529" w:type="dxa"/>
          <w:hideMark/>
        </w:tcPr>
        <w:p w14:paraId="00D66E60" w14:textId="23D932D6" w:rsidR="000A61D2" w:rsidRDefault="000A61D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46FEF9A7" w:rsidR="000A61D2" w:rsidRDefault="000A61D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0A61D2" w:rsidRDefault="000A61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A61D2" w14:paraId="333E5951" w14:textId="77777777" w:rsidTr="00AB402D">
      <w:trPr>
        <w:trHeight w:val="227"/>
      </w:trPr>
      <w:tc>
        <w:tcPr>
          <w:tcW w:w="5529" w:type="dxa"/>
          <w:hideMark/>
        </w:tcPr>
        <w:p w14:paraId="5A8BD2EE" w14:textId="489D495A" w:rsidR="000A61D2" w:rsidRDefault="000A61D2"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147041B9" w:rsidR="000A61D2" w:rsidRPr="00B4142F" w:rsidRDefault="000A61D2"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04440/INFOEM/AD/RR/2021 </w:t>
          </w:r>
        </w:p>
      </w:tc>
    </w:tr>
    <w:tr w:rsidR="000A61D2" w14:paraId="6C6CCDEF" w14:textId="77777777" w:rsidTr="00AB402D">
      <w:trPr>
        <w:trHeight w:val="196"/>
      </w:trPr>
      <w:tc>
        <w:tcPr>
          <w:tcW w:w="5529" w:type="dxa"/>
          <w:hideMark/>
        </w:tcPr>
        <w:p w14:paraId="79F53C9B" w14:textId="77777777" w:rsidR="000A61D2" w:rsidRDefault="000A61D2"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28C6A79" w:rsidR="000A61D2" w:rsidRPr="00F06FED" w:rsidRDefault="00014187"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xxxxxxxxxxxxxxxxxxxxxxxxx</w:t>
          </w:r>
          <w:r w:rsidR="000A61D2">
            <w:rPr>
              <w:rFonts w:ascii="Palatino Linotype" w:hAnsi="Palatino Linotype" w:cs="Arial"/>
            </w:rPr>
            <w:t xml:space="preserve"> </w:t>
          </w:r>
        </w:p>
      </w:tc>
    </w:tr>
    <w:tr w:rsidR="000A61D2" w14:paraId="63F5D633" w14:textId="77777777" w:rsidTr="00AB402D">
      <w:trPr>
        <w:trHeight w:val="242"/>
      </w:trPr>
      <w:tc>
        <w:tcPr>
          <w:tcW w:w="5529" w:type="dxa"/>
          <w:hideMark/>
        </w:tcPr>
        <w:p w14:paraId="25254C34" w14:textId="77777777" w:rsidR="000A61D2" w:rsidRDefault="000A61D2"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2F25423" w:rsidR="000A61D2" w:rsidRDefault="000A61D2"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0A61D2" w14:paraId="6E9635C5" w14:textId="77777777" w:rsidTr="00AB402D">
      <w:trPr>
        <w:trHeight w:val="342"/>
      </w:trPr>
      <w:tc>
        <w:tcPr>
          <w:tcW w:w="5529" w:type="dxa"/>
          <w:hideMark/>
        </w:tcPr>
        <w:p w14:paraId="69273B9D" w14:textId="3128AC51" w:rsidR="000A61D2" w:rsidRDefault="000A61D2"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2E478315" w:rsidR="000A61D2" w:rsidRDefault="000A61D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0A61D2" w:rsidRDefault="000A61D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2453A1"/>
    <w:multiLevelType w:val="hybridMultilevel"/>
    <w:tmpl w:val="3EC6A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EF68C8"/>
    <w:multiLevelType w:val="hybridMultilevel"/>
    <w:tmpl w:val="8F4A777C"/>
    <w:lvl w:ilvl="0" w:tplc="5A8C2130">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970ACA"/>
    <w:multiLevelType w:val="hybridMultilevel"/>
    <w:tmpl w:val="15FE2952"/>
    <w:lvl w:ilvl="0" w:tplc="A4FA764C">
      <w:numFmt w:val="bullet"/>
      <w:lvlText w:val="-"/>
      <w:lvlJc w:val="left"/>
      <w:pPr>
        <w:ind w:left="720" w:hanging="360"/>
      </w:pPr>
      <w:rPr>
        <w:rFonts w:ascii="Palatino Linotype" w:eastAsiaTheme="minorHAnsi" w:hAnsi="Palatino Linotype" w:cs="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BB218E"/>
    <w:multiLevelType w:val="hybridMultilevel"/>
    <w:tmpl w:val="C8E453F6"/>
    <w:lvl w:ilvl="0" w:tplc="5590E32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2A77585B"/>
    <w:multiLevelType w:val="hybridMultilevel"/>
    <w:tmpl w:val="401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7363E2"/>
    <w:multiLevelType w:val="hybridMultilevel"/>
    <w:tmpl w:val="66F8A2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0A0F8B"/>
    <w:multiLevelType w:val="hybridMultilevel"/>
    <w:tmpl w:val="5FB074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nsid w:val="4D76628D"/>
    <w:multiLevelType w:val="hybridMultilevel"/>
    <w:tmpl w:val="5FCA2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AC4F24"/>
    <w:multiLevelType w:val="hybridMultilevel"/>
    <w:tmpl w:val="60CE1F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940EF3"/>
    <w:multiLevelType w:val="hybridMultilevel"/>
    <w:tmpl w:val="FC3AF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nsid w:val="718D111E"/>
    <w:multiLevelType w:val="hybridMultilevel"/>
    <w:tmpl w:val="05A03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3">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4">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B20D17"/>
    <w:multiLevelType w:val="hybridMultilevel"/>
    <w:tmpl w:val="97F05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2"/>
  </w:num>
  <w:num w:numId="3">
    <w:abstractNumId w:val="3"/>
  </w:num>
  <w:num w:numId="4">
    <w:abstractNumId w:val="20"/>
  </w:num>
  <w:num w:numId="5">
    <w:abstractNumId w:val="5"/>
  </w:num>
  <w:num w:numId="6">
    <w:abstractNumId w:val="36"/>
  </w:num>
  <w:num w:numId="7">
    <w:abstractNumId w:val="25"/>
  </w:num>
  <w:num w:numId="8">
    <w:abstractNumId w:val="29"/>
  </w:num>
  <w:num w:numId="9">
    <w:abstractNumId w:val="30"/>
  </w:num>
  <w:num w:numId="10">
    <w:abstractNumId w:val="23"/>
  </w:num>
  <w:num w:numId="11">
    <w:abstractNumId w:val="11"/>
  </w:num>
  <w:num w:numId="12">
    <w:abstractNumId w:val="27"/>
  </w:num>
  <w:num w:numId="13">
    <w:abstractNumId w:val="19"/>
  </w:num>
  <w:num w:numId="14">
    <w:abstractNumId w:val="0"/>
  </w:num>
  <w:num w:numId="15">
    <w:abstractNumId w:val="39"/>
  </w:num>
  <w:num w:numId="16">
    <w:abstractNumId w:val="40"/>
  </w:num>
  <w:num w:numId="17">
    <w:abstractNumId w:val="28"/>
  </w:num>
  <w:num w:numId="18">
    <w:abstractNumId w:val="6"/>
  </w:num>
  <w:num w:numId="19">
    <w:abstractNumId w:val="18"/>
  </w:num>
  <w:num w:numId="20">
    <w:abstractNumId w:val="34"/>
  </w:num>
  <w:num w:numId="21">
    <w:abstractNumId w:val="45"/>
  </w:num>
  <w:num w:numId="22">
    <w:abstractNumId w:val="24"/>
  </w:num>
  <w:num w:numId="23">
    <w:abstractNumId w:val="38"/>
  </w:num>
  <w:num w:numId="24">
    <w:abstractNumId w:val="47"/>
  </w:num>
  <w:num w:numId="25">
    <w:abstractNumId w:val="9"/>
  </w:num>
  <w:num w:numId="26">
    <w:abstractNumId w:val="1"/>
  </w:num>
  <w:num w:numId="27">
    <w:abstractNumId w:val="4"/>
  </w:num>
  <w:num w:numId="28">
    <w:abstractNumId w:val="44"/>
  </w:num>
  <w:num w:numId="29">
    <w:abstractNumId w:val="21"/>
  </w:num>
  <w:num w:numId="30">
    <w:abstractNumId w:val="37"/>
  </w:num>
  <w:num w:numId="31">
    <w:abstractNumId w:val="8"/>
  </w:num>
  <w:num w:numId="32">
    <w:abstractNumId w:val="22"/>
  </w:num>
  <w:num w:numId="33">
    <w:abstractNumId w:val="15"/>
  </w:num>
  <w:num w:numId="34">
    <w:abstractNumId w:val="35"/>
  </w:num>
  <w:num w:numId="35">
    <w:abstractNumId w:val="17"/>
  </w:num>
  <w:num w:numId="36">
    <w:abstractNumId w:val="10"/>
  </w:num>
  <w:num w:numId="37">
    <w:abstractNumId w:val="43"/>
  </w:num>
  <w:num w:numId="38">
    <w:abstractNumId w:val="14"/>
  </w:num>
  <w:num w:numId="39">
    <w:abstractNumId w:val="13"/>
  </w:num>
  <w:num w:numId="40">
    <w:abstractNumId w:val="33"/>
  </w:num>
  <w:num w:numId="41">
    <w:abstractNumId w:val="16"/>
  </w:num>
  <w:num w:numId="42">
    <w:abstractNumId w:val="41"/>
  </w:num>
  <w:num w:numId="43">
    <w:abstractNumId w:val="26"/>
  </w:num>
  <w:num w:numId="44">
    <w:abstractNumId w:val="2"/>
  </w:num>
  <w:num w:numId="45">
    <w:abstractNumId w:val="12"/>
  </w:num>
  <w:num w:numId="46">
    <w:abstractNumId w:val="46"/>
  </w:num>
  <w:num w:numId="47">
    <w:abstractNumId w:val="3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6D6"/>
    <w:rsid w:val="00006ECC"/>
    <w:rsid w:val="00006EF3"/>
    <w:rsid w:val="0000791F"/>
    <w:rsid w:val="00007FCD"/>
    <w:rsid w:val="00014187"/>
    <w:rsid w:val="00015DAF"/>
    <w:rsid w:val="00026263"/>
    <w:rsid w:val="00040869"/>
    <w:rsid w:val="000414F1"/>
    <w:rsid w:val="0004467E"/>
    <w:rsid w:val="00045B26"/>
    <w:rsid w:val="00047CEC"/>
    <w:rsid w:val="0005446E"/>
    <w:rsid w:val="00055224"/>
    <w:rsid w:val="0005717C"/>
    <w:rsid w:val="0005728E"/>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AF2"/>
    <w:rsid w:val="00097C3E"/>
    <w:rsid w:val="000A2CB6"/>
    <w:rsid w:val="000A337E"/>
    <w:rsid w:val="000A4A07"/>
    <w:rsid w:val="000A61D2"/>
    <w:rsid w:val="000B0670"/>
    <w:rsid w:val="000B2D41"/>
    <w:rsid w:val="000B62E8"/>
    <w:rsid w:val="000C4FA5"/>
    <w:rsid w:val="000C5BDA"/>
    <w:rsid w:val="000C6188"/>
    <w:rsid w:val="000D00AC"/>
    <w:rsid w:val="000D03C6"/>
    <w:rsid w:val="000D214C"/>
    <w:rsid w:val="000D2676"/>
    <w:rsid w:val="000E27CB"/>
    <w:rsid w:val="000E4742"/>
    <w:rsid w:val="000F2747"/>
    <w:rsid w:val="0010213B"/>
    <w:rsid w:val="001107EF"/>
    <w:rsid w:val="001132C3"/>
    <w:rsid w:val="0011559B"/>
    <w:rsid w:val="001158FD"/>
    <w:rsid w:val="00117DA2"/>
    <w:rsid w:val="00121ABD"/>
    <w:rsid w:val="00124855"/>
    <w:rsid w:val="001260E7"/>
    <w:rsid w:val="001278C1"/>
    <w:rsid w:val="00130240"/>
    <w:rsid w:val="0014223D"/>
    <w:rsid w:val="001471C9"/>
    <w:rsid w:val="001571AC"/>
    <w:rsid w:val="00157906"/>
    <w:rsid w:val="00162C85"/>
    <w:rsid w:val="00163E5A"/>
    <w:rsid w:val="00172CD6"/>
    <w:rsid w:val="00174A84"/>
    <w:rsid w:val="0017533E"/>
    <w:rsid w:val="00175588"/>
    <w:rsid w:val="00175897"/>
    <w:rsid w:val="00177571"/>
    <w:rsid w:val="00177A1B"/>
    <w:rsid w:val="00181FF9"/>
    <w:rsid w:val="001A02EC"/>
    <w:rsid w:val="001A23C5"/>
    <w:rsid w:val="001A5182"/>
    <w:rsid w:val="001A7838"/>
    <w:rsid w:val="001B28A5"/>
    <w:rsid w:val="001B31FB"/>
    <w:rsid w:val="001B3F18"/>
    <w:rsid w:val="001B4A39"/>
    <w:rsid w:val="001B6B90"/>
    <w:rsid w:val="001B7707"/>
    <w:rsid w:val="001B7B88"/>
    <w:rsid w:val="001B7C27"/>
    <w:rsid w:val="001C1C41"/>
    <w:rsid w:val="001C3A85"/>
    <w:rsid w:val="001C60E9"/>
    <w:rsid w:val="001C66B9"/>
    <w:rsid w:val="001D0472"/>
    <w:rsid w:val="001D12B5"/>
    <w:rsid w:val="001D28C3"/>
    <w:rsid w:val="001E1B38"/>
    <w:rsid w:val="001E52AE"/>
    <w:rsid w:val="001E54B0"/>
    <w:rsid w:val="001E7015"/>
    <w:rsid w:val="001E77B8"/>
    <w:rsid w:val="001F0025"/>
    <w:rsid w:val="001F03EF"/>
    <w:rsid w:val="00200225"/>
    <w:rsid w:val="00202A10"/>
    <w:rsid w:val="00211957"/>
    <w:rsid w:val="00213DA4"/>
    <w:rsid w:val="00217520"/>
    <w:rsid w:val="002205C0"/>
    <w:rsid w:val="00224535"/>
    <w:rsid w:val="002246BE"/>
    <w:rsid w:val="0023032F"/>
    <w:rsid w:val="00232D81"/>
    <w:rsid w:val="00233D67"/>
    <w:rsid w:val="002363B0"/>
    <w:rsid w:val="002369B4"/>
    <w:rsid w:val="002369B7"/>
    <w:rsid w:val="00237601"/>
    <w:rsid w:val="00251358"/>
    <w:rsid w:val="002547B6"/>
    <w:rsid w:val="00264EF7"/>
    <w:rsid w:val="00266933"/>
    <w:rsid w:val="00267044"/>
    <w:rsid w:val="0026799B"/>
    <w:rsid w:val="00276A41"/>
    <w:rsid w:val="00276ACC"/>
    <w:rsid w:val="00277182"/>
    <w:rsid w:val="00280DA7"/>
    <w:rsid w:val="00281FC5"/>
    <w:rsid w:val="00282948"/>
    <w:rsid w:val="00291F64"/>
    <w:rsid w:val="002A2034"/>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13C8"/>
    <w:rsid w:val="002E2D5A"/>
    <w:rsid w:val="002E6A03"/>
    <w:rsid w:val="002F37BE"/>
    <w:rsid w:val="002F7E70"/>
    <w:rsid w:val="00300B2B"/>
    <w:rsid w:val="00300D0B"/>
    <w:rsid w:val="003034DC"/>
    <w:rsid w:val="00306096"/>
    <w:rsid w:val="00313850"/>
    <w:rsid w:val="00313991"/>
    <w:rsid w:val="00317FD2"/>
    <w:rsid w:val="00340234"/>
    <w:rsid w:val="003431AE"/>
    <w:rsid w:val="003442FC"/>
    <w:rsid w:val="0034595E"/>
    <w:rsid w:val="003508B1"/>
    <w:rsid w:val="003511AD"/>
    <w:rsid w:val="00351412"/>
    <w:rsid w:val="00352FBE"/>
    <w:rsid w:val="0036024B"/>
    <w:rsid w:val="00361B9C"/>
    <w:rsid w:val="003625BE"/>
    <w:rsid w:val="0036460D"/>
    <w:rsid w:val="0036596F"/>
    <w:rsid w:val="00370933"/>
    <w:rsid w:val="0037721A"/>
    <w:rsid w:val="00377C4A"/>
    <w:rsid w:val="003802A1"/>
    <w:rsid w:val="00380EFC"/>
    <w:rsid w:val="0038288C"/>
    <w:rsid w:val="00391F51"/>
    <w:rsid w:val="00397454"/>
    <w:rsid w:val="00397B57"/>
    <w:rsid w:val="003A61F9"/>
    <w:rsid w:val="003B2AC4"/>
    <w:rsid w:val="003B3918"/>
    <w:rsid w:val="003B3ADF"/>
    <w:rsid w:val="003B45B5"/>
    <w:rsid w:val="003B7B17"/>
    <w:rsid w:val="003C7ACD"/>
    <w:rsid w:val="003D7780"/>
    <w:rsid w:val="003E4407"/>
    <w:rsid w:val="003E4B02"/>
    <w:rsid w:val="003E6A3C"/>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5AAA"/>
    <w:rsid w:val="004B5DE3"/>
    <w:rsid w:val="004B6590"/>
    <w:rsid w:val="004C7621"/>
    <w:rsid w:val="004D15C2"/>
    <w:rsid w:val="004D574A"/>
    <w:rsid w:val="004E4255"/>
    <w:rsid w:val="004E48B4"/>
    <w:rsid w:val="004E6BE9"/>
    <w:rsid w:val="004E7C39"/>
    <w:rsid w:val="00501E21"/>
    <w:rsid w:val="00503344"/>
    <w:rsid w:val="005102E0"/>
    <w:rsid w:val="005152E2"/>
    <w:rsid w:val="00515C21"/>
    <w:rsid w:val="00522352"/>
    <w:rsid w:val="00523CF0"/>
    <w:rsid w:val="00525760"/>
    <w:rsid w:val="00532794"/>
    <w:rsid w:val="005360AC"/>
    <w:rsid w:val="00541313"/>
    <w:rsid w:val="005436D7"/>
    <w:rsid w:val="005437E7"/>
    <w:rsid w:val="00552846"/>
    <w:rsid w:val="00557B14"/>
    <w:rsid w:val="0056059D"/>
    <w:rsid w:val="00562653"/>
    <w:rsid w:val="005645BE"/>
    <w:rsid w:val="0056513A"/>
    <w:rsid w:val="00567D72"/>
    <w:rsid w:val="00570592"/>
    <w:rsid w:val="005733EB"/>
    <w:rsid w:val="00582600"/>
    <w:rsid w:val="005A08C7"/>
    <w:rsid w:val="005A11CB"/>
    <w:rsid w:val="005B2841"/>
    <w:rsid w:val="005B6443"/>
    <w:rsid w:val="005D2B59"/>
    <w:rsid w:val="005D2D4E"/>
    <w:rsid w:val="005D303B"/>
    <w:rsid w:val="005D370F"/>
    <w:rsid w:val="005D6EF7"/>
    <w:rsid w:val="005E3BC0"/>
    <w:rsid w:val="005E6C3F"/>
    <w:rsid w:val="005F18B8"/>
    <w:rsid w:val="005F218A"/>
    <w:rsid w:val="005F57F0"/>
    <w:rsid w:val="005F6CA8"/>
    <w:rsid w:val="006006AB"/>
    <w:rsid w:val="00601ABC"/>
    <w:rsid w:val="006069DC"/>
    <w:rsid w:val="006113E2"/>
    <w:rsid w:val="00611928"/>
    <w:rsid w:val="00613AD7"/>
    <w:rsid w:val="006168E4"/>
    <w:rsid w:val="00616A3A"/>
    <w:rsid w:val="0062208A"/>
    <w:rsid w:val="00624567"/>
    <w:rsid w:val="00625D0D"/>
    <w:rsid w:val="006314A7"/>
    <w:rsid w:val="00637E4B"/>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C0604"/>
    <w:rsid w:val="006D0B60"/>
    <w:rsid w:val="006D5B07"/>
    <w:rsid w:val="006D6365"/>
    <w:rsid w:val="006D73E1"/>
    <w:rsid w:val="006F55F2"/>
    <w:rsid w:val="006F7AEB"/>
    <w:rsid w:val="007017AF"/>
    <w:rsid w:val="007051B0"/>
    <w:rsid w:val="0070767C"/>
    <w:rsid w:val="007108A8"/>
    <w:rsid w:val="00712CC0"/>
    <w:rsid w:val="00714CA6"/>
    <w:rsid w:val="00715527"/>
    <w:rsid w:val="00717B2B"/>
    <w:rsid w:val="0072080A"/>
    <w:rsid w:val="0072333B"/>
    <w:rsid w:val="00731DC5"/>
    <w:rsid w:val="00732DD5"/>
    <w:rsid w:val="00741033"/>
    <w:rsid w:val="007433D8"/>
    <w:rsid w:val="00744EEF"/>
    <w:rsid w:val="00750A92"/>
    <w:rsid w:val="00751F1B"/>
    <w:rsid w:val="00754496"/>
    <w:rsid w:val="00754CAE"/>
    <w:rsid w:val="0076176B"/>
    <w:rsid w:val="00766B1F"/>
    <w:rsid w:val="00766B69"/>
    <w:rsid w:val="00774536"/>
    <w:rsid w:val="00775BF4"/>
    <w:rsid w:val="007813C4"/>
    <w:rsid w:val="0078285F"/>
    <w:rsid w:val="0078573D"/>
    <w:rsid w:val="0079244F"/>
    <w:rsid w:val="00794F80"/>
    <w:rsid w:val="007A2D41"/>
    <w:rsid w:val="007A36EE"/>
    <w:rsid w:val="007A5EAA"/>
    <w:rsid w:val="007A681B"/>
    <w:rsid w:val="007B2C77"/>
    <w:rsid w:val="007B3C72"/>
    <w:rsid w:val="007B3CD0"/>
    <w:rsid w:val="007B4114"/>
    <w:rsid w:val="007C02B3"/>
    <w:rsid w:val="007C3098"/>
    <w:rsid w:val="007C6A59"/>
    <w:rsid w:val="007D1A27"/>
    <w:rsid w:val="007D1F15"/>
    <w:rsid w:val="007D25B1"/>
    <w:rsid w:val="007D2878"/>
    <w:rsid w:val="007D56C3"/>
    <w:rsid w:val="007D7A2A"/>
    <w:rsid w:val="007E0B93"/>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7D2"/>
    <w:rsid w:val="00827D50"/>
    <w:rsid w:val="00834D80"/>
    <w:rsid w:val="00836437"/>
    <w:rsid w:val="00842EB2"/>
    <w:rsid w:val="00847D23"/>
    <w:rsid w:val="00850F73"/>
    <w:rsid w:val="00851144"/>
    <w:rsid w:val="00851762"/>
    <w:rsid w:val="00852E71"/>
    <w:rsid w:val="00854B28"/>
    <w:rsid w:val="00862368"/>
    <w:rsid w:val="00862416"/>
    <w:rsid w:val="00863619"/>
    <w:rsid w:val="008675B8"/>
    <w:rsid w:val="0087182F"/>
    <w:rsid w:val="008822BE"/>
    <w:rsid w:val="00884054"/>
    <w:rsid w:val="00884901"/>
    <w:rsid w:val="00884FC4"/>
    <w:rsid w:val="00887CAA"/>
    <w:rsid w:val="0089172F"/>
    <w:rsid w:val="00892D37"/>
    <w:rsid w:val="008A08A8"/>
    <w:rsid w:val="008A6B62"/>
    <w:rsid w:val="008B16BB"/>
    <w:rsid w:val="008B66F0"/>
    <w:rsid w:val="008B678F"/>
    <w:rsid w:val="008B7703"/>
    <w:rsid w:val="008C00FA"/>
    <w:rsid w:val="008C1A65"/>
    <w:rsid w:val="008C55A3"/>
    <w:rsid w:val="008D0165"/>
    <w:rsid w:val="008D5FD2"/>
    <w:rsid w:val="008E4C73"/>
    <w:rsid w:val="008E5A5E"/>
    <w:rsid w:val="008E629B"/>
    <w:rsid w:val="008E6375"/>
    <w:rsid w:val="008E7C6B"/>
    <w:rsid w:val="008F1464"/>
    <w:rsid w:val="008F14F9"/>
    <w:rsid w:val="008F1604"/>
    <w:rsid w:val="008F2BA6"/>
    <w:rsid w:val="008F733C"/>
    <w:rsid w:val="008F76BD"/>
    <w:rsid w:val="00900828"/>
    <w:rsid w:val="00903BC1"/>
    <w:rsid w:val="00905AFA"/>
    <w:rsid w:val="00911AD7"/>
    <w:rsid w:val="0091251B"/>
    <w:rsid w:val="00913196"/>
    <w:rsid w:val="009153CD"/>
    <w:rsid w:val="00920964"/>
    <w:rsid w:val="00924F63"/>
    <w:rsid w:val="00930FBA"/>
    <w:rsid w:val="00932918"/>
    <w:rsid w:val="009366E4"/>
    <w:rsid w:val="00940A6B"/>
    <w:rsid w:val="00941D7F"/>
    <w:rsid w:val="00942A79"/>
    <w:rsid w:val="00942DCF"/>
    <w:rsid w:val="00944468"/>
    <w:rsid w:val="00944DC9"/>
    <w:rsid w:val="009455E7"/>
    <w:rsid w:val="009510B5"/>
    <w:rsid w:val="009520E5"/>
    <w:rsid w:val="0095267A"/>
    <w:rsid w:val="00955DA9"/>
    <w:rsid w:val="009567F2"/>
    <w:rsid w:val="00961D50"/>
    <w:rsid w:val="00962602"/>
    <w:rsid w:val="009639FB"/>
    <w:rsid w:val="00964A99"/>
    <w:rsid w:val="0096643B"/>
    <w:rsid w:val="00966C4B"/>
    <w:rsid w:val="00971264"/>
    <w:rsid w:val="009733FF"/>
    <w:rsid w:val="009738FB"/>
    <w:rsid w:val="00973AD8"/>
    <w:rsid w:val="00973E6E"/>
    <w:rsid w:val="009743C4"/>
    <w:rsid w:val="009865A9"/>
    <w:rsid w:val="00986697"/>
    <w:rsid w:val="0099331E"/>
    <w:rsid w:val="00997358"/>
    <w:rsid w:val="00997EB1"/>
    <w:rsid w:val="009A0C8A"/>
    <w:rsid w:val="009A2832"/>
    <w:rsid w:val="009A3903"/>
    <w:rsid w:val="009A53D0"/>
    <w:rsid w:val="009A686F"/>
    <w:rsid w:val="009A6A58"/>
    <w:rsid w:val="009A6A95"/>
    <w:rsid w:val="009B3487"/>
    <w:rsid w:val="009B4CE2"/>
    <w:rsid w:val="009C4B46"/>
    <w:rsid w:val="009D21B9"/>
    <w:rsid w:val="009D246B"/>
    <w:rsid w:val="009E227D"/>
    <w:rsid w:val="009E3F91"/>
    <w:rsid w:val="009E5046"/>
    <w:rsid w:val="009E7413"/>
    <w:rsid w:val="009F4F11"/>
    <w:rsid w:val="009F4F8D"/>
    <w:rsid w:val="009F6476"/>
    <w:rsid w:val="00A04A4E"/>
    <w:rsid w:val="00A063CB"/>
    <w:rsid w:val="00A077D1"/>
    <w:rsid w:val="00A112FB"/>
    <w:rsid w:val="00A116A6"/>
    <w:rsid w:val="00A14119"/>
    <w:rsid w:val="00A14A8F"/>
    <w:rsid w:val="00A17750"/>
    <w:rsid w:val="00A22240"/>
    <w:rsid w:val="00A417A1"/>
    <w:rsid w:val="00A44B75"/>
    <w:rsid w:val="00A460B5"/>
    <w:rsid w:val="00A47C12"/>
    <w:rsid w:val="00A603BA"/>
    <w:rsid w:val="00A608D7"/>
    <w:rsid w:val="00A6194C"/>
    <w:rsid w:val="00A625E2"/>
    <w:rsid w:val="00A63302"/>
    <w:rsid w:val="00A6454B"/>
    <w:rsid w:val="00A72465"/>
    <w:rsid w:val="00A76F41"/>
    <w:rsid w:val="00A80123"/>
    <w:rsid w:val="00A80C92"/>
    <w:rsid w:val="00A91FA4"/>
    <w:rsid w:val="00A93319"/>
    <w:rsid w:val="00AA352E"/>
    <w:rsid w:val="00AA5FA0"/>
    <w:rsid w:val="00AA648E"/>
    <w:rsid w:val="00AB3710"/>
    <w:rsid w:val="00AB402D"/>
    <w:rsid w:val="00AB4B0F"/>
    <w:rsid w:val="00AD012F"/>
    <w:rsid w:val="00AD6DB5"/>
    <w:rsid w:val="00AE3531"/>
    <w:rsid w:val="00AE3CCC"/>
    <w:rsid w:val="00AE4213"/>
    <w:rsid w:val="00AF19F7"/>
    <w:rsid w:val="00AF2434"/>
    <w:rsid w:val="00B002CC"/>
    <w:rsid w:val="00B02A6E"/>
    <w:rsid w:val="00B10F5B"/>
    <w:rsid w:val="00B12BDA"/>
    <w:rsid w:val="00B143FC"/>
    <w:rsid w:val="00B16EFD"/>
    <w:rsid w:val="00B20329"/>
    <w:rsid w:val="00B2394F"/>
    <w:rsid w:val="00B23959"/>
    <w:rsid w:val="00B32CD3"/>
    <w:rsid w:val="00B343E6"/>
    <w:rsid w:val="00B3672D"/>
    <w:rsid w:val="00B36C81"/>
    <w:rsid w:val="00B3772D"/>
    <w:rsid w:val="00B37C0D"/>
    <w:rsid w:val="00B4013A"/>
    <w:rsid w:val="00B4269B"/>
    <w:rsid w:val="00B42834"/>
    <w:rsid w:val="00B554F8"/>
    <w:rsid w:val="00B57749"/>
    <w:rsid w:val="00B64986"/>
    <w:rsid w:val="00B775C9"/>
    <w:rsid w:val="00B840EA"/>
    <w:rsid w:val="00B86A10"/>
    <w:rsid w:val="00B8720B"/>
    <w:rsid w:val="00BA7AD1"/>
    <w:rsid w:val="00BB243B"/>
    <w:rsid w:val="00BB4979"/>
    <w:rsid w:val="00BC0FDD"/>
    <w:rsid w:val="00BC1900"/>
    <w:rsid w:val="00BC22E0"/>
    <w:rsid w:val="00BD1278"/>
    <w:rsid w:val="00BD5A87"/>
    <w:rsid w:val="00BD5FAD"/>
    <w:rsid w:val="00BD7DE0"/>
    <w:rsid w:val="00BF0E3C"/>
    <w:rsid w:val="00BF2A2E"/>
    <w:rsid w:val="00C001F2"/>
    <w:rsid w:val="00C06C28"/>
    <w:rsid w:val="00C1572B"/>
    <w:rsid w:val="00C16E7A"/>
    <w:rsid w:val="00C2109F"/>
    <w:rsid w:val="00C2287C"/>
    <w:rsid w:val="00C32964"/>
    <w:rsid w:val="00C34ACE"/>
    <w:rsid w:val="00C34E64"/>
    <w:rsid w:val="00C40FD6"/>
    <w:rsid w:val="00C47608"/>
    <w:rsid w:val="00C50568"/>
    <w:rsid w:val="00C531DA"/>
    <w:rsid w:val="00C534F6"/>
    <w:rsid w:val="00C540CE"/>
    <w:rsid w:val="00C55013"/>
    <w:rsid w:val="00C608B5"/>
    <w:rsid w:val="00C62738"/>
    <w:rsid w:val="00C63F32"/>
    <w:rsid w:val="00C64B8E"/>
    <w:rsid w:val="00C7502E"/>
    <w:rsid w:val="00C83EE5"/>
    <w:rsid w:val="00C875A4"/>
    <w:rsid w:val="00C97356"/>
    <w:rsid w:val="00CA0732"/>
    <w:rsid w:val="00CB147C"/>
    <w:rsid w:val="00CB1F03"/>
    <w:rsid w:val="00CB2B18"/>
    <w:rsid w:val="00CB2E37"/>
    <w:rsid w:val="00CB60D0"/>
    <w:rsid w:val="00CC0C5F"/>
    <w:rsid w:val="00CC3AB7"/>
    <w:rsid w:val="00CD0418"/>
    <w:rsid w:val="00CD255F"/>
    <w:rsid w:val="00CD2D8C"/>
    <w:rsid w:val="00CD68E1"/>
    <w:rsid w:val="00CD6A0F"/>
    <w:rsid w:val="00CE2ADF"/>
    <w:rsid w:val="00CE5425"/>
    <w:rsid w:val="00CE57A2"/>
    <w:rsid w:val="00CE7CBD"/>
    <w:rsid w:val="00D016EB"/>
    <w:rsid w:val="00D06CA0"/>
    <w:rsid w:val="00D10E06"/>
    <w:rsid w:val="00D11A14"/>
    <w:rsid w:val="00D14DF8"/>
    <w:rsid w:val="00D170A2"/>
    <w:rsid w:val="00D23B4F"/>
    <w:rsid w:val="00D26D95"/>
    <w:rsid w:val="00D27721"/>
    <w:rsid w:val="00D36BD5"/>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90540"/>
    <w:rsid w:val="00D95546"/>
    <w:rsid w:val="00D96B46"/>
    <w:rsid w:val="00D9743B"/>
    <w:rsid w:val="00D97C53"/>
    <w:rsid w:val="00D97E7D"/>
    <w:rsid w:val="00DA3016"/>
    <w:rsid w:val="00DA380F"/>
    <w:rsid w:val="00DA67C7"/>
    <w:rsid w:val="00DB11D0"/>
    <w:rsid w:val="00DB295E"/>
    <w:rsid w:val="00DB5C0A"/>
    <w:rsid w:val="00DC173E"/>
    <w:rsid w:val="00DD13E2"/>
    <w:rsid w:val="00DD32C0"/>
    <w:rsid w:val="00DD63FA"/>
    <w:rsid w:val="00DD79E0"/>
    <w:rsid w:val="00DE1B70"/>
    <w:rsid w:val="00DE684B"/>
    <w:rsid w:val="00DF003C"/>
    <w:rsid w:val="00DF0645"/>
    <w:rsid w:val="00DF10FD"/>
    <w:rsid w:val="00DF2B89"/>
    <w:rsid w:val="00DF2E3E"/>
    <w:rsid w:val="00DF4501"/>
    <w:rsid w:val="00DF62A4"/>
    <w:rsid w:val="00DF7715"/>
    <w:rsid w:val="00E02A52"/>
    <w:rsid w:val="00E07BD8"/>
    <w:rsid w:val="00E1072D"/>
    <w:rsid w:val="00E10BB4"/>
    <w:rsid w:val="00E160C7"/>
    <w:rsid w:val="00E168E5"/>
    <w:rsid w:val="00E172BF"/>
    <w:rsid w:val="00E20F97"/>
    <w:rsid w:val="00E41A49"/>
    <w:rsid w:val="00E46C9C"/>
    <w:rsid w:val="00E47913"/>
    <w:rsid w:val="00E47E61"/>
    <w:rsid w:val="00E53ACB"/>
    <w:rsid w:val="00E632AA"/>
    <w:rsid w:val="00E63D4F"/>
    <w:rsid w:val="00E65E29"/>
    <w:rsid w:val="00E71827"/>
    <w:rsid w:val="00E71AB2"/>
    <w:rsid w:val="00E72DA8"/>
    <w:rsid w:val="00E74271"/>
    <w:rsid w:val="00E76617"/>
    <w:rsid w:val="00E774E4"/>
    <w:rsid w:val="00E80297"/>
    <w:rsid w:val="00E854AF"/>
    <w:rsid w:val="00E93992"/>
    <w:rsid w:val="00EA06BC"/>
    <w:rsid w:val="00EA1CC7"/>
    <w:rsid w:val="00EA1F89"/>
    <w:rsid w:val="00EA4258"/>
    <w:rsid w:val="00EA597E"/>
    <w:rsid w:val="00EA7DA4"/>
    <w:rsid w:val="00EB072F"/>
    <w:rsid w:val="00EB0A6E"/>
    <w:rsid w:val="00EB79CD"/>
    <w:rsid w:val="00EC5C70"/>
    <w:rsid w:val="00EC5E3E"/>
    <w:rsid w:val="00ED255A"/>
    <w:rsid w:val="00ED255B"/>
    <w:rsid w:val="00ED5615"/>
    <w:rsid w:val="00ED571E"/>
    <w:rsid w:val="00EE2200"/>
    <w:rsid w:val="00EE2942"/>
    <w:rsid w:val="00EE2A41"/>
    <w:rsid w:val="00EE608E"/>
    <w:rsid w:val="00EF3E0C"/>
    <w:rsid w:val="00EF4DB2"/>
    <w:rsid w:val="00EF64CD"/>
    <w:rsid w:val="00F00F93"/>
    <w:rsid w:val="00F01245"/>
    <w:rsid w:val="00F017B9"/>
    <w:rsid w:val="00F0351B"/>
    <w:rsid w:val="00F041A0"/>
    <w:rsid w:val="00F10DEE"/>
    <w:rsid w:val="00F119BB"/>
    <w:rsid w:val="00F15906"/>
    <w:rsid w:val="00F15D2B"/>
    <w:rsid w:val="00F22566"/>
    <w:rsid w:val="00F300D6"/>
    <w:rsid w:val="00F3468F"/>
    <w:rsid w:val="00F35D59"/>
    <w:rsid w:val="00F43A6A"/>
    <w:rsid w:val="00F47A77"/>
    <w:rsid w:val="00F47BA8"/>
    <w:rsid w:val="00F5285B"/>
    <w:rsid w:val="00F55762"/>
    <w:rsid w:val="00F558F7"/>
    <w:rsid w:val="00F56371"/>
    <w:rsid w:val="00F621AE"/>
    <w:rsid w:val="00F727B0"/>
    <w:rsid w:val="00F83218"/>
    <w:rsid w:val="00F853C3"/>
    <w:rsid w:val="00F86CA4"/>
    <w:rsid w:val="00F9008E"/>
    <w:rsid w:val="00F9307F"/>
    <w:rsid w:val="00F952C8"/>
    <w:rsid w:val="00FA0372"/>
    <w:rsid w:val="00FA4C4E"/>
    <w:rsid w:val="00FA4EBF"/>
    <w:rsid w:val="00FB0C03"/>
    <w:rsid w:val="00FB0F72"/>
    <w:rsid w:val="00FB21F4"/>
    <w:rsid w:val="00FB4BBD"/>
    <w:rsid w:val="00FB5574"/>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0016D6"/>
    <w:rPr>
      <w:color w:val="605E5C"/>
      <w:shd w:val="clear" w:color="auto" w:fill="E1DFDD"/>
    </w:rPr>
  </w:style>
  <w:style w:type="character" w:customStyle="1" w:styleId="markedcontent">
    <w:name w:val="markedcontent"/>
    <w:basedOn w:val="Fuentedeprrafopredeter"/>
    <w:rsid w:val="004B6590"/>
  </w:style>
  <w:style w:type="character" w:customStyle="1" w:styleId="highlight">
    <w:name w:val="highlight"/>
    <w:basedOn w:val="Fuentedeprrafopredeter"/>
    <w:rsid w:val="004B6590"/>
  </w:style>
  <w:style w:type="paragraph" w:customStyle="1" w:styleId="Citas">
    <w:name w:val="Citas"/>
    <w:basedOn w:val="Normal"/>
    <w:qFormat/>
    <w:rsid w:val="006C0604"/>
    <w:pPr>
      <w:spacing w:before="240" w:line="360" w:lineRule="auto"/>
      <w:ind w:left="851" w:right="851"/>
      <w:jc w:val="both"/>
    </w:pPr>
    <w:rPr>
      <w:rFonts w:ascii="Palatino Linotype" w:hAnsi="Palatino Linotype" w:cs="Arial"/>
      <w:i/>
    </w:rPr>
  </w:style>
  <w:style w:type="paragraph" w:styleId="NormalWeb">
    <w:name w:val="Normal (Web)"/>
    <w:basedOn w:val="Normal"/>
    <w:uiPriority w:val="99"/>
    <w:semiHidden/>
    <w:unhideWhenUsed/>
    <w:rsid w:val="008B16B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unhideWhenUsed/>
    <w:rsid w:val="00F3468F"/>
    <w:pPr>
      <w:spacing w:after="120"/>
    </w:pPr>
  </w:style>
  <w:style w:type="character" w:customStyle="1" w:styleId="TextoindependienteCar">
    <w:name w:val="Texto independiente Car"/>
    <w:basedOn w:val="Fuentedeprrafopredeter"/>
    <w:link w:val="Textoindependiente"/>
    <w:uiPriority w:val="99"/>
    <w:rsid w:val="00F3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38468677">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596015046">
      <w:bodyDiv w:val="1"/>
      <w:marLeft w:val="0"/>
      <w:marRight w:val="0"/>
      <w:marTop w:val="0"/>
      <w:marBottom w:val="0"/>
      <w:divBdr>
        <w:top w:val="none" w:sz="0" w:space="0" w:color="auto"/>
        <w:left w:val="none" w:sz="0" w:space="0" w:color="auto"/>
        <w:bottom w:val="none" w:sz="0" w:space="0" w:color="auto"/>
        <w:right w:val="none" w:sz="0" w:space="0" w:color="auto"/>
      </w:divBdr>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doc/publicaciones/calendarioOficial_2021.jp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89B1-9120-41ED-AE20-596B2EDE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32</Pages>
  <Words>6075</Words>
  <Characters>33413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2019-12-02T18:59:00Z</cp:lastPrinted>
  <dcterms:created xsi:type="dcterms:W3CDTF">2021-10-05T17:05:00Z</dcterms:created>
  <dcterms:modified xsi:type="dcterms:W3CDTF">2021-11-05T01:58:00Z</dcterms:modified>
</cp:coreProperties>
</file>