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398" w:rsidRDefault="00AD7FA3">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rPr>
        <w:t>quince de diciembre de dos mil veintiuno</w:t>
      </w:r>
      <w:r>
        <w:rPr>
          <w:rFonts w:ascii="Palatino Linotype" w:eastAsia="Palatino Linotype" w:hAnsi="Palatino Linotype" w:cs="Palatino Linotype"/>
        </w:rPr>
        <w:t xml:space="preserve">. </w:t>
      </w: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03999/INFOEM/CD/RR/2021</w:t>
      </w:r>
      <w:r>
        <w:rPr>
          <w:rFonts w:ascii="Palatino Linotype" w:eastAsia="Palatino Linotype" w:hAnsi="Palatino Linotype" w:cs="Palatino Linotype"/>
        </w:rPr>
        <w:t xml:space="preserve">, promovido por la </w:t>
      </w:r>
      <w:r>
        <w:rPr>
          <w:rFonts w:ascii="Palatino Linotype" w:eastAsia="Palatino Linotype" w:hAnsi="Palatino Linotype" w:cs="Palatino Linotype"/>
          <w:b/>
        </w:rPr>
        <w:t xml:space="preserve">C. </w:t>
      </w:r>
      <w:r w:rsidR="00A305FE" w:rsidRPr="00A305FE">
        <w:rPr>
          <w:rFonts w:ascii="Palatino Linotype" w:eastAsia="Palatino Linotype" w:hAnsi="Palatino Linotype" w:cs="Palatino Linotype"/>
          <w:b/>
        </w:rPr>
        <w:t>XXXXX XXXXXXXXX XXXXXXX XXXXXX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en contra de la falta de respuesta  por parte de la</w:t>
      </w:r>
      <w:r>
        <w:rPr>
          <w:rFonts w:ascii="Palatino Linotype" w:eastAsia="Palatino Linotype" w:hAnsi="Palatino Linotype" w:cs="Palatino Linotype"/>
          <w:b/>
        </w:rPr>
        <w:t xml:space="preserve"> Universidad Tecnológica de Nezahualcóyotl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el Sujeto Obligado o Responsable</w:t>
      </w:r>
      <w:r>
        <w:rPr>
          <w:rFonts w:ascii="Palatino Linotype" w:eastAsia="Palatino Linotype" w:hAnsi="Palatino Linotype" w:cs="Palatino Linotype"/>
        </w:rPr>
        <w:t xml:space="preserve">, se procede a dictar la presente resolución con base en lo siguiente: </w:t>
      </w:r>
    </w:p>
    <w:p w:rsidR="00AB3398" w:rsidRDefault="00AD7FA3">
      <w:pPr>
        <w:numPr>
          <w:ilvl w:val="0"/>
          <w:numId w:val="3"/>
        </w:numPr>
        <w:pBdr>
          <w:top w:val="nil"/>
          <w:left w:val="nil"/>
          <w:bottom w:val="nil"/>
          <w:right w:val="nil"/>
          <w:between w:val="nil"/>
        </w:pBdr>
        <w:spacing w:line="360" w:lineRule="auto"/>
        <w:ind w:left="567" w:right="332"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AB3398" w:rsidRDefault="00AB339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B3398" w:rsidRDefault="00AD7F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Primero.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veintisiete de abril de dos mil veintiuno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presentó a través del Sistema de Acceso, Rectificación, Cancelación y Oposición de Datos Personales en el Estado de México, en lo subsecuente </w:t>
      </w:r>
      <w:r>
        <w:rPr>
          <w:rFonts w:ascii="Palatino Linotype" w:eastAsia="Palatino Linotype" w:hAnsi="Palatino Linotype" w:cs="Palatino Linotype"/>
          <w:b/>
          <w:color w:val="000000"/>
        </w:rPr>
        <w:t>el SARCOEM</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cancelación de datos personales, a la que se le asignó el número de expediente </w:t>
      </w:r>
      <w:r>
        <w:rPr>
          <w:rFonts w:ascii="Palatino Linotype" w:eastAsia="Palatino Linotype" w:hAnsi="Palatino Linotype" w:cs="Palatino Linotype"/>
          <w:b/>
          <w:color w:val="000000"/>
        </w:rPr>
        <w:t>00001/UTNEZA/CD/2021</w:t>
      </w:r>
      <w:r>
        <w:rPr>
          <w:rFonts w:ascii="Palatino Linotype" w:eastAsia="Palatino Linotype" w:hAnsi="Palatino Linotype" w:cs="Palatino Linotype"/>
          <w:color w:val="000000"/>
        </w:rPr>
        <w:t xml:space="preserve">, en la que se precisó lo siguiente: </w:t>
      </w:r>
    </w:p>
    <w:p w:rsidR="00AB3398" w:rsidRDefault="00AB33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B3398" w:rsidRDefault="00AD7FA3">
      <w:pPr>
        <w:pBdr>
          <w:top w:val="nil"/>
          <w:left w:val="nil"/>
          <w:bottom w:val="nil"/>
          <w:right w:val="nil"/>
          <w:between w:val="nil"/>
        </w:pBdr>
        <w:spacing w:line="360" w:lineRule="auto"/>
        <w:ind w:left="567" w:right="11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Datos Personales a los que desea su cancelación:</w:t>
      </w:r>
    </w:p>
    <w:p w:rsidR="00AB3398" w:rsidRDefault="00AD7FA3">
      <w:pPr>
        <w:pBdr>
          <w:top w:val="nil"/>
          <w:left w:val="nil"/>
          <w:bottom w:val="nil"/>
          <w:right w:val="nil"/>
          <w:between w:val="nil"/>
        </w:pBdr>
        <w:spacing w:line="360" w:lineRule="auto"/>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“NOMBRE COMPLETO, DIRECCIÓN, RFC, FIRMA AUTÓGRAFA” (Sic) </w:t>
      </w:r>
    </w:p>
    <w:p w:rsidR="00AB3398" w:rsidRDefault="00AD7FA3">
      <w:pPr>
        <w:pBdr>
          <w:top w:val="nil"/>
          <w:left w:val="nil"/>
          <w:bottom w:val="nil"/>
          <w:right w:val="nil"/>
          <w:between w:val="nil"/>
        </w:pBdr>
        <w:spacing w:line="360" w:lineRule="auto"/>
        <w:ind w:left="567" w:right="11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Razones por la cuales desea que sus datos personales deban ser cancelados: </w:t>
      </w:r>
    </w:p>
    <w:p w:rsidR="00AB3398" w:rsidRDefault="00AD7FA3">
      <w:pPr>
        <w:pBdr>
          <w:top w:val="nil"/>
          <w:left w:val="nil"/>
          <w:bottom w:val="nil"/>
          <w:right w:val="nil"/>
          <w:between w:val="nil"/>
        </w:pBdr>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 AUTORICÉ A QUE SE PUBLICARA UN CONTRATO QUE CELEBRÉ CON LA UNIVESIDAD TECNOLÓGINA DE NEZAHUALCOYOTL EN EL CUAL APARECEN MIS DATOS PERSONALES COMO NOMBRE, DIRECCIÓN PARTICULAR, RFC Y FIRMA PORQUE PONE EN RIESGO MI INTEGRIDAD FÍSICA, DADO QUE HE RECIBIDO LLAMADAS DE </w:t>
      </w:r>
      <w:r>
        <w:rPr>
          <w:rFonts w:ascii="Palatino Linotype" w:eastAsia="Palatino Linotype" w:hAnsi="Palatino Linotype" w:cs="Palatino Linotype"/>
          <w:i/>
          <w:color w:val="000000"/>
          <w:sz w:val="22"/>
          <w:szCs w:val="22"/>
        </w:rPr>
        <w:lastRenderedPageBreak/>
        <w:t>EXTORSIÓN Y ME URGE QUE LO QUITEN DE SU PÁGINA Y DE INTERNET.” (Sic)</w:t>
      </w:r>
    </w:p>
    <w:p w:rsidR="00AB3398" w:rsidRDefault="00AB3398">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AB3398" w:rsidRDefault="00AD7FA3">
      <w:pPr>
        <w:spacing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 xml:space="preserve">Archivos adjuntos: </w:t>
      </w:r>
    </w:p>
    <w:p w:rsidR="00AB3398" w:rsidRDefault="00AD7FA3">
      <w:pPr>
        <w:numPr>
          <w:ilvl w:val="0"/>
          <w:numId w:val="4"/>
        </w:numPr>
        <w:spacing w:line="360" w:lineRule="auto"/>
        <w:ind w:right="1183" w:hanging="15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w:t>
      </w:r>
      <w:hyperlink r:id="rId8">
        <w:r>
          <w:rPr>
            <w:rFonts w:ascii="Palatino Linotype" w:eastAsia="Palatino Linotype" w:hAnsi="Palatino Linotype" w:cs="Palatino Linotype"/>
            <w:b/>
            <w:i/>
            <w:color w:val="000000"/>
          </w:rPr>
          <w:t>CONTRATO UTN.pdf</w:t>
        </w:r>
      </w:hyperlink>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Consistente en siete fojas, en el cual se advierte el convenio marco de colaboración en materia de educación dual celebrado por la particular y el Sujeto Obligado, se inserta la primera hoja a manera de ejemplo.</w:t>
      </w:r>
    </w:p>
    <w:p w:rsidR="00AB3398" w:rsidRDefault="00A305FE">
      <w:pPr>
        <w:spacing w:line="360" w:lineRule="auto"/>
        <w:ind w:left="720" w:right="1183"/>
        <w:jc w:val="both"/>
        <w:rPr>
          <w:rFonts w:ascii="Palatino Linotype" w:eastAsia="Palatino Linotype" w:hAnsi="Palatino Linotype" w:cs="Palatino Linotype"/>
          <w:b/>
          <w:i/>
          <w:color w:val="000000"/>
        </w:rPr>
      </w:pPr>
      <w:r>
        <w:rPr>
          <w:rFonts w:ascii="Palatino Linotype" w:eastAsia="Palatino Linotype" w:hAnsi="Palatino Linotype" w:cs="Palatino Linotype"/>
          <w:b/>
          <w:i/>
          <w:noProof/>
          <w:color w:val="000000"/>
          <w:lang w:val="es-MX"/>
        </w:rPr>
        <w:drawing>
          <wp:inline distT="0" distB="0" distL="0" distR="0">
            <wp:extent cx="3533775" cy="4724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775" cy="4724400"/>
                    </a:xfrm>
                    <a:prstGeom prst="rect">
                      <a:avLst/>
                    </a:prstGeom>
                    <a:noFill/>
                    <a:ln>
                      <a:noFill/>
                    </a:ln>
                  </pic:spPr>
                </pic:pic>
              </a:graphicData>
            </a:graphic>
          </wp:inline>
        </w:drawing>
      </w:r>
    </w:p>
    <w:p w:rsidR="00AB3398" w:rsidRDefault="00AD7FA3">
      <w:pPr>
        <w:numPr>
          <w:ilvl w:val="0"/>
          <w:numId w:val="4"/>
        </w:numPr>
        <w:spacing w:line="360" w:lineRule="auto"/>
        <w:ind w:right="1183" w:hanging="15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w:t>
      </w:r>
      <w:proofErr w:type="spellStart"/>
      <w:r w:rsidR="00653BFC">
        <w:fldChar w:fldCharType="begin"/>
      </w:r>
      <w:r w:rsidR="00653BFC">
        <w:instrText xml:space="preserve"> HYPERLINK "https://www.sarcoem.org.mx/sarcoem/solicitud/descarga/1119767/000012021051175811001/376433.page" \h </w:instrText>
      </w:r>
      <w:r w:rsidR="00653BFC">
        <w:fldChar w:fldCharType="separate"/>
      </w:r>
      <w:r w:rsidR="00A305FE">
        <w:rPr>
          <w:rFonts w:ascii="Palatino Linotype" w:eastAsia="Palatino Linotype" w:hAnsi="Palatino Linotype" w:cs="Palatino Linotype"/>
          <w:b/>
          <w:i/>
          <w:color w:val="000000"/>
        </w:rPr>
        <w:t>ine</w:t>
      </w:r>
      <w:proofErr w:type="spellEnd"/>
      <w:r w:rsidR="00A305FE">
        <w:rPr>
          <w:rFonts w:ascii="Palatino Linotype" w:eastAsia="Palatino Linotype" w:hAnsi="Palatino Linotype" w:cs="Palatino Linotype"/>
          <w:b/>
          <w:i/>
          <w:color w:val="000000"/>
        </w:rPr>
        <w:t xml:space="preserve"> XXXXXX</w:t>
      </w:r>
      <w:r>
        <w:rPr>
          <w:rFonts w:ascii="Palatino Linotype" w:eastAsia="Palatino Linotype" w:hAnsi="Palatino Linotype" w:cs="Palatino Linotype"/>
          <w:b/>
          <w:i/>
          <w:color w:val="000000"/>
        </w:rPr>
        <w:t>_210426_203542.pdf</w:t>
      </w:r>
      <w:r w:rsidR="00653BFC">
        <w:rPr>
          <w:rFonts w:ascii="Palatino Linotype" w:eastAsia="Palatino Linotype" w:hAnsi="Palatino Linotype" w:cs="Palatino Linotype"/>
          <w:b/>
          <w:i/>
          <w:color w:val="000000"/>
        </w:rPr>
        <w:fldChar w:fldCharType="end"/>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Credencial para votar expedida por el Instituto Nacional Electoral, a favor de la recurrente.</w:t>
      </w:r>
    </w:p>
    <w:p w:rsidR="00AB3398" w:rsidRDefault="00AB3398">
      <w:pPr>
        <w:spacing w:line="360" w:lineRule="auto"/>
        <w:ind w:left="720" w:right="1183"/>
        <w:jc w:val="both"/>
        <w:rPr>
          <w:rFonts w:ascii="Palatino Linotype" w:eastAsia="Palatino Linotype" w:hAnsi="Palatino Linotype" w:cs="Palatino Linotype"/>
          <w:b/>
          <w:i/>
          <w:color w:val="000000"/>
        </w:rPr>
      </w:pPr>
    </w:p>
    <w:p w:rsidR="00AB3398" w:rsidRDefault="00AD7FA3">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rPr>
        <w:t>Medio para oír y recibir notificaciones:</w:t>
      </w:r>
      <w:r>
        <w:rPr>
          <w:rFonts w:ascii="Palatino Linotype" w:eastAsia="Palatino Linotype" w:hAnsi="Palatino Linotype" w:cs="Palatino Linotype"/>
        </w:rPr>
        <w:t xml:space="preserve"> Vía correo electrónico. </w:t>
      </w:r>
    </w:p>
    <w:p w:rsidR="00AB3398" w:rsidRDefault="00AB339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B3398" w:rsidRDefault="00AD7F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Segundo.</w:t>
      </w:r>
      <w:r>
        <w:rPr>
          <w:rFonts w:ascii="Palatino Linotype" w:eastAsia="Palatino Linotype" w:hAnsi="Palatino Linotype" w:cs="Palatino Linotype"/>
          <w:color w:val="000000"/>
        </w:rPr>
        <w:t xml:space="preserve"> De las constancias que obran en el expediente electrónico del </w:t>
      </w:r>
      <w:r>
        <w:rPr>
          <w:rFonts w:ascii="Palatino Linotype" w:eastAsia="Palatino Linotype" w:hAnsi="Palatino Linotype" w:cs="Palatino Linotype"/>
          <w:b/>
          <w:color w:val="000000"/>
        </w:rPr>
        <w:t>SARCOEM</w:t>
      </w:r>
      <w:r>
        <w:rPr>
          <w:rFonts w:ascii="Palatino Linotype" w:eastAsia="Palatino Linotype" w:hAnsi="Palatino Linotype" w:cs="Palatino Linotype"/>
          <w:color w:val="000000"/>
        </w:rPr>
        <w:t xml:space="preserve">, se advierte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fue omiso en entregar la respuesta a la solicitud de cancelación de datos personales. </w:t>
      </w:r>
    </w:p>
    <w:p w:rsidR="00AB3398" w:rsidRDefault="00AB33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B3398" w:rsidRDefault="00AD7F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Tercero. </w:t>
      </w:r>
      <w:r>
        <w:rPr>
          <w:rFonts w:ascii="Palatino Linotype" w:eastAsia="Palatino Linotype" w:hAnsi="Palatino Linotype" w:cs="Palatino Linotype"/>
          <w:color w:val="000000"/>
        </w:rPr>
        <w:t xml:space="preserve">Inconforme con la respuesta, el </w:t>
      </w:r>
      <w:r>
        <w:rPr>
          <w:rFonts w:ascii="Palatino Linotype" w:eastAsia="Palatino Linotype" w:hAnsi="Palatino Linotype" w:cs="Palatino Linotype"/>
          <w:b/>
          <w:color w:val="000000"/>
        </w:rPr>
        <w:t>doce de agosto del año en curso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interpuso el recurso de revisión objeto del presente estudio, al que se le asignó el número de expediente </w:t>
      </w:r>
      <w:r>
        <w:rPr>
          <w:rFonts w:ascii="Palatino Linotype" w:eastAsia="Palatino Linotype" w:hAnsi="Palatino Linotype" w:cs="Palatino Linotype"/>
          <w:b/>
          <w:color w:val="000000"/>
        </w:rPr>
        <w:t>03999/INFOEM/CD/RR/2021</w:t>
      </w:r>
      <w:r>
        <w:rPr>
          <w:rFonts w:ascii="Palatino Linotype" w:eastAsia="Palatino Linotype" w:hAnsi="Palatino Linotype" w:cs="Palatino Linotype"/>
          <w:color w:val="000000"/>
        </w:rPr>
        <w:t>, en el que expresó lo siguiente:</w:t>
      </w:r>
    </w:p>
    <w:p w:rsidR="00AB3398" w:rsidRDefault="00AD7FA3">
      <w:pPr>
        <w:numPr>
          <w:ilvl w:val="0"/>
          <w:numId w:val="5"/>
        </w:numPr>
        <w:pBdr>
          <w:top w:val="nil"/>
          <w:left w:val="nil"/>
          <w:bottom w:val="nil"/>
          <w:right w:val="nil"/>
          <w:between w:val="nil"/>
        </w:pBdr>
        <w:spacing w:line="360" w:lineRule="auto"/>
        <w:ind w:left="567" w:hanging="28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Acto impugnado: </w:t>
      </w:r>
    </w:p>
    <w:p w:rsidR="00AB3398" w:rsidRDefault="00AD7FA3">
      <w:pPr>
        <w:ind w:left="567" w:right="4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sz w:val="22"/>
          <w:szCs w:val="22"/>
        </w:rPr>
        <w:t>MAL USO DE MIS DATOS PERSONALES (Sic)</w:t>
      </w:r>
    </w:p>
    <w:p w:rsidR="00AB3398" w:rsidRDefault="00AB3398">
      <w:pPr>
        <w:ind w:left="567" w:right="49"/>
        <w:jc w:val="both"/>
        <w:rPr>
          <w:rFonts w:ascii="Palatino Linotype" w:eastAsia="Palatino Linotype" w:hAnsi="Palatino Linotype" w:cs="Palatino Linotype"/>
          <w:i/>
        </w:rPr>
      </w:pPr>
    </w:p>
    <w:p w:rsidR="00AB3398" w:rsidRDefault="00AD7FA3">
      <w:pPr>
        <w:numPr>
          <w:ilvl w:val="0"/>
          <w:numId w:val="5"/>
        </w:numPr>
        <w:pBdr>
          <w:top w:val="nil"/>
          <w:left w:val="nil"/>
          <w:bottom w:val="nil"/>
          <w:right w:val="nil"/>
          <w:between w:val="nil"/>
        </w:pBdr>
        <w:ind w:left="567" w:right="49" w:hanging="283"/>
        <w:jc w:val="both"/>
        <w:rPr>
          <w:rFonts w:ascii="Palatino Linotype" w:eastAsia="Palatino Linotype" w:hAnsi="Palatino Linotype" w:cs="Palatino Linotype"/>
          <w:b/>
          <w:i/>
          <w:color w:val="000000"/>
        </w:rPr>
      </w:pPr>
      <w:r>
        <w:rPr>
          <w:rFonts w:ascii="Palatino Linotype" w:eastAsia="Palatino Linotype" w:hAnsi="Palatino Linotype" w:cs="Palatino Linotype"/>
          <w:b/>
          <w:color w:val="000000"/>
        </w:rPr>
        <w:t xml:space="preserve">Razones o motivos de inconformidad: </w:t>
      </w:r>
    </w:p>
    <w:p w:rsidR="00AB3398" w:rsidRDefault="00AB3398">
      <w:pPr>
        <w:pBdr>
          <w:top w:val="nil"/>
          <w:left w:val="nil"/>
          <w:bottom w:val="nil"/>
          <w:right w:val="nil"/>
          <w:between w:val="nil"/>
        </w:pBdr>
        <w:ind w:left="567" w:right="49"/>
        <w:jc w:val="both"/>
        <w:rPr>
          <w:rFonts w:ascii="Palatino Linotype" w:eastAsia="Palatino Linotype" w:hAnsi="Palatino Linotype" w:cs="Palatino Linotype"/>
          <w:b/>
          <w:i/>
          <w:color w:val="000000"/>
        </w:rPr>
      </w:pPr>
    </w:p>
    <w:p w:rsidR="00AB3398" w:rsidRDefault="00AD7FA3">
      <w:pPr>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“EXCESO DE TIEMPO PARA DAR RESPUESTA A MI SOLICITUD” (Sic)</w:t>
      </w:r>
    </w:p>
    <w:p w:rsidR="00AB3398" w:rsidRDefault="00AB3398">
      <w:pPr>
        <w:spacing w:line="360" w:lineRule="auto"/>
        <w:jc w:val="both"/>
        <w:rPr>
          <w:rFonts w:ascii="Palatino Linotype" w:eastAsia="Palatino Linotype" w:hAnsi="Palatino Linotype" w:cs="Palatino Linotype"/>
        </w:rPr>
      </w:pPr>
    </w:p>
    <w:p w:rsidR="00AB3398" w:rsidRDefault="00AD7F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Cuarto. Turno. </w:t>
      </w:r>
      <w:r>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al </w:t>
      </w:r>
      <w:r>
        <w:rPr>
          <w:rFonts w:ascii="Palatino Linotype" w:eastAsia="Palatino Linotype" w:hAnsi="Palatino Linotype" w:cs="Palatino Linotype"/>
          <w:b/>
          <w:color w:val="000000"/>
        </w:rPr>
        <w:t>entonces Comisionado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Javier Martínez Cruz</w:t>
      </w:r>
      <w:r>
        <w:rPr>
          <w:rFonts w:ascii="Palatino Linotype" w:eastAsia="Palatino Linotype" w:hAnsi="Palatino Linotype" w:cs="Palatino Linotype"/>
          <w:color w:val="000000"/>
        </w:rPr>
        <w:t xml:space="preserve"> para su análisis, estudio, elaboración del proyecto y presentación ante el Pleno de este Instituto.</w:t>
      </w:r>
    </w:p>
    <w:p w:rsidR="00AB3398" w:rsidRDefault="00AB339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B3398" w:rsidRDefault="00AD7F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Quinto. Admisión.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diecisiete de agosto de dos mil veintiuno</w:t>
      </w:r>
      <w:r>
        <w:rPr>
          <w:rFonts w:ascii="Palatino Linotype" w:eastAsia="Palatino Linotype" w:hAnsi="Palatino Linotype" w:cs="Palatino Linotype"/>
          <w:color w:val="000000"/>
        </w:rPr>
        <w:t xml:space="preserve">,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 </w:t>
      </w:r>
    </w:p>
    <w:p w:rsidR="00AB3398" w:rsidRDefault="00AB339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B3398" w:rsidRDefault="00AD7FA3">
      <w:pPr>
        <w:numPr>
          <w:ilvl w:val="0"/>
          <w:numId w:val="1"/>
        </w:numPr>
        <w:pBdr>
          <w:top w:val="nil"/>
          <w:left w:val="nil"/>
          <w:bottom w:val="nil"/>
          <w:right w:val="nil"/>
          <w:between w:val="nil"/>
        </w:pBdr>
        <w:spacing w:line="360" w:lineRule="auto"/>
        <w:ind w:right="118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Tener por acreditada la  identidad de la</w:t>
      </w:r>
      <w:r>
        <w:rPr>
          <w:rFonts w:ascii="Palatino Linotype" w:eastAsia="Palatino Linotype" w:hAnsi="Palatino Linotype" w:cs="Palatino Linotype"/>
          <w:b/>
          <w:color w:val="000000"/>
        </w:rPr>
        <w:t xml:space="preserve"> Recurrente </w:t>
      </w:r>
      <w:r>
        <w:rPr>
          <w:rFonts w:ascii="Palatino Linotype" w:eastAsia="Palatino Linotype" w:hAnsi="Palatino Linotype" w:cs="Palatino Linotype"/>
          <w:color w:val="000000"/>
        </w:rPr>
        <w:t xml:space="preserve"> a través del medio de autenticación autorizado por este Instituto de Transparencia, Acceso a la Información Pública y Protección de Datos Personales del Estado de México y Municipios publicado en el periódico oficial “Gaceta del Gobierno” del veinticinco de octubre de dos mil diecisiete; lo anterior, de conformidad con el artículo 120 fracción III de la Ley de Protección de Datos Personales en Posesión de Sujetos Obligados del Estado de México y Municipios; </w:t>
      </w:r>
    </w:p>
    <w:p w:rsidR="00AB3398" w:rsidRDefault="00AB3398">
      <w:pPr>
        <w:pBdr>
          <w:top w:val="nil"/>
          <w:left w:val="nil"/>
          <w:bottom w:val="nil"/>
          <w:right w:val="nil"/>
          <w:between w:val="nil"/>
        </w:pBdr>
        <w:spacing w:line="360" w:lineRule="auto"/>
        <w:ind w:left="1068"/>
        <w:jc w:val="both"/>
        <w:rPr>
          <w:rFonts w:ascii="Palatino Linotype" w:eastAsia="Palatino Linotype" w:hAnsi="Palatino Linotype" w:cs="Palatino Linotype"/>
          <w:color w:val="000000"/>
        </w:rPr>
      </w:pPr>
    </w:p>
    <w:p w:rsidR="00AB3398" w:rsidRDefault="00AD7FA3">
      <w:pPr>
        <w:numPr>
          <w:ilvl w:val="0"/>
          <w:numId w:val="1"/>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admisión a trámite del referido recurso de revisión;</w:t>
      </w:r>
    </w:p>
    <w:p w:rsidR="00AB3398" w:rsidRDefault="00AD7FA3">
      <w:p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 </w:t>
      </w:r>
      <w:r>
        <w:rPr>
          <w:rFonts w:ascii="Palatino Linotype" w:eastAsia="Palatino Linotype" w:hAnsi="Palatino Linotype" w:cs="Palatino Linotype"/>
          <w:color w:val="000000"/>
        </w:rPr>
        <w:t xml:space="preserve">La integración del expediente a fin de ponerlo a disposición de las partes a efecto de que ofrecieran pruebas,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rindiera el Informe Justificado, o bien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emitiera sus manifestaciones y alegatos; y </w:t>
      </w:r>
    </w:p>
    <w:p w:rsidR="00AB3398" w:rsidRDefault="00AD7FA3">
      <w:pPr>
        <w:pBdr>
          <w:top w:val="nil"/>
          <w:left w:val="nil"/>
          <w:bottom w:val="nil"/>
          <w:right w:val="nil"/>
          <w:between w:val="nil"/>
        </w:pBdr>
        <w:spacing w:after="240" w:line="360" w:lineRule="auto"/>
        <w:ind w:left="567" w:right="1183" w:hanging="14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d) </w:t>
      </w:r>
      <w:r>
        <w:rPr>
          <w:rFonts w:ascii="Palatino Linotype" w:eastAsia="Palatino Linotype" w:hAnsi="Palatino Linotype" w:cs="Palatino Linotype"/>
          <w:color w:val="000000"/>
        </w:rPr>
        <w:t>El requerimiento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las partes para que en un plazo no mayor a siete días manifestaran, por cualquier medio, su voluntad de conciliar, con el apercibimiento de que, en caso de no hacerlo, se tendría por </w:t>
      </w:r>
      <w:proofErr w:type="spellStart"/>
      <w:r>
        <w:rPr>
          <w:rFonts w:ascii="Palatino Linotype" w:eastAsia="Palatino Linotype" w:hAnsi="Palatino Linotype" w:cs="Palatino Linotype"/>
          <w:color w:val="000000"/>
        </w:rPr>
        <w:lastRenderedPageBreak/>
        <w:t>precluido</w:t>
      </w:r>
      <w:proofErr w:type="spellEnd"/>
      <w:r>
        <w:rPr>
          <w:rFonts w:ascii="Palatino Linotype" w:eastAsia="Palatino Linotype" w:hAnsi="Palatino Linotype" w:cs="Palatino Linotype"/>
          <w:color w:val="000000"/>
        </w:rPr>
        <w:t xml:space="preserve">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AB3398" w:rsidRDefault="00AD7FA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222222"/>
        </w:rPr>
        <w:t xml:space="preserve">Sexto. </w:t>
      </w:r>
      <w:proofErr w:type="spellStart"/>
      <w:r>
        <w:rPr>
          <w:rFonts w:ascii="Palatino Linotype" w:eastAsia="Palatino Linotype" w:hAnsi="Palatino Linotype" w:cs="Palatino Linotype"/>
          <w:b/>
          <w:color w:val="222222"/>
        </w:rPr>
        <w:t>Returno</w:t>
      </w:r>
      <w:proofErr w:type="spellEnd"/>
      <w:r>
        <w:rPr>
          <w:rFonts w:ascii="Palatino Linotype" w:eastAsia="Palatino Linotype" w:hAnsi="Palatino Linotype" w:cs="Palatino Linotype"/>
          <w:b/>
          <w:color w:val="222222"/>
        </w:rPr>
        <w:t>. </w:t>
      </w:r>
      <w:r>
        <w:rPr>
          <w:rFonts w:ascii="Palatino Linotype" w:eastAsia="Palatino Linotype" w:hAnsi="Palatino Linotype" w:cs="Palatino Linotype"/>
          <w:color w:val="222222"/>
        </w:rPr>
        <w:t>El </w:t>
      </w:r>
      <w:r>
        <w:rPr>
          <w:rFonts w:ascii="Palatino Linotype" w:eastAsia="Palatino Linotype" w:hAnsi="Palatino Linotype" w:cs="Palatino Linotype"/>
          <w:b/>
          <w:color w:val="222222"/>
        </w:rPr>
        <w:t>veintitrés de agosto de dos mil veintiuno, en la Segunda Sesión Extraordinaria</w:t>
      </w:r>
      <w:r>
        <w:rPr>
          <w:rFonts w:ascii="Palatino Linotype" w:eastAsia="Palatino Linotype" w:hAnsi="Palatino Linotype" w:cs="Palatino Linotype"/>
          <w:color w:val="222222"/>
        </w:rPr>
        <w:t>, el Pleno del Instituto aprobó el </w:t>
      </w:r>
      <w:proofErr w:type="spellStart"/>
      <w:r>
        <w:rPr>
          <w:rFonts w:ascii="Palatino Linotype" w:eastAsia="Palatino Linotype" w:hAnsi="Palatino Linotype" w:cs="Palatino Linotype"/>
          <w:color w:val="222222"/>
        </w:rPr>
        <w:t>returno</w:t>
      </w:r>
      <w:proofErr w:type="spellEnd"/>
      <w:r>
        <w:rPr>
          <w:rFonts w:ascii="Palatino Linotype" w:eastAsia="Palatino Linotype" w:hAnsi="Palatino Linotype" w:cs="Palatino Linotype"/>
          <w:color w:val="222222"/>
        </w:rPr>
        <w:t> del recurso de revisión indicado al rubro a la Ponencia de la </w:t>
      </w:r>
      <w:r>
        <w:rPr>
          <w:rFonts w:ascii="Palatino Linotype" w:eastAsia="Palatino Linotype" w:hAnsi="Palatino Linotype" w:cs="Palatino Linotype"/>
          <w:b/>
          <w:color w:val="222222"/>
        </w:rPr>
        <w:t>Comisionada Guadalupe Ramírez Peña</w:t>
      </w:r>
      <w:r>
        <w:rPr>
          <w:rFonts w:ascii="Palatino Linotype" w:eastAsia="Palatino Linotype" w:hAnsi="Palatino Linotype" w:cs="Palatino Linotype"/>
          <w:color w:val="222222"/>
        </w:rPr>
        <w:t> para su estudio y resolución.</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Séptimo. Etapa de Conciliación.</w:t>
      </w:r>
      <w:r>
        <w:rPr>
          <w:rFonts w:ascii="Palatino Linotype" w:eastAsia="Palatino Linotype" w:hAnsi="Palatino Linotype" w:cs="Palatino Linotype"/>
        </w:rPr>
        <w:t xml:space="preserve">  En fechas  </w:t>
      </w:r>
      <w:r>
        <w:rPr>
          <w:rFonts w:ascii="Palatino Linotype" w:eastAsia="Palatino Linotype" w:hAnsi="Palatino Linotype" w:cs="Palatino Linotype"/>
          <w:b/>
        </w:rPr>
        <w:t>diecinueve y veinte de octubre de esta anualidad</w:t>
      </w:r>
      <w:r>
        <w:rPr>
          <w:rFonts w:ascii="Palatino Linotype" w:eastAsia="Palatino Linotype" w:hAnsi="Palatino Linotype" w:cs="Palatino Linotype"/>
        </w:rPr>
        <w:t xml:space="preserv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manifestó su voluntad por avenir los puntos controvertidos, 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transcurrido el término previsto para efectos de  manifestar su voluntad, fue omiso en emitir pronunciamiento alguno, por lo tanto, se niega la posibilidad de adherirse al citado procedimiento. </w:t>
      </w:r>
    </w:p>
    <w:p w:rsidR="00AB3398" w:rsidRDefault="00AD7FA3">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Octavo. Manifestaciones. </w:t>
      </w:r>
      <w:r>
        <w:rPr>
          <w:rFonts w:ascii="Palatino Linotype" w:eastAsia="Palatino Linotype" w:hAnsi="Palatino Linotype" w:cs="Palatino Linotype"/>
        </w:rPr>
        <w:t xml:space="preserve">De las constancias que integran el expediente electrónico con motivo del recurso de revisión, se observa que ambas partes fueron omisas en emitir pronunciamiento o manifestación alguna, por lo tanto, se tiene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 para tal efecto.</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Noveno.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uno de diciembre del presente año</w:t>
      </w:r>
      <w:r>
        <w:rPr>
          <w:rFonts w:ascii="Palatino Linotype" w:eastAsia="Palatino Linotype" w:hAnsi="Palatino Linotype" w:cs="Palatino Linotype"/>
        </w:rPr>
        <w:t xml:space="preserve"> con fundamento en el artículo 133  de la Ley de Protección de Datos Personales en Posesión de Sujetos Obligados del Estado de México y Municipios, se acordó la ampliación del plazo para su resolución.</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Décimo.</w:t>
      </w:r>
      <w:r>
        <w:rPr>
          <w:rFonts w:ascii="Palatino Linotype" w:eastAsia="Palatino Linotype" w:hAnsi="Palatino Linotype" w:cs="Palatino Linotype"/>
        </w:rPr>
        <w:t xml:space="preserve"> Una vez analizado el estado procesal que guardaba el expediente, </w:t>
      </w:r>
      <w:r>
        <w:rPr>
          <w:rFonts w:ascii="Palatino Linotype" w:eastAsia="Palatino Linotype" w:hAnsi="Palatino Linotype" w:cs="Palatino Linotype"/>
          <w:b/>
        </w:rPr>
        <w:t>el uno de diciembre de este año</w:t>
      </w:r>
      <w:r>
        <w:rPr>
          <w:rFonts w:ascii="Palatino Linotype" w:eastAsia="Palatino Linotype" w:hAnsi="Palatino Linotype" w:cs="Palatino Linotype"/>
        </w:rPr>
        <w:t>, y de conformidad con lo establecido en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se tiene por cerrada la etapa de instrucción a efecto de que se proceda con la integración de resolución del asunto.</w:t>
      </w:r>
    </w:p>
    <w:p w:rsidR="00AB3398" w:rsidRDefault="00AB3398">
      <w:pPr>
        <w:jc w:val="center"/>
        <w:rPr>
          <w:rFonts w:ascii="Palatino Linotype" w:eastAsia="Palatino Linotype" w:hAnsi="Palatino Linotype" w:cs="Palatino Linotype"/>
          <w:b/>
        </w:rPr>
      </w:pPr>
    </w:p>
    <w:p w:rsidR="00AB3398" w:rsidRDefault="00AD7FA3">
      <w:pPr>
        <w:jc w:val="center"/>
        <w:rPr>
          <w:rFonts w:ascii="Palatino Linotype" w:eastAsia="Palatino Linotype" w:hAnsi="Palatino Linotype" w:cs="Palatino Linotype"/>
          <w:b/>
        </w:rPr>
      </w:pPr>
      <w:r>
        <w:rPr>
          <w:rFonts w:ascii="Palatino Linotype" w:eastAsia="Palatino Linotype" w:hAnsi="Palatino Linotype" w:cs="Palatino Linotype"/>
          <w:b/>
        </w:rPr>
        <w:t>CONSIDERANDO</w:t>
      </w:r>
    </w:p>
    <w:p w:rsidR="00AB3398" w:rsidRDefault="00AB3398">
      <w:pPr>
        <w:jc w:val="center"/>
        <w:rPr>
          <w:rFonts w:ascii="Palatino Linotype" w:eastAsia="Palatino Linotype" w:hAnsi="Palatino Linotype" w:cs="Palatino Linotype"/>
          <w:b/>
        </w:rPr>
      </w:pPr>
    </w:p>
    <w:p w:rsidR="00AB3398" w:rsidRDefault="00AD7FA3">
      <w:pPr>
        <w:widowControl w:val="0"/>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AB3398" w:rsidRDefault="00AB3398">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B3398" w:rsidRDefault="00AD7FA3">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Segundo. Legitimación. </w:t>
      </w:r>
      <w:r>
        <w:rPr>
          <w:rFonts w:ascii="Palatino Linotype" w:eastAsia="Palatino Linotype" w:hAnsi="Palatino Linotype" w:cs="Palatino Linotype"/>
          <w:color w:val="000000"/>
        </w:rPr>
        <w:t xml:space="preserve">El recurso de revisión fue interpuesto por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quien a su vez, formuló la solicitud de Acceso de datos personales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rPr>
        <w:lastRenderedPageBreak/>
        <w:t>03999/INFOEM/CD/RR/2021</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de conformidad con lo establecido en el 106 párrafo tercero de la ley en la materia.</w:t>
      </w:r>
      <w:r>
        <w:rPr>
          <w:rFonts w:ascii="Palatino Linotype" w:eastAsia="Palatino Linotype" w:hAnsi="Palatino Linotype" w:cs="Palatino Linotype"/>
          <w:color w:val="000000"/>
          <w:vertAlign w:val="superscript"/>
        </w:rPr>
        <w:footnoteReference w:id="1"/>
      </w:r>
    </w:p>
    <w:p w:rsidR="00AB3398" w:rsidRDefault="00AB3398">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B3398" w:rsidRDefault="00AD7FA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Tercero. Oportunidad. </w:t>
      </w:r>
      <w:r>
        <w:rPr>
          <w:rFonts w:ascii="Palatino Linotype" w:eastAsia="Palatino Linotype" w:hAnsi="Palatino Linotype" w:cs="Palatino Linotype"/>
          <w:color w:val="000000"/>
        </w:rPr>
        <w:t>Es de precisar que la Ley de Protección de Datos Personales en Posesión de Sujetos Obligados del Estado de México y Municipios, describe el mecanismo de procedencia de los recursos de revisión, como se puede apreciar en el siguiente artículo:</w:t>
      </w:r>
    </w:p>
    <w:p w:rsidR="00AB3398" w:rsidRDefault="00AB3398">
      <w:pPr>
        <w:ind w:right="49"/>
        <w:jc w:val="both"/>
        <w:rPr>
          <w:rFonts w:ascii="Palatino Linotype" w:eastAsia="Palatino Linotype" w:hAnsi="Palatino Linotype" w:cs="Palatino Linotype"/>
        </w:rPr>
      </w:pPr>
    </w:p>
    <w:p w:rsidR="00AB3398" w:rsidRDefault="00AD7FA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128. </w:t>
      </w:r>
      <w:r>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AB3398" w:rsidRDefault="00AD7FA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AB3398" w:rsidRDefault="00AB3398">
      <w:pPr>
        <w:ind w:right="49"/>
        <w:jc w:val="both"/>
        <w:rPr>
          <w:rFonts w:ascii="Palatino Linotype" w:eastAsia="Palatino Linotype" w:hAnsi="Palatino Linotype" w:cs="Palatino Linotype"/>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al precepto legal inserto, se obtiene que, el plazo que les asiste a los Sujetos Obligados para entregar la respuesta a una solicitud para el ejercicio de los derechos ARCO es de quince días hábiles posteriores a la presentación de ésta; sin embargo, en aquellos casos en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no entregue la respuesta a la solicitud propuesta por el particular en el término legal previsto en el artículo 108 de la ley de la materia (veinte días que podrá ampliarse por diez días), la solicitud se entenderá negada y el solicitante podrá impugnarla vía recurso de revisión:</w:t>
      </w:r>
    </w:p>
    <w:p w:rsidR="00AB3398" w:rsidRDefault="00AB3398">
      <w:pPr>
        <w:spacing w:line="360" w:lineRule="auto"/>
        <w:jc w:val="both"/>
        <w:rPr>
          <w:rFonts w:ascii="Palatino Linotype" w:eastAsia="Palatino Linotype" w:hAnsi="Palatino Linotype" w:cs="Palatino Linotype"/>
        </w:rPr>
      </w:pPr>
    </w:p>
    <w:p w:rsidR="00AB3398" w:rsidRDefault="00AD7FA3">
      <w:pPr>
        <w:ind w:left="567"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108. </w:t>
      </w:r>
      <w:r>
        <w:rPr>
          <w:rFonts w:ascii="Palatino Linotype" w:eastAsia="Palatino Linotype" w:hAnsi="Palatino Linotype" w:cs="Palatino Linotype"/>
          <w:i/>
          <w:sz w:val="22"/>
          <w:szCs w:val="22"/>
        </w:rPr>
        <w:t>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p>
    <w:p w:rsidR="00AB3398" w:rsidRDefault="00AD7FA3">
      <w:pPr>
        <w:ind w:left="567"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B3398" w:rsidRDefault="00AD7FA3">
      <w:pPr>
        <w:ind w:left="567"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En caso que el responsable no emita respuesta a la solicitud de ejercicio de derechos ARCO se entenderá que la respuesta es negativa</w:t>
      </w:r>
      <w:r>
        <w:rPr>
          <w:rFonts w:ascii="Palatino Linotype" w:eastAsia="Palatino Linotype" w:hAnsi="Palatino Linotype" w:cs="Palatino Linotype"/>
          <w:i/>
          <w:sz w:val="22"/>
          <w:szCs w:val="22"/>
        </w:rPr>
        <w:t>.” (Sic) (Énfasis añadido)</w:t>
      </w:r>
    </w:p>
    <w:p w:rsidR="00AB3398" w:rsidRDefault="00AB3398">
      <w:pPr>
        <w:spacing w:line="360" w:lineRule="auto"/>
        <w:jc w:val="both"/>
        <w:rPr>
          <w:rFonts w:ascii="Palatino Linotype" w:eastAsia="Palatino Linotype" w:hAnsi="Palatino Linotype" w:cs="Palatino Linotype"/>
          <w:b/>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establecida la figura de negativa ficta, la cual consiste en una presunción en sentido negativo creada por mandato de Ley, que surge a la vida jurídica ante la omisión del Sujeto Obligado para atender las solicitudes de derechos ARCO y al haber transcurrido el plazo que se otorga a las autoridades para actuar como corresponde, es decir, dando respuesta a una petición o solicitud formulada. </w:t>
      </w:r>
    </w:p>
    <w:p w:rsidR="00AB3398" w:rsidRDefault="00AB3398">
      <w:pPr>
        <w:spacing w:line="360" w:lineRule="auto"/>
        <w:jc w:val="both"/>
        <w:rPr>
          <w:rFonts w:ascii="Palatino Linotype" w:eastAsia="Palatino Linotype" w:hAnsi="Palatino Linotype" w:cs="Palatino Linotype"/>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Tratándose de negativa ficta no existe resolución que se haga del conocimiento de la particular a partir de la cual pueda computarse dicho plazo, por lo que se concluye que la interposición de los recursos de revisión pueden ser en cualquier momento;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rsidR="00AB3398" w:rsidRDefault="00AB3398">
      <w:pPr>
        <w:jc w:val="both"/>
        <w:rPr>
          <w:rFonts w:ascii="Palatino Linotype" w:eastAsia="Palatino Linotype" w:hAnsi="Palatino Linotype" w:cs="Palatino Linotype"/>
        </w:rPr>
      </w:pPr>
    </w:p>
    <w:p w:rsidR="00AB3398" w:rsidRDefault="00AD7FA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Protección de Datos Personales en Posesión de Sujetos Obligados del Estado de México y Municipios establece que, cuando no se entregue la respuesta a la solicitud dentro del plazo de 15 días establecidos en el artículo 46 de la Ley de la materia, se entenderá por negada la solicitud y podrá interponerse el recurso </w:t>
      </w:r>
      <w:r>
        <w:rPr>
          <w:rFonts w:ascii="Palatino Linotype" w:eastAsia="Palatino Linotype" w:hAnsi="Palatino Linotype" w:cs="Palatino Linotype"/>
          <w:i/>
          <w:sz w:val="22"/>
          <w:szCs w:val="22"/>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B3398" w:rsidRDefault="00AB3398">
      <w:pPr>
        <w:jc w:val="both"/>
        <w:rPr>
          <w:rFonts w:ascii="Palatino Linotype" w:eastAsia="Palatino Linotype" w:hAnsi="Palatino Linotype" w:cs="Palatino Linotype"/>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términos de lo dispuesto por el numeral 108 de la ley de la materia anteriormente </w:t>
      </w:r>
      <w:proofErr w:type="gramStart"/>
      <w:r>
        <w:rPr>
          <w:rFonts w:ascii="Palatino Linotype" w:eastAsia="Palatino Linotype" w:hAnsi="Palatino Linotype" w:cs="Palatino Linotype"/>
        </w:rPr>
        <w:t>invocado</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contaba con un término que no podría exceder de veinte días para que notificara la respuesta.</w:t>
      </w: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concatenación con lo anterior, de las constancias que obran en </w:t>
      </w:r>
      <w:r>
        <w:rPr>
          <w:rFonts w:ascii="Palatino Linotype" w:eastAsia="Palatino Linotype" w:hAnsi="Palatino Linotype" w:cs="Palatino Linotype"/>
          <w:b/>
        </w:rPr>
        <w:t>SARCOEM</w:t>
      </w:r>
      <w:r>
        <w:rPr>
          <w:rFonts w:ascii="Palatino Linotype" w:eastAsia="Palatino Linotype" w:hAnsi="Palatino Linotype" w:cs="Palatino Linotype"/>
        </w:rPr>
        <w:t xml:space="preserve">, se observa que el particular presentó su solicitud en fecha veintisiete de abril de dos mil veintiuno, mientras que el presente recurso de revisión el día doce de agosto del año en curso, situación que acontece una vez que había fenecido el término concedido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efectos de dar contestación a la solicitud de ejercicio de derechos ARCO.</w:t>
      </w:r>
    </w:p>
    <w:p w:rsidR="00AB3398" w:rsidRDefault="00AB3398">
      <w:pPr>
        <w:spacing w:line="360" w:lineRule="auto"/>
        <w:jc w:val="both"/>
        <w:rPr>
          <w:rFonts w:ascii="Palatino Linotype" w:eastAsia="Palatino Linotype" w:hAnsi="Palatino Linotype" w:cs="Palatino Linotype"/>
          <w:b/>
          <w:color w:val="000000"/>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Cuarto. </w:t>
      </w:r>
      <w:proofErr w:type="spellStart"/>
      <w:r>
        <w:rPr>
          <w:rFonts w:ascii="Palatino Linotype" w:eastAsia="Palatino Linotype" w:hAnsi="Palatino Linotype" w:cs="Palatino Linotype"/>
          <w:b/>
          <w:color w:val="000000"/>
        </w:rPr>
        <w:t>Procedibilidad</w:t>
      </w:r>
      <w:proofErr w:type="spellEnd"/>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Pr>
          <w:rFonts w:ascii="Palatino Linotype" w:eastAsia="Palatino Linotype" w:hAnsi="Palatino Linotype" w:cs="Palatino Linotype"/>
          <w:b/>
          <w:color w:val="000000"/>
        </w:rPr>
        <w:t>el SARCOEM</w:t>
      </w:r>
      <w:r>
        <w:rPr>
          <w:rFonts w:ascii="Palatino Linotype" w:eastAsia="Palatino Linotype" w:hAnsi="Palatino Linotype" w:cs="Palatino Linotype"/>
          <w:color w:val="000000"/>
        </w:rPr>
        <w:t>.</w:t>
      </w:r>
    </w:p>
    <w:p w:rsidR="00AB3398" w:rsidRDefault="00AB3398">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B3398" w:rsidRDefault="00AD7FA3">
      <w:pPr>
        <w:widowControl w:val="0"/>
        <w:pBdr>
          <w:top w:val="nil"/>
          <w:left w:val="nil"/>
          <w:bottom w:val="nil"/>
          <w:right w:val="nil"/>
          <w:between w:val="nil"/>
        </w:pBdr>
        <w:tabs>
          <w:tab w:val="left" w:pos="1701"/>
        </w:tabs>
        <w:spacing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Quinto. Estudio y resolución del asunto.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Tal y como quedó señalado en el resultando primero del presente ocurso, el entonces solicitante, requirió al </w:t>
      </w:r>
      <w:r>
        <w:rPr>
          <w:rFonts w:ascii="Palatino Linotype" w:eastAsia="Palatino Linotype" w:hAnsi="Palatino Linotype" w:cs="Palatino Linotype"/>
          <w:b/>
          <w:color w:val="000000"/>
        </w:rPr>
        <w:t xml:space="preserve">Sujeto Obligado lo </w:t>
      </w:r>
      <w:r>
        <w:rPr>
          <w:rFonts w:ascii="Palatino Linotype" w:eastAsia="Palatino Linotype" w:hAnsi="Palatino Linotype" w:cs="Palatino Linotype"/>
          <w:b/>
          <w:color w:val="000000"/>
        </w:rPr>
        <w:lastRenderedPageBreak/>
        <w:t>siguiente:</w:t>
      </w:r>
    </w:p>
    <w:p w:rsidR="00AB3398" w:rsidRDefault="00AD7FA3">
      <w:pPr>
        <w:widowControl w:val="0"/>
        <w:tabs>
          <w:tab w:val="left" w:pos="1701"/>
        </w:tabs>
        <w:spacing w:before="240" w:after="240" w:line="360" w:lineRule="auto"/>
        <w:ind w:left="56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Cancelación de los siguientes datos personales: </w:t>
      </w:r>
    </w:p>
    <w:p w:rsidR="00AB3398" w:rsidRDefault="00AD7FA3">
      <w:pPr>
        <w:widowControl w:val="0"/>
        <w:tabs>
          <w:tab w:val="left" w:pos="1701"/>
        </w:tabs>
        <w:spacing w:before="240" w:after="240" w:line="360"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“NOMBRE COMPLETO, DIRECCIÓN, RFC, FIRMA AUTÓGRAFA” (Sic)</w:t>
      </w:r>
    </w:p>
    <w:p w:rsidR="00AB3398" w:rsidRDefault="00AD7FA3">
      <w:pPr>
        <w:widowControl w:val="0"/>
        <w:tabs>
          <w:tab w:val="left" w:pos="1701"/>
        </w:tabs>
        <w:spacing w:before="240" w:after="240" w:line="360" w:lineRule="auto"/>
        <w:ind w:left="56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Razones por las cuales desea que sus datos sean cancelados: </w:t>
      </w:r>
    </w:p>
    <w:p w:rsidR="00AB3398" w:rsidRDefault="00AD7FA3">
      <w:pPr>
        <w:widowControl w:val="0"/>
        <w:tabs>
          <w:tab w:val="left" w:pos="1701"/>
        </w:tabs>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AUTORICÉ A QUE SE PUBLICARA UN CONTRATO QUE CELEBRÉ CON LA UNIVESIDAD TECNOLÓGINA DE NEZAHUALCOYOTL EN EL CUAL APARECEN MIS DATOS PERSONALES COMO NOMBRE, DIRECCIÓN PARTICULAR, RFC Y FIRMA PORQUE PONE EN RIESGO MI INTEGRIDAD FÍSICA, DADO QUE HE RECIBIDO LLAMADAS DE EXTORSIÓN Y ME URGE QUE LO QUITEN DE SU PÁGINA Y DE INTERNET.” (Sic)</w:t>
      </w:r>
    </w:p>
    <w:p w:rsidR="00AB3398" w:rsidRDefault="00AD7FA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su solicitud, anexó </w:t>
      </w:r>
      <w:r>
        <w:rPr>
          <w:rFonts w:ascii="Palatino Linotype" w:eastAsia="Palatino Linotype" w:hAnsi="Palatino Linotype" w:cs="Palatino Linotype"/>
        </w:rPr>
        <w:t xml:space="preserve">dos documentos los cuales consisten en la credencial para votar expedida a favor de la recurrente y el convenio de colaboración celebrado entre el Sujeto Obligado y la Recurrente. </w:t>
      </w:r>
    </w:p>
    <w:p w:rsidR="00AB3398" w:rsidRDefault="00AD7FA3">
      <w:pPr>
        <w:widowControl w:val="0"/>
        <w:tabs>
          <w:tab w:val="left" w:pos="1701"/>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 las constancias que obran en el expediente electrónico del </w:t>
      </w:r>
      <w:r>
        <w:rPr>
          <w:rFonts w:ascii="Palatino Linotype" w:eastAsia="Palatino Linotype" w:hAnsi="Palatino Linotype" w:cs="Palatino Linotype"/>
          <w:b/>
        </w:rPr>
        <w:t>SARCOEM</w:t>
      </w:r>
      <w:r>
        <w:rPr>
          <w:rFonts w:ascii="Palatino Linotype" w:eastAsia="Palatino Linotype" w:hAnsi="Palatino Linotype" w:cs="Palatino Linotype"/>
        </w:rPr>
        <w:t xml:space="preserve">,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remitir su respuesta a la presente solicitud.</w:t>
      </w:r>
    </w:p>
    <w:p w:rsidR="00AB3398" w:rsidRDefault="00AD7FA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la particular inconforme, interpone el medio de impugnación que nos ocupa, alegando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excedió el tiempo para otorgar respuesta a la solicitud formulada.</w:t>
      </w:r>
    </w:p>
    <w:p w:rsidR="00AB3398" w:rsidRDefault="00AD7FA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posterioridad, este Instituto apertura la fase de conciliación, en la cual la recurrente manifestó su voluntad para conciliar, sin embargo, el Sujeto Obligado fue omiso en pronunciarse dentro del plazo, por lo tanto, se declaró concluida y se procedió a dar plazo para la presentación de las manifestaciones. </w:t>
      </w:r>
    </w:p>
    <w:p w:rsidR="00AB3398" w:rsidRDefault="00AD7FA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Durante la etapa procesal para que las partes rindieran todo tipo de argumentos que a su derecho convengan se tiene que fueron omisas en pronunciarse, por lo tanto, este Instituto estimó procedente decretar el cierre de instrucción y proceder al estudio del asunto.</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Hasta este punto, se tiene que la Recurrente ejerció uno de los derechos ARCO, como es respectivamente el de cancelación de datos personales, ello en virtud de que no autorizó la publicación de un contrato celebrado con la Universidad Tecnológica de Nezahualcóyotl, en el cual se advierten datos personales, tales como nombre, dirección particular, RFC y firma autógrafa, situación que le causa un perjuicio en su integridad física, en razón de ser víctima de llamadas de extorsión, por tal motivo requiere que se elimine la documentación del portal del Sujeto Obligado, así como de internet. </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resulta pertinente apuntar que al indagar en el motor de búsqueda Google con el nombre de la particular, se obtiene lo siguiente: </w:t>
      </w:r>
    </w:p>
    <w:p w:rsidR="00AB3398" w:rsidRDefault="00A305F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791200" cy="1828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1828800"/>
                    </a:xfrm>
                    <a:prstGeom prst="rect">
                      <a:avLst/>
                    </a:prstGeom>
                    <a:noFill/>
                    <a:ln>
                      <a:noFill/>
                    </a:ln>
                  </pic:spPr>
                </pic:pic>
              </a:graphicData>
            </a:graphic>
          </wp:inline>
        </w:drawing>
      </w:r>
    </w:p>
    <w:p w:rsidR="00AB3398" w:rsidRDefault="00AB3398">
      <w:pPr>
        <w:spacing w:before="240" w:after="240" w:line="360" w:lineRule="auto"/>
        <w:jc w:val="both"/>
        <w:rPr>
          <w:rFonts w:ascii="Palatino Linotype" w:eastAsia="Palatino Linotype" w:hAnsi="Palatino Linotype" w:cs="Palatino Linotype"/>
        </w:rPr>
      </w:pPr>
    </w:p>
    <w:p w:rsidR="00AB3398" w:rsidRDefault="00AB3398">
      <w:pPr>
        <w:spacing w:before="240" w:after="240" w:line="360" w:lineRule="auto"/>
        <w:jc w:val="both"/>
        <w:rPr>
          <w:rFonts w:ascii="Palatino Linotype" w:eastAsia="Palatino Linotype" w:hAnsi="Palatino Linotype" w:cs="Palatino Linotype"/>
        </w:rPr>
      </w:pPr>
    </w:p>
    <w:p w:rsidR="00AB3398" w:rsidRDefault="00A305F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4581525" cy="61626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525" cy="6162675"/>
                    </a:xfrm>
                    <a:prstGeom prst="rect">
                      <a:avLst/>
                    </a:prstGeom>
                    <a:noFill/>
                    <a:ln>
                      <a:noFill/>
                    </a:ln>
                  </pic:spPr>
                </pic:pic>
              </a:graphicData>
            </a:graphic>
          </wp:inline>
        </w:drawing>
      </w:r>
      <w:bookmarkStart w:id="1" w:name="_GoBack"/>
      <w:bookmarkEnd w:id="1"/>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planteada la Litis sobre la que versará el presente estudio, resulta pertinente iniciar el presente estudio delimitando la naturaleza del instrumento jurídico publicado en el portal IPOMEX por el Sujeto Obligado a efecto de determinar si el actuar del Sujeto Obligado se encuentra apegado a derecho por constituir una </w:t>
      </w:r>
      <w:r>
        <w:rPr>
          <w:rFonts w:ascii="Palatino Linotype" w:eastAsia="Palatino Linotype" w:hAnsi="Palatino Linotype" w:cs="Palatino Linotype"/>
        </w:rPr>
        <w:lastRenderedPageBreak/>
        <w:t>obligación de transparencia común o por el contrario, si se encuentra vulnerando el derecho a la protección de datos de la recurrente.</w:t>
      </w:r>
    </w:p>
    <w:p w:rsidR="00AB3398" w:rsidRDefault="00AD7FA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De la esfera competencial del Sujeto Obligado o responsable del tratamiento.</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la Ley que Crea el Organismo Público Descentralizado de carácter Estatal denominado Universidad Tecnológica de Nezahualcóyotl, en su artículo 4, fracción V dispone que la Universidad tiene como objeto el llevar a cabo programas de vinculación con los sectores público, privado y social para la consolidación del desarrollo tecnológico y social de la comunidad.</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ello se auxiliará de la Secretaría de Vinculación Tecnológica Empresarial, la cual en términos del Manual General de la Universidad Tecnológica de Nezahualcóyotl cuenta con las siguientes atribuciones: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i/>
          <w:sz w:val="22"/>
          <w:szCs w:val="22"/>
        </w:rPr>
        <w:t xml:space="preserve">205F30000 SECRETARÍA DE VINCULACIÓN TECNOLÓGICA EMPRESARIAL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OBJETIVO: </w:t>
      </w:r>
      <w:r>
        <w:rPr>
          <w:rFonts w:ascii="Palatino Linotype" w:eastAsia="Palatino Linotype" w:hAnsi="Palatino Linotype" w:cs="Palatino Linotype"/>
          <w:b/>
          <w:i/>
          <w:sz w:val="22"/>
          <w:szCs w:val="22"/>
        </w:rPr>
        <w:t xml:space="preserve">Vincular a la Universidad con los sectores privado, público y social, a fin de contribuir al mejoramiento de su productividad, así como elevar la calidad de la función académica, el proceso enseñanza-aprendizaje y los servicios de extensión universitaria.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FUNCIONES: </w:t>
      </w:r>
    </w:p>
    <w:p w:rsidR="00AB3398" w:rsidRDefault="00AD7FA3">
      <w:pPr>
        <w:numPr>
          <w:ilvl w:val="0"/>
          <w:numId w:val="6"/>
        </w:numPr>
        <w:pBdr>
          <w:top w:val="nil"/>
          <w:left w:val="nil"/>
          <w:bottom w:val="nil"/>
          <w:right w:val="nil"/>
          <w:between w:val="nil"/>
        </w:pBdr>
        <w:spacing w:before="240"/>
        <w:ind w:left="567" w:right="1183" w:hanging="14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Establecer, organizar, promover y difundir los proyectos y programas de vinculación que desarrolla la Universidad. </w:t>
      </w:r>
    </w:p>
    <w:p w:rsidR="00AB3398" w:rsidRDefault="00AD7FA3">
      <w:pPr>
        <w:numPr>
          <w:ilvl w:val="0"/>
          <w:numId w:val="6"/>
        </w:numPr>
        <w:pBdr>
          <w:top w:val="nil"/>
          <w:left w:val="nil"/>
          <w:bottom w:val="nil"/>
          <w:right w:val="nil"/>
          <w:between w:val="nil"/>
        </w:pBdr>
        <w:ind w:left="567" w:right="1183" w:hanging="14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Promover y supervisar la gestión de los programas federal, estatal y municipal, de apoyo </w:t>
      </w:r>
      <w:proofErr w:type="gramStart"/>
      <w:r>
        <w:rPr>
          <w:rFonts w:ascii="Palatino Linotype" w:eastAsia="Palatino Linotype" w:hAnsi="Palatino Linotype" w:cs="Palatino Linotype"/>
          <w:b/>
          <w:i/>
          <w:color w:val="000000"/>
          <w:sz w:val="22"/>
          <w:szCs w:val="22"/>
          <w:u w:val="single"/>
        </w:rPr>
        <w:t>a la</w:t>
      </w:r>
      <w:proofErr w:type="gramEnd"/>
      <w:r>
        <w:rPr>
          <w:rFonts w:ascii="Palatino Linotype" w:eastAsia="Palatino Linotype" w:hAnsi="Palatino Linotype" w:cs="Palatino Linotype"/>
          <w:b/>
          <w:i/>
          <w:color w:val="000000"/>
          <w:sz w:val="22"/>
          <w:szCs w:val="22"/>
          <w:u w:val="single"/>
        </w:rPr>
        <w:t xml:space="preserve"> micro, pequeña y mediana empresa. </w:t>
      </w:r>
    </w:p>
    <w:p w:rsidR="00AB3398" w:rsidRDefault="00AD7FA3">
      <w:pPr>
        <w:numPr>
          <w:ilvl w:val="0"/>
          <w:numId w:val="6"/>
        </w:numPr>
        <w:pBdr>
          <w:top w:val="nil"/>
          <w:left w:val="nil"/>
          <w:bottom w:val="nil"/>
          <w:right w:val="nil"/>
          <w:between w:val="nil"/>
        </w:pBdr>
        <w:ind w:left="567" w:right="1183"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Impulsar la concertación de convenios de colaboración, participación e intercambio, que posibiliten el desarrollo de los programas de vinculación, académicos, culturales y deportivos.</w:t>
      </w:r>
    </w:p>
    <w:p w:rsidR="00AB3398" w:rsidRDefault="00AD7FA3">
      <w:pPr>
        <w:numPr>
          <w:ilvl w:val="0"/>
          <w:numId w:val="6"/>
        </w:numPr>
        <w:pBdr>
          <w:top w:val="nil"/>
          <w:left w:val="nil"/>
          <w:bottom w:val="nil"/>
          <w:right w:val="nil"/>
          <w:between w:val="nil"/>
        </w:pBdr>
        <w:ind w:left="567" w:right="1183" w:hanging="14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Supervisar los proyectos de servicio y desarrollo tecnológico que se realizan a los sectores productivo y social. </w:t>
      </w:r>
    </w:p>
    <w:p w:rsidR="00AB3398" w:rsidRDefault="00AD7FA3">
      <w:pPr>
        <w:numPr>
          <w:ilvl w:val="0"/>
          <w:numId w:val="6"/>
        </w:numPr>
        <w:pBdr>
          <w:top w:val="nil"/>
          <w:left w:val="nil"/>
          <w:bottom w:val="nil"/>
          <w:right w:val="nil"/>
          <w:between w:val="nil"/>
        </w:pBdr>
        <w:ind w:left="567" w:right="1183"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Fomentar la innovación y el desarrollo tecnológico. </w:t>
      </w:r>
    </w:p>
    <w:p w:rsidR="00AB3398" w:rsidRDefault="00AD7FA3">
      <w:pPr>
        <w:numPr>
          <w:ilvl w:val="0"/>
          <w:numId w:val="6"/>
        </w:numPr>
        <w:pBdr>
          <w:top w:val="nil"/>
          <w:left w:val="nil"/>
          <w:bottom w:val="nil"/>
          <w:right w:val="nil"/>
          <w:between w:val="nil"/>
        </w:pBdr>
        <w:ind w:left="567" w:right="1183" w:hanging="14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Propiciar la promoción de los egresados, de los Técnicos Superiores Universitarios e Ingenieros en el mercado laboral. </w:t>
      </w:r>
    </w:p>
    <w:p w:rsidR="00AB3398" w:rsidRDefault="00AD7FA3">
      <w:pPr>
        <w:numPr>
          <w:ilvl w:val="0"/>
          <w:numId w:val="6"/>
        </w:numPr>
        <w:pBdr>
          <w:top w:val="nil"/>
          <w:left w:val="nil"/>
          <w:bottom w:val="nil"/>
          <w:right w:val="nil"/>
          <w:between w:val="nil"/>
        </w:pBdr>
        <w:ind w:left="567" w:right="1183"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Promover y supervisar la operación de los servicios que se ofrecen a través del Centro de Negocios para el Desarrollo Regional, Sustentable y de los Centros de Tecnología.</w:t>
      </w:r>
    </w:p>
    <w:p w:rsidR="00AB3398" w:rsidRDefault="00AD7FA3">
      <w:pPr>
        <w:numPr>
          <w:ilvl w:val="0"/>
          <w:numId w:val="6"/>
        </w:numPr>
        <w:pBdr>
          <w:top w:val="nil"/>
          <w:left w:val="nil"/>
          <w:bottom w:val="nil"/>
          <w:right w:val="nil"/>
          <w:between w:val="nil"/>
        </w:pBdr>
        <w:ind w:left="567" w:right="1183" w:hanging="14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Supervisar y promover los servicios de educación continua que se ofrecen a los egresados y comunidad universitaria, así como a los sectores productivo y social. </w:t>
      </w:r>
    </w:p>
    <w:p w:rsidR="00AB3398" w:rsidRDefault="00AD7FA3">
      <w:pPr>
        <w:pBdr>
          <w:top w:val="nil"/>
          <w:left w:val="nil"/>
          <w:bottom w:val="nil"/>
          <w:right w:val="nil"/>
          <w:between w:val="nil"/>
        </w:pBdr>
        <w:ind w:left="567" w:right="11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w:t>
      </w:r>
    </w:p>
    <w:p w:rsidR="00AB3398" w:rsidRDefault="00AD7FA3">
      <w:pPr>
        <w:pBdr>
          <w:top w:val="nil"/>
          <w:left w:val="nil"/>
          <w:bottom w:val="nil"/>
          <w:right w:val="nil"/>
          <w:between w:val="nil"/>
        </w:pBdr>
        <w:spacing w:after="240"/>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(Sic) (Énfasis añadido)</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el Reglamento Interior de la Universidad Tecnológica de Nezahualcóyotl prevé las siguientes facultades para esta Dirección en análisis: </w:t>
      </w:r>
    </w:p>
    <w:p w:rsidR="00AB3398" w:rsidRDefault="00AD7FA3">
      <w:pPr>
        <w:spacing w:before="240" w:after="240"/>
        <w:ind w:left="567" w:right="118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“Artículo 15.-</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 xml:space="preserve">Al Secretario de Vinculación Tecnológica Empresarial le corresponde la coordinación y supervisión del desarrollo de las actividades de vinculación entre la Universidad y el sector productivo de bienes y servicios.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Durará en su cargo cuatro años y podrá ser ratificado por otro periodo igual; será nombrado por el Consejo a propuesta del Rector y deberá reunir los requisitos que le señala la Ley para este efecto.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16.- </w:t>
      </w:r>
      <w:r>
        <w:rPr>
          <w:rFonts w:ascii="Palatino Linotype" w:eastAsia="Palatino Linotype" w:hAnsi="Palatino Linotype" w:cs="Palatino Linotype"/>
          <w:b/>
          <w:i/>
          <w:sz w:val="22"/>
          <w:szCs w:val="22"/>
          <w:u w:val="single"/>
        </w:rPr>
        <w:t>Corresponde al Secretario de Vinculación Tecnológica Empresarial:</w:t>
      </w:r>
      <w:r>
        <w:rPr>
          <w:rFonts w:ascii="Palatino Linotype" w:eastAsia="Palatino Linotype" w:hAnsi="Palatino Linotype" w:cs="Palatino Linotype"/>
          <w:i/>
          <w:sz w:val="22"/>
          <w:szCs w:val="22"/>
        </w:rPr>
        <w:t xml:space="preserve">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B3398" w:rsidRDefault="00AD7FA3">
      <w:pPr>
        <w:spacing w:before="240" w:after="240"/>
        <w:ind w:left="567" w:right="1183"/>
        <w:jc w:val="both"/>
        <w:rPr>
          <w:rFonts w:ascii="Palatino Linotype" w:eastAsia="Palatino Linotype" w:hAnsi="Palatino Linotype" w:cs="Palatino Linotype"/>
          <w:i/>
          <w:sz w:val="22"/>
          <w:szCs w:val="22"/>
        </w:rPr>
      </w:pPr>
      <w:proofErr w:type="spellStart"/>
      <w:r>
        <w:rPr>
          <w:rFonts w:ascii="Palatino Linotype" w:eastAsia="Palatino Linotype" w:hAnsi="Palatino Linotype" w:cs="Palatino Linotype"/>
          <w:b/>
          <w:i/>
          <w:sz w:val="22"/>
          <w:szCs w:val="22"/>
          <w:u w:val="single"/>
        </w:rPr>
        <w:t>IV</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Organizar</w:t>
      </w:r>
      <w:proofErr w:type="spellEnd"/>
      <w:r>
        <w:rPr>
          <w:rFonts w:ascii="Palatino Linotype" w:eastAsia="Palatino Linotype" w:hAnsi="Palatino Linotype" w:cs="Palatino Linotype"/>
          <w:b/>
          <w:i/>
          <w:sz w:val="22"/>
          <w:szCs w:val="22"/>
          <w:u w:val="single"/>
        </w:rPr>
        <w:t xml:space="preserve"> y coordinar la vinculación de las actividades institucionales con los sectores productivos; </w:t>
      </w:r>
    </w:p>
    <w:p w:rsidR="00AB3398" w:rsidRDefault="00AD7FA3">
      <w:pPr>
        <w:spacing w:before="240" w:after="240"/>
        <w:ind w:left="567" w:right="118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V. Proponer al Rector los convenios y acuerdos que en materia educativa celebren con el sector productivo de bienes y servicios; “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(Sic) (Énfasis añadido)</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tal suerte que con lo citado se advierte que efectivamente la Secretaría de Vinculación Tecnológica Empresarial es la instancia al interior del Sujeto Obligado encargada de enlazar al sector productivo con la institución a efecto de que los </w:t>
      </w:r>
      <w:r>
        <w:rPr>
          <w:rFonts w:ascii="Palatino Linotype" w:eastAsia="Palatino Linotype" w:hAnsi="Palatino Linotype" w:cs="Palatino Linotype"/>
        </w:rPr>
        <w:lastRenderedPageBreak/>
        <w:t xml:space="preserve">estudiantes de dicha Universidad puedan llevar a la praxis lo aprendido dentro de las aulas. </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una vez concretado el enlace entre la instancia del sector privado, compete al abogado general de la propia Universidad, la elaboración del instrumento jurídico que celebrarán las partes a efecto de concertar la colaboración entre ambos sectores, ello encuentra sustento en la siguiente cita al Manual General de Organización en referencia que se trae a colación para mejor proveer del presente estudio: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“205F 10100 ABOGADO GENERAL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OBJETIVO: </w:t>
      </w:r>
      <w:r>
        <w:rPr>
          <w:rFonts w:ascii="Palatino Linotype" w:eastAsia="Palatino Linotype" w:hAnsi="Palatino Linotype" w:cs="Palatino Linotype"/>
          <w:b/>
          <w:i/>
          <w:sz w:val="22"/>
          <w:szCs w:val="22"/>
        </w:rPr>
        <w:t>Representar y asesorar legalmente a la Universidad, derivado de las actividades académico-administrativas que realiza, así como formular y proponer los instrumentos jurídicos que al efecto se requieran</w:t>
      </w:r>
      <w:r>
        <w:rPr>
          <w:rFonts w:ascii="Palatino Linotype" w:eastAsia="Palatino Linotype" w:hAnsi="Palatino Linotype" w:cs="Palatino Linotype"/>
          <w:i/>
          <w:sz w:val="22"/>
          <w:szCs w:val="22"/>
        </w:rPr>
        <w:t xml:space="preserve">, con estricto apego a la ley.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FUNCIONES: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-Desahogar consultas sobre la interpretación y aplicación de la legislación en el sector educativo y en particular de la Universidad, a fin, de que sus actividades se circunscriban al marco jurídico establecido. </w:t>
      </w:r>
    </w:p>
    <w:p w:rsidR="00AB3398" w:rsidRDefault="00AD7FA3">
      <w:pPr>
        <w:spacing w:before="240" w:after="240"/>
        <w:ind w:left="567" w:right="1183"/>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Elaborar y revisar los proyectos de</w:t>
      </w:r>
      <w:r>
        <w:rPr>
          <w:rFonts w:ascii="Palatino Linotype" w:eastAsia="Palatino Linotype" w:hAnsi="Palatino Linotype" w:cs="Palatino Linotype"/>
          <w:i/>
          <w:sz w:val="22"/>
          <w:szCs w:val="22"/>
        </w:rPr>
        <w:t xml:space="preserve"> leyes, reglamentos, decretos, acuerdos, </w:t>
      </w:r>
      <w:r>
        <w:rPr>
          <w:rFonts w:ascii="Palatino Linotype" w:eastAsia="Palatino Linotype" w:hAnsi="Palatino Linotype" w:cs="Palatino Linotype"/>
          <w:b/>
          <w:i/>
          <w:sz w:val="22"/>
          <w:szCs w:val="22"/>
          <w:u w:val="single"/>
        </w:rPr>
        <w:t>convenios</w:t>
      </w:r>
      <w:r>
        <w:rPr>
          <w:rFonts w:ascii="Palatino Linotype" w:eastAsia="Palatino Linotype" w:hAnsi="Palatino Linotype" w:cs="Palatino Linotype"/>
          <w:i/>
          <w:sz w:val="22"/>
          <w:szCs w:val="22"/>
        </w:rPr>
        <w:t xml:space="preserve"> y circulares </w:t>
      </w:r>
      <w:r>
        <w:rPr>
          <w:rFonts w:ascii="Palatino Linotype" w:eastAsia="Palatino Linotype" w:hAnsi="Palatino Linotype" w:cs="Palatino Linotype"/>
          <w:b/>
          <w:i/>
          <w:sz w:val="22"/>
          <w:szCs w:val="22"/>
          <w:u w:val="single"/>
        </w:rPr>
        <w:t>que incidan en el ámbito de competencia de la Institución educativa.</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-Representar a la Universidad en las diligencias, procedimientos, juicios y controversias laborales, penales, civiles, administrativas, entre otras, que afecten los intereses o el patrimonio del organismo y brindar una solución favorable a ésta. </w:t>
      </w:r>
    </w:p>
    <w:p w:rsidR="00AB3398" w:rsidRDefault="00AD7FA3">
      <w:pPr>
        <w:spacing w:before="240" w:after="240"/>
        <w:ind w:left="567" w:right="118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-Tramitar la legalización, regularización y registro de los bienes inmuebles que conforman el patrimonio de la Universidad, así como organizar y custodiar los documentos que acrediten el origen de la propiedad o posesión de los mismos. </w:t>
      </w:r>
    </w:p>
    <w:p w:rsidR="00AB3398" w:rsidRDefault="00AD7FA3">
      <w:pPr>
        <w:spacing w:before="240" w:after="240"/>
        <w:ind w:left="567" w:right="118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-Recopilar y difundir las normas jurídicas vigentes aplicables en materia educativa y administrativa, emitidas por las instancias federales y/o estatales. </w:t>
      </w:r>
    </w:p>
    <w:p w:rsidR="00AB3398" w:rsidRDefault="00AD7FA3">
      <w:pPr>
        <w:spacing w:before="240" w:after="240"/>
        <w:ind w:left="567" w:right="1185"/>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u w:val="single"/>
        </w:rPr>
        <w:t>Elaborar y revisar los convenios, contratos, acuerdos y bases de coordinación en que la Universidad sea parte, así como vigilar su cumplimiento y, en su caso, promover su actualización.</w:t>
      </w:r>
    </w:p>
    <w:p w:rsidR="00AB3398" w:rsidRDefault="00AD7FA3">
      <w:pPr>
        <w:spacing w:before="240" w:after="240"/>
        <w:ind w:left="567" w:right="118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Vigilar el cumplimiento de las leyes, decretos, reglamentos, lineamientos, manuales, procedimientos, programas, acuerdos, circulares y demás ordenamientos jurídico-administrativos que regulan el funcionamiento de la Institución.</w:t>
      </w:r>
    </w:p>
    <w:p w:rsidR="00AB3398" w:rsidRDefault="00AD7FA3">
      <w:pPr>
        <w:spacing w:before="240" w:after="240"/>
        <w:ind w:left="567" w:right="118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B3398" w:rsidRDefault="00AD7FA3">
      <w:pPr>
        <w:spacing w:before="240" w:after="240"/>
        <w:ind w:left="567" w:right="118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Reportar mensualmente a la Unidad de Planeación y Evaluación, las propuestas de clasificación de la información reservada y confidencial, la cual deberá justificarse y fundamentarse para su validación y autorización por parte del Comité de Información.</w:t>
      </w:r>
    </w:p>
    <w:p w:rsidR="00AB3398" w:rsidRDefault="00AD7FA3">
      <w:pPr>
        <w:spacing w:before="240" w:after="240"/>
        <w:ind w:left="567" w:right="118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B3398" w:rsidRDefault="00AD7FA3">
      <w:pPr>
        <w:spacing w:before="240" w:after="240"/>
        <w:ind w:right="1185"/>
        <w:jc w:val="both"/>
        <w:rPr>
          <w:rFonts w:ascii="Palatino Linotype" w:eastAsia="Palatino Linotype" w:hAnsi="Palatino Linotype" w:cs="Palatino Linotype"/>
        </w:rPr>
      </w:pPr>
      <w:r>
        <w:rPr>
          <w:rFonts w:ascii="Palatino Linotype" w:eastAsia="Palatino Linotype" w:hAnsi="Palatino Linotype" w:cs="Palatino Linotype"/>
        </w:rPr>
        <w:t xml:space="preserve">De todo lo citado con antelación, se arriban a las siguientes conclusiones: </w:t>
      </w:r>
    </w:p>
    <w:p w:rsidR="00AB3398" w:rsidRDefault="00AD7FA3">
      <w:pPr>
        <w:numPr>
          <w:ilvl w:val="0"/>
          <w:numId w:val="7"/>
        </w:numPr>
        <w:pBdr>
          <w:top w:val="nil"/>
          <w:left w:val="nil"/>
          <w:bottom w:val="nil"/>
          <w:right w:val="nil"/>
          <w:between w:val="nil"/>
        </w:pBdr>
        <w:spacing w:before="240" w:line="360" w:lineRule="auto"/>
        <w:ind w:left="567" w:right="1185"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Universidad tiene como objeto el llevar a cabo programas de vinculación con los sectores público, privado y social para la consolidación del desarrollo tecnológico y social de la comunidad.</w:t>
      </w:r>
    </w:p>
    <w:p w:rsidR="00AB3398" w:rsidRDefault="00AD7FA3">
      <w:pPr>
        <w:numPr>
          <w:ilvl w:val="0"/>
          <w:numId w:val="7"/>
        </w:numPr>
        <w:pBdr>
          <w:top w:val="nil"/>
          <w:left w:val="nil"/>
          <w:bottom w:val="nil"/>
          <w:right w:val="nil"/>
          <w:between w:val="nil"/>
        </w:pBdr>
        <w:spacing w:line="360" w:lineRule="auto"/>
        <w:ind w:left="567" w:right="1185"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Para consumar este objeto, la Universidad dentro de su estructura orgánica cuenta con la Secretaría de Vinculación Tecnológica Empresarial, la cual funge como enlace entre las instituciones del sector privado a efecto de canalizar a los estudiantes a los sectores productivos.</w:t>
      </w:r>
    </w:p>
    <w:p w:rsidR="00AB3398" w:rsidRDefault="00AD7FA3">
      <w:pPr>
        <w:numPr>
          <w:ilvl w:val="0"/>
          <w:numId w:val="7"/>
        </w:numPr>
        <w:pBdr>
          <w:top w:val="nil"/>
          <w:left w:val="nil"/>
          <w:bottom w:val="nil"/>
          <w:right w:val="nil"/>
          <w:between w:val="nil"/>
        </w:pBdr>
        <w:spacing w:line="360" w:lineRule="auto"/>
        <w:ind w:right="1185"/>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Posteriormente para consumar la relación de concertación entre la Universidad y las empresas, el Abogado General será el encargado de la elaboración, revisión, así como verificación del cumplimiento de los instrumentos jurídicos que se celebren donde la Universidad sea parte. </w:t>
      </w:r>
    </w:p>
    <w:p w:rsidR="00AB3398" w:rsidRDefault="00AD7FA3">
      <w:pPr>
        <w:numPr>
          <w:ilvl w:val="0"/>
          <w:numId w:val="7"/>
        </w:numPr>
        <w:pBdr>
          <w:top w:val="nil"/>
          <w:left w:val="nil"/>
          <w:bottom w:val="nil"/>
          <w:right w:val="nil"/>
          <w:between w:val="nil"/>
        </w:pBdr>
        <w:spacing w:after="240" w:line="360" w:lineRule="auto"/>
        <w:ind w:right="1185"/>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Compete al abogado general el reporte de las propuestas de clasificación de la información reservada y confidencial, la cual debe fundarse y motivarse ante el Comité de Información a efecto de determinar lo conducente.</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Hasta este punto se concluye que la Universidad por medio de la Secretaría de Vinculación Tecnológica Empresarial, se encuentra constreñida a vincular a los estudiantes con el sector privado y posteriormente corresponde al Abogado General la elaboración del convenio mediante el cual se formalizará la obligación contraída por ambas partes bajo los términos pactados.</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mismo, el ordenamiento previamente citado le otorga al Abogado General la facultad de reportar de manera mensual la información reservada y confidencial que pudiera obrar dentro de sus archivos a efecto de que se someta a consideración del Comité de Información y se determine lo conducente en cuanto a la clasificación o reserva de la información.</w:t>
      </w:r>
    </w:p>
    <w:p w:rsidR="00AB3398" w:rsidRDefault="00AB3398">
      <w:pPr>
        <w:spacing w:before="240" w:after="240" w:line="360" w:lineRule="auto"/>
        <w:ind w:right="49"/>
        <w:jc w:val="both"/>
        <w:rPr>
          <w:rFonts w:ascii="Palatino Linotype" w:eastAsia="Palatino Linotype" w:hAnsi="Palatino Linotype" w:cs="Palatino Linotype"/>
        </w:rPr>
      </w:pP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AB3398" w:rsidRDefault="00AD7FA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De la naturaleza jurídica del convenio suscrito por la particular y el Sujeto Obligado o Responsable.</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apuntó debidamente en líneas argumentativas, el Sujeto Obligado se encuentra constreñido a suscribir los convenios de colaboración  con empresas, esto para fortalecer la formación académica y profesional de su comunidad estudiantil, sin </w:t>
      </w:r>
      <w:r>
        <w:rPr>
          <w:rFonts w:ascii="Palatino Linotype" w:eastAsia="Palatino Linotype" w:hAnsi="Palatino Linotype" w:cs="Palatino Linotype"/>
        </w:rPr>
        <w:lastRenderedPageBreak/>
        <w:t xml:space="preserve">embargo, este punto se limitará a analizar la naturaleza jurídica de los convenios, es decir, si todo su contenido reviste interés público o si en el presente asunto, el Sujeto Obligado o Responsable vulneró el derecho a la protección de datos personales previsto por la Constitución y demás ordenamientos legales aplicables. </w:t>
      </w:r>
    </w:p>
    <w:p w:rsidR="00AB3398" w:rsidRDefault="00AD7FA3">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En primera instancia, debemos recordar que  de las capturas insertadas con antelación, se advierte la existencia de un convenio celebrado por la particular y el Sujeto Obligado, al respecto debe precisarse que el mismo se encuentra publicado en el portal de Información Pública de Oficio Mexiquense (IPOMEX), por lo cual se tiene que pudiera encuadrar el supuesto de ser una obligación de transparencia común, no obstante, al encontrarnos en un conflicto en el que divergen el derecho a la protección de datos personales con el cumplimiento a las obligaciones de transparencia resulta pertinente realizar un ejercicio de ponderación a efecto de determinar el derecho que subsiste.</w:t>
      </w:r>
    </w:p>
    <w:p w:rsidR="00AB3398" w:rsidRDefault="00AD7FA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No escapa de la óptica de este órgano garante que el objeto materia del instrumento jurídico consiste en un </w:t>
      </w:r>
      <w:r>
        <w:rPr>
          <w:rFonts w:ascii="Palatino Linotype" w:eastAsia="Palatino Linotype" w:hAnsi="Palatino Linotype" w:cs="Palatino Linotype"/>
          <w:b/>
        </w:rPr>
        <w:t>convenio para establecer el marco de colaboración en materia de educación dual.</w:t>
      </w:r>
    </w:p>
    <w:p w:rsidR="00AB3398" w:rsidRDefault="00AD7FA3">
      <w:pPr>
        <w:spacing w:before="240" w:after="240" w:line="360" w:lineRule="auto"/>
        <w:rPr>
          <w:rFonts w:ascii="Palatino Linotype" w:eastAsia="Palatino Linotype" w:hAnsi="Palatino Linotype" w:cs="Palatino Linotype"/>
        </w:rPr>
      </w:pPr>
      <w:r>
        <w:rPr>
          <w:rFonts w:ascii="Palatino Linotype" w:eastAsia="Palatino Linotype" w:hAnsi="Palatino Linotype" w:cs="Palatino Linotype"/>
        </w:rPr>
        <w:t>Para mejor proveer del presente estudio, conviene observar lo dispuesto por el portal de la Universidad Tecnológica de Nezahualcóyotl, el cual define a la Educación Dual conforme a la literalidad siguiente:</w:t>
      </w:r>
    </w:p>
    <w:p w:rsidR="00AB3398" w:rsidRDefault="00AD7FA3">
      <w:pPr>
        <w:spacing w:before="240" w:after="240"/>
        <w:ind w:left="567" w:right="1185"/>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“PROGRAMA DE EDUCACIÓN DUAL</w:t>
      </w:r>
    </w:p>
    <w:p w:rsidR="00AB3398" w:rsidRDefault="00AD7FA3">
      <w:pPr>
        <w:spacing w:before="240" w:after="240"/>
        <w:ind w:left="567" w:right="1185"/>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AB3398" w:rsidRDefault="00AD7FA3">
      <w:pPr>
        <w:spacing w:before="240" w:after="240"/>
        <w:ind w:left="567" w:right="1185"/>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modelo dual tiene un 80% del programa educativo en la empresa y el 20% con clases en la Universidad. Con esto, el alumno está la mayor parte del tiempo </w:t>
      </w:r>
      <w:r>
        <w:rPr>
          <w:rFonts w:ascii="Palatino Linotype" w:eastAsia="Palatino Linotype" w:hAnsi="Palatino Linotype" w:cs="Palatino Linotype"/>
          <w:i/>
          <w:sz w:val="22"/>
          <w:szCs w:val="22"/>
        </w:rPr>
        <w:lastRenderedPageBreak/>
        <w:t>adquiriendo conocimientos y habilidades en la empresa, buscando obtener una alta competitividad, profesionalismo y sobre todo con un alto sentido de identificación con la empresa formadora.</w:t>
      </w:r>
    </w:p>
    <w:p w:rsidR="00AB3398" w:rsidRDefault="00AD7FA3">
      <w:pPr>
        <w:spacing w:before="240" w:after="240"/>
        <w:ind w:left="567" w:right="118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alumnos asisten a la empresa de lunes a jueves y a la Universidad el día viernes. En la empresa toman todas las asignaturas de corte tecnológico o técnico de su plan de estudios vigente y en la universidad las asignaturas de formación sociocultural, expresión oral y escrita e inglés, así como algunas materias de matemáticas, física, etc., cuando sea el caso, de acuerdo con el plan de estudios vigente.</w:t>
      </w:r>
    </w:p>
    <w:p w:rsidR="00AB3398" w:rsidRDefault="00AD7FA3">
      <w:pPr>
        <w:spacing w:before="240" w:after="240"/>
        <w:ind w:left="567" w:right="118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Sistema de Educación Dual inicia en el cuarto cuatrimestre y puede terminar en el sexto cuatrimestre de TSU o bien con la opción de continuar en la Ingeniería.”(Sic)</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anteriormente citado se advierte que el objeto generador de la obligación entre las partes es la prestación de un servicio al interior de una empresa, esto con el propósito de fortalecer la formación profesional de la comunidad estudiantil y proporcionar al sector productivo la aportación de soluciones a los problemas que pudieran presentarse al interior de la empresa.</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anterior, debe precisarse que para formalizar esta relación deberá suscribirse un convenio entre la Universidad y la empresa receptora, sobre esta circunstancia, el Reglamento en análisis regula lo siguiente: </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AD7FA3" w:rsidRDefault="00AD7FA3" w:rsidP="00AD7FA3">
      <w:pPr>
        <w:spacing w:line="360" w:lineRule="auto"/>
        <w:ind w:right="-28"/>
        <w:jc w:val="both"/>
        <w:rPr>
          <w:rFonts w:ascii="Palatino Linotype" w:eastAsia="Palatino Linotype" w:hAnsi="Palatino Linotype" w:cs="Palatino Linotype"/>
        </w:rPr>
      </w:pPr>
      <w:r>
        <w:rPr>
          <w:noProof/>
          <w:lang w:val="es-MX"/>
        </w:rPr>
        <w:lastRenderedPageBreak/>
        <mc:AlternateContent>
          <mc:Choice Requires="wps">
            <w:drawing>
              <wp:anchor distT="0" distB="0" distL="114300" distR="114300" simplePos="0" relativeHeight="251660288" behindDoc="0" locked="0" layoutInCell="1" hidden="0" allowOverlap="1" wp14:anchorId="1A2F4F59" wp14:editId="2403C7AD">
                <wp:simplePos x="0" y="0"/>
                <wp:positionH relativeFrom="page">
                  <wp:posOffset>1524000</wp:posOffset>
                </wp:positionH>
                <wp:positionV relativeFrom="paragraph">
                  <wp:posOffset>524510</wp:posOffset>
                </wp:positionV>
                <wp:extent cx="4895850" cy="2076450"/>
                <wp:effectExtent l="19050" t="19050" r="19050" b="19050"/>
                <wp:wrapNone/>
                <wp:docPr id="18" name=""/>
                <wp:cNvGraphicFramePr/>
                <a:graphic xmlns:a="http://schemas.openxmlformats.org/drawingml/2006/main">
                  <a:graphicData uri="http://schemas.microsoft.com/office/word/2010/wordprocessingShape">
                    <wps:wsp>
                      <wps:cNvSpPr/>
                      <wps:spPr>
                        <a:xfrm>
                          <a:off x="0" y="0"/>
                          <a:ext cx="4895850" cy="2076450"/>
                        </a:xfrm>
                        <a:prstGeom prst="rect">
                          <a:avLst/>
                        </a:prstGeom>
                        <a:noFill/>
                        <a:ln w="28575" cap="flat" cmpd="sng">
                          <a:solidFill>
                            <a:srgbClr val="002060"/>
                          </a:solidFill>
                          <a:prstDash val="solid"/>
                          <a:round/>
                          <a:headEnd type="none" w="sm" len="sm"/>
                          <a:tailEnd type="none" w="sm" len="sm"/>
                        </a:ln>
                      </wps:spPr>
                      <wps:txbx>
                        <w:txbxContent>
                          <w:p w:rsidR="00AB3398" w:rsidRDefault="00AB339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w14:anchorId="1A2F4F59" id="_x0000_s1026" style="position:absolute;left:0;text-align:left;margin-left:120pt;margin-top:41.3pt;width:385.5pt;height:163.5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" filled="f" strokecolor="#002060" strokeweight="2.25pt">
                <v:stroke startarrowwidth="narrow" startarrowlength="short" endarrowwidth="narrow" endarrowlength="short" joinstyle="round"/>
                <v:textbox inset="2.53958mm,2.53958mm,2.53958mm,2.53958mm">
                  <w:txbxContent>
                    <w:p w:rsidR="00AB3398" w:rsidRDefault="00AB3398">
                      <w:pPr>
                        <w:textDirection w:val="btLr"/>
                      </w:pPr>
                    </w:p>
                  </w:txbxContent>
                </v:textbox>
                <w10:wrap anchorx="page"/>
              </v:rect>
            </w:pict>
          </mc:Fallback>
        </mc:AlternateContent>
      </w:r>
      <w:r>
        <w:rPr>
          <w:noProof/>
          <w:lang w:val="es-MX"/>
        </w:rPr>
        <w:drawing>
          <wp:anchor distT="0" distB="0" distL="114300" distR="114300" simplePos="0" relativeHeight="251659264" behindDoc="0" locked="0" layoutInCell="1" hidden="0" allowOverlap="1" wp14:anchorId="3B89121B" wp14:editId="148857E6">
            <wp:simplePos x="0" y="0"/>
            <wp:positionH relativeFrom="margin">
              <wp:align>center</wp:align>
            </wp:positionH>
            <wp:positionV relativeFrom="paragraph">
              <wp:posOffset>89535</wp:posOffset>
            </wp:positionV>
            <wp:extent cx="4819650" cy="4343400"/>
            <wp:effectExtent l="0" t="0" r="0" b="0"/>
            <wp:wrapTopAndBottom distT="0" distB="0"/>
            <wp:docPr id="2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819650" cy="4343400"/>
                    </a:xfrm>
                    <a:prstGeom prst="rect">
                      <a:avLst/>
                    </a:prstGeom>
                    <a:ln/>
                  </pic:spPr>
                </pic:pic>
              </a:graphicData>
            </a:graphic>
          </wp:anchor>
        </w:drawing>
      </w:r>
    </w:p>
    <w:p w:rsidR="00AB3398" w:rsidRDefault="00AD7FA3" w:rsidP="00AD7FA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se advierte que el contenido del presente convenio versará únicamente sobre las bases para delimitar los términos en los que se realizarán las estadías al interior de la empresa, así como su supervisión y evaluación. </w:t>
      </w:r>
    </w:p>
    <w:p w:rsidR="00AD7FA3" w:rsidRDefault="00AD7FA3" w:rsidP="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no debemos perder de vista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publicó el convenio íntegro en el portal de Información Pública de Oficio Mexiquense (IPOMEX) por estimar que son susceptibles de considerarse una obligación común de transparencia prevista en el artículo 92, en su fracción XXXVII: </w:t>
      </w:r>
    </w:p>
    <w:p w:rsidR="00AD7FA3" w:rsidRDefault="00AD7FA3" w:rsidP="00AD7FA3">
      <w:pPr>
        <w:spacing w:line="360" w:lineRule="auto"/>
        <w:ind w:right="-28"/>
        <w:jc w:val="both"/>
        <w:rPr>
          <w:rFonts w:ascii="Palatino Linotype" w:eastAsia="Palatino Linotype" w:hAnsi="Palatino Linotype" w:cs="Palatino Linotype"/>
        </w:rPr>
      </w:pP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B3398" w:rsidRDefault="00AD7FA3">
      <w:pPr>
        <w:spacing w:before="240" w:after="240"/>
        <w:ind w:left="567" w:right="118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XXXVII. Los convenios de coordinación, de concertación, entre otros, que suscriban con otros entes de los sectores público, social y privado;”</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(Sic) (Énfasis añadido)</w:t>
      </w:r>
    </w:p>
    <w:p w:rsidR="00AB3398" w:rsidRDefault="00AD7FA3">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Para robustecer este punto, este Instituto estimó pertinente consulta la tabla de aplicabilidad que pertenece al Sujeto Obligado, obteniendo así lo siguiente: </w:t>
      </w:r>
    </w:p>
    <w:p w:rsidR="00AB3398" w:rsidRDefault="00AD7FA3">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791200" cy="1143000"/>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791200" cy="1143000"/>
                    </a:xfrm>
                    <a:prstGeom prst="rect">
                      <a:avLst/>
                    </a:prstGeom>
                    <a:ln/>
                  </pic:spPr>
                </pic:pic>
              </a:graphicData>
            </a:graphic>
          </wp:inline>
        </w:drawing>
      </w:r>
      <w:r>
        <w:rPr>
          <w:noProof/>
          <w:lang w:val="es-MX"/>
        </w:rPr>
        <w:drawing>
          <wp:anchor distT="0" distB="0" distL="114300" distR="114300" simplePos="0" relativeHeight="251661312" behindDoc="0" locked="0" layoutInCell="1" hidden="0" allowOverlap="1">
            <wp:simplePos x="0" y="0"/>
            <wp:positionH relativeFrom="column">
              <wp:posOffset>636</wp:posOffset>
            </wp:positionH>
            <wp:positionV relativeFrom="paragraph">
              <wp:posOffset>1148715</wp:posOffset>
            </wp:positionV>
            <wp:extent cx="5791200" cy="1114425"/>
            <wp:effectExtent l="0" t="0" r="0" b="0"/>
            <wp:wrapTopAndBottom distT="0" dist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791200" cy="1114425"/>
                    </a:xfrm>
                    <a:prstGeom prst="rect">
                      <a:avLst/>
                    </a:prstGeom>
                    <a:ln/>
                  </pic:spPr>
                </pic:pic>
              </a:graphicData>
            </a:graphic>
          </wp:anchor>
        </w:drawing>
      </w:r>
      <w:r>
        <w:rPr>
          <w:noProof/>
          <w:lang w:val="es-MX"/>
        </w:rPr>
        <mc:AlternateContent>
          <mc:Choice Requires="wpg">
            <w:drawing>
              <wp:anchor distT="0" distB="0" distL="114300" distR="114300" simplePos="0" relativeHeight="251662336" behindDoc="0" locked="0" layoutInCell="1" hidden="0" allowOverlap="1">
                <wp:simplePos x="0" y="0"/>
                <wp:positionH relativeFrom="column">
                  <wp:posOffset>2222500</wp:posOffset>
                </wp:positionH>
                <wp:positionV relativeFrom="paragraph">
                  <wp:posOffset>2032000</wp:posOffset>
                </wp:positionV>
                <wp:extent cx="3581400" cy="266700"/>
                <wp:effectExtent l="0" t="0" r="0" b="0"/>
                <wp:wrapNone/>
                <wp:docPr id="16" name=""/>
                <wp:cNvGraphicFramePr/>
                <a:graphic xmlns:a="http://schemas.openxmlformats.org/drawingml/2006/main">
                  <a:graphicData uri="http://schemas.microsoft.com/office/word/2010/wordprocessingShape">
                    <wps:wsp>
                      <wps:cNvSpPr/>
                      <wps:spPr>
                        <a:xfrm>
                          <a:off x="3574350" y="3665700"/>
                          <a:ext cx="3543300" cy="228600"/>
                        </a:xfrm>
                        <a:prstGeom prst="rect">
                          <a:avLst/>
                        </a:prstGeom>
                        <a:noFill/>
                        <a:ln w="38100" cap="flat" cmpd="sng">
                          <a:solidFill>
                            <a:srgbClr val="002060"/>
                          </a:solidFill>
                          <a:prstDash val="solid"/>
                          <a:round/>
                          <a:headEnd type="none" w="sm" len="sm"/>
                          <a:tailEnd type="none" w="sm" len="sm"/>
                        </a:ln>
                      </wps:spPr>
                      <wps:txbx>
                        <w:txbxContent>
                          <w:p w:rsidR="00AB3398" w:rsidRDefault="00AB339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2222500</wp:posOffset>
                </wp:positionH>
                <wp:positionV relativeFrom="paragraph">
                  <wp:posOffset>2032000</wp:posOffset>
                </wp:positionV>
                <wp:extent cx="3581400" cy="266700"/>
                <wp:effectExtent b="0" l="0" r="0" t="0"/>
                <wp:wrapNone/>
                <wp:docPr id="16"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3581400" cy="266700"/>
                        </a:xfrm>
                        <a:prstGeom prst="rect"/>
                        <a:ln/>
                      </pic:spPr>
                    </pic:pic>
                  </a:graphicData>
                </a:graphic>
              </wp:anchor>
            </w:drawing>
          </mc:Fallback>
        </mc:AlternateContent>
      </w:r>
    </w:p>
    <w:p w:rsidR="00AB3398" w:rsidRDefault="00AB3398">
      <w:pPr>
        <w:spacing w:before="240" w:after="240" w:line="360" w:lineRule="auto"/>
        <w:ind w:right="-93"/>
        <w:jc w:val="both"/>
        <w:rPr>
          <w:rFonts w:ascii="Palatino Linotype" w:eastAsia="Palatino Linotype" w:hAnsi="Palatino Linotype" w:cs="Palatino Linotype"/>
        </w:rPr>
      </w:pPr>
    </w:p>
    <w:p w:rsidR="00AB3398" w:rsidRDefault="00AD7FA3">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en un ejercicio de interpretación exegética de la normatividad y a la tabla insertada con antelación se desprende que  los convenios en análisis, cargados al portal IPOMEX se cargaron con el propósito  de cumplir con las obligaciones de transparencia comunes, no obstante, los Lineamientos Técnicos Generales para la publicación, homologación y estandarización de la información de las obligaciones establecidas en el Título Quinto y en la fracción IV del artículo 31 de la Ley General de Transparencia y </w:t>
      </w:r>
      <w:r>
        <w:rPr>
          <w:rFonts w:ascii="Palatino Linotype" w:eastAsia="Palatino Linotype" w:hAnsi="Palatino Linotype" w:cs="Palatino Linotype"/>
        </w:rPr>
        <w:lastRenderedPageBreak/>
        <w:t xml:space="preserve">Acceso a la Información Pública, que deben de difundir los sujetos obligados en los portales de Internet y en la Plataforma Nacional de Transparencia prevén los criterios que deberán atender los Sujetos Obligados al momento de publicación de los contratos o convenios para dar cumplimiento a esta fracción, es por ello que a efecto de robustecer el presente análisis, se trae a colación la siguiente cita: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XXXIII. Los convenios de coordinación de concertación con los sectores social y privado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Todos los sujetos obligados deberán publicar la información relativa a cualquier convenio de coordinación que suscriban para lograr los objetivos de la planeación nacional del desarrollo. </w:t>
      </w:r>
    </w:p>
    <w:p w:rsidR="00AB3398" w:rsidRDefault="00AD7FA3">
      <w:pPr>
        <w:spacing w:before="240" w:after="240"/>
        <w:ind w:left="567" w:right="118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Se entenderá que los convenios de coordinación se celebran entre los organismos públicos de la federación, las entidades federativas y los municipios; </w:t>
      </w:r>
      <w:r>
        <w:rPr>
          <w:rFonts w:ascii="Palatino Linotype" w:eastAsia="Palatino Linotype" w:hAnsi="Palatino Linotype" w:cs="Palatino Linotype"/>
          <w:b/>
          <w:i/>
          <w:sz w:val="22"/>
          <w:szCs w:val="22"/>
          <w:u w:val="single"/>
        </w:rPr>
        <w:t xml:space="preserve">en tanto que los de concertación son celebrados con los sectores social y privado, tanto en el ámbito nacional como internacional.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de los convenios de coordinación se deberán incluir de manera enunciativa más no limitativa, los convenios que, con base en la Ley de Coordinación Fiscal, se llevan a cabo con la Secretaría de Hacienda y Crédito Público para ser parte del Sistema Nacional de Coordinación Fiscal; los realizados para la fiscalización de recursos; para el desarrollo de programas educativos, de salud, de medio ambiente; entre otros. </w:t>
      </w:r>
    </w:p>
    <w:p w:rsidR="00AB3398" w:rsidRDefault="00AD7FA3">
      <w:pPr>
        <w:spacing w:before="240" w:after="240"/>
        <w:ind w:left="567" w:right="118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Se incluirá un hipervínculo al documento completo del convenio en su versión final. El sujeto obligado cuidará que, en caso de que el cuerpo del instrumento jurídico contenga información reservada y/o datos personales, se elabore una versión pública del mismo para su difusión.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 importante precisar que, en esta fracción no se publicarán los convenios modificatorios relacionados con los procedimientos de adjudicación directa, invitación restringida, ni licitaciones de cualquier naturaleza. </w:t>
      </w:r>
    </w:p>
    <w:p w:rsidR="00AB3398" w:rsidRDefault="00AD7FA3">
      <w:pPr>
        <w:spacing w:before="240" w:after="240"/>
        <w:ind w:left="567" w:right="118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Periodo de actualización: trimestral </w:t>
      </w:r>
    </w:p>
    <w:p w:rsidR="00AB3398" w:rsidRDefault="00AD7FA3">
      <w:pPr>
        <w:spacing w:before="240" w:after="240"/>
        <w:ind w:left="567" w:right="118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lastRenderedPageBreak/>
        <w:t xml:space="preserve">Conservar en el sitio de Internet: información del ejercicio en curso, la correspondiente al ejercicio anterior y los instrumentos jurídicos vigentes aun cuando éstos sean de ejercicios anteriores.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Aplica a: todos los sujetos obligados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Criterios sustantivos de contenido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1 Ejercicio </w:t>
      </w:r>
    </w:p>
    <w:p w:rsidR="00AB3398" w:rsidRDefault="00AD7FA3">
      <w:pPr>
        <w:spacing w:before="240" w:after="240"/>
        <w:ind w:left="567" w:right="118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Criterio 2 Periodo que se informa (fecha de inicio y fecha de término con el formato día/mes/año) </w:t>
      </w:r>
    </w:p>
    <w:p w:rsidR="00AB3398" w:rsidRDefault="00AD7FA3">
      <w:pPr>
        <w:spacing w:before="240" w:after="240"/>
        <w:ind w:left="567" w:right="118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Criterio 3 Tipo de convenio (catálogo): de coordinación con el sector social/de coordinación con el sector privado/de concertación con el sector social/de concertación con el sector privado </w:t>
      </w:r>
    </w:p>
    <w:p w:rsidR="00AB3398" w:rsidRDefault="00AD7FA3">
      <w:pPr>
        <w:spacing w:before="240" w:after="240"/>
        <w:ind w:left="567" w:right="118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Criterio 4 Denominación del convenio </w:t>
      </w:r>
    </w:p>
    <w:p w:rsidR="00AB3398" w:rsidRDefault="00AD7FA3">
      <w:pPr>
        <w:spacing w:before="240" w:after="240"/>
        <w:ind w:left="567" w:right="1183"/>
        <w:jc w:val="both"/>
        <w:rPr>
          <w:rFonts w:ascii="Palatino Linotype" w:eastAsia="Palatino Linotype" w:hAnsi="Palatino Linotype" w:cs="Palatino Linotype"/>
        </w:rPr>
      </w:pPr>
      <w:r>
        <w:rPr>
          <w:rFonts w:ascii="Palatino Linotype" w:eastAsia="Palatino Linotype" w:hAnsi="Palatino Linotype" w:cs="Palatino Linotype"/>
          <w:i/>
          <w:sz w:val="22"/>
          <w:szCs w:val="22"/>
        </w:rPr>
        <w:t>Criterio 5 Fecha de firma del convenio con el</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formato día/mes/año</w:t>
      </w:r>
      <w:r>
        <w:rPr>
          <w:rFonts w:ascii="Palatino Linotype" w:eastAsia="Palatino Linotype" w:hAnsi="Palatino Linotype" w:cs="Palatino Linotype"/>
          <w:sz w:val="22"/>
          <w:szCs w:val="22"/>
        </w:rPr>
        <w:t xml:space="preserve">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6 Nombre del área(s) responsable(s) de dar seguimiento al convenio </w:t>
      </w:r>
    </w:p>
    <w:p w:rsidR="00AB3398" w:rsidRDefault="00AD7FA3">
      <w:pPr>
        <w:spacing w:before="240" w:after="240"/>
        <w:ind w:left="567" w:right="118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Criterio 7 Con quién se celebra el convenio nombre(s), primer apellido, segundo apellido en caso de persona física; razón social si es persona moral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8 Objetivo(s) del convenio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9 Fuente de los recursos que se emplearán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10 Descripción y/o monto de los recursos públicos entregados en efectivo, especie o donativos, en su caso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11 Vigencia del convenio: Inicio y término, ambos datos expresados en el formato día/mes/año. En el caso de la fecha de término se considerará también la opción de registrar la palabra “abierta”, para aquellos casos en que la vigencia de un convenio no se especifique en su texto y, por ende, tenga esta característica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12 Fecha de publicación en el Diario Oficial de la Federación u otro medio homólogo con el formato día/mes/año. Para los casos en que el convenio no hubiere sido publicado por un medio oficial, se contemplará la opción de registrar una nota que señale que no fue publicado en medio oficial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Criterio 13 Hipervínculo al documento, en su caso a la versión pública o 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documento signado</w:t>
      </w:r>
      <w:r>
        <w:rPr>
          <w:rFonts w:ascii="Palatino Linotype" w:eastAsia="Palatino Linotype" w:hAnsi="Palatino Linotype" w:cs="Palatino Linotype"/>
          <w:i/>
          <w:sz w:val="22"/>
          <w:szCs w:val="22"/>
        </w:rPr>
        <w:t xml:space="preserve">, si es que no existe la publicación en periódico oficial Respecto de los convenios que hayan tenido modificaciones: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14 Hipervínculo al documento con las modificaciones realizadas, en su caso Criterios adjetivos de actualización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15 Periodo de actualización de la información: trimestral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16 La información deberá estar actualizada al periodo que corresponde, de acuerdo con la Tabla de actualización y conservación de la información”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(Sic) (Énfasis añadido)</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la cita realizada en páginas anteriores, se puede visualizar que los Lineamientos en referencia mandatan a los Sujetos Obligados que en el caso que adviertan información reservada o datos personales, deberá realizarse una versión pública, esto previendo que la información pueda ser difundida por terceros y no se vulnere a los particulares en su esfera privada.</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todo lo expuesto hasta este punto que se estima que si bien, el Sujeto Obligado se encontraba dando cumplimiento a la normatividad en materia de transparencia como ya se analizó, cierto es también que, al tratar datos personales, no debió dejar de observar lo previsto por la legislación aplicable, vigente en la entidad en materia de protección de datos personales y formular la respectiva versión pública a efecto de dar cumplimiento a lo que dispone la normatividad en materia de transparencia sin dejar de observar las reglas mínimas que operan en el derecho de protección de datos personales. </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particular, no se debe perder de vista que el convenio AG/CONV/379/17 tiene por objeto vincular con el sector productivo a educandos, del nivel superior, que imparten los organismos públicos descentralizados de carácter estatal que forman </w:t>
      </w:r>
      <w:r>
        <w:rPr>
          <w:rFonts w:ascii="Palatino Linotype" w:eastAsia="Palatino Linotype" w:hAnsi="Palatino Linotype" w:cs="Palatino Linotype"/>
        </w:rPr>
        <w:lastRenderedPageBreak/>
        <w:t>parte del sistema educativo del Estado de México, bajo la modalidad educando-practicante, en la modalidad de estudio dual, a fin de contribuir en su formación profesional.</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ahí que se justifique la publicación del convenio celebrado entre la particular y el Sujeto Obligado, ello en razón de que se insiste, estamos ante un convenio que sienta las bases de una colaboración educativa-profesional entre el sector público y privado mediante el cual, los educandos podrán emplear los conocimientos adquiridos en las aulas a una realidad dentro del sector productivo para obtener posteriormente la documentación que oficialice la aplicación de las habilidades y aptitudes necesarias para la solución de problemas al interior de la empresa, es de precisar que dicho convenio en esencia constituye una obligación de transparencia como ya se apuntó debidamente en líneas argumentativas anteriores, no obstante, en páginas subsecuentes se analizará si los datos personales que se dejaron visibles en el referido convenio reviste interés público o por el contrario, si nos encontramos ante una vulneración al derecho fundamental de protección de datos personales de la particular.</w:t>
      </w:r>
    </w:p>
    <w:p w:rsidR="00AB3398" w:rsidRDefault="00AD7FA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3.- Determinación de un tratamiento de datos personales así como procedencia del derecho a la cancelación</w:t>
      </w:r>
    </w:p>
    <w:p w:rsidR="00AB3398" w:rsidRDefault="00AD7FA3">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primera instancia para determinar que el Sujeto Obligado realiza un tratamiento de datos personales, es necesario iniciar resaltando que el derecho a la protección de datos personales en su modalidad de cancelación, está tutelado a partir  de lo dispuesto  por  los  artículos  6, apartado  A, fracción  II, así  como 16 de la Constitución Política  de  </w:t>
      </w:r>
      <w:r>
        <w:rPr>
          <w:rFonts w:ascii="Palatino Linotype" w:eastAsia="Palatino Linotype" w:hAnsi="Palatino Linotype" w:cs="Palatino Linotype"/>
          <w:color w:val="000000"/>
        </w:rPr>
        <w:lastRenderedPageBreak/>
        <w:t>los  Estados   Unidos   Mexicanos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en cuyo texto refiere que </w:t>
      </w:r>
      <w:r>
        <w:rPr>
          <w:rFonts w:ascii="Palatino Linotype" w:eastAsia="Palatino Linotype" w:hAnsi="Palatino Linotype" w:cs="Palatino Linotype"/>
          <w:color w:val="000000"/>
        </w:rPr>
        <w:t xml:space="preserve">toda   persona,  sin excepción alguna, tiene derecho de acceder de forma gratuita a sus datos personales o a la rectificación de éstos, a </w:t>
      </w:r>
      <w:r>
        <w:rPr>
          <w:rFonts w:ascii="Palatino Linotype" w:eastAsia="Palatino Linotype" w:hAnsi="Palatino Linotype" w:cs="Palatino Linotype"/>
        </w:rPr>
        <w:t>su protección, al acceso, rectificación y cancelación de los mismos, así como a manifestar su oposición.</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manera complementaría  deben analizarse las reglas concernientes al ejercicio de los derechos ARCO; de esta manera, se destaca el contenido de los artículos 4 y 97 de </w:t>
      </w:r>
      <w:r>
        <w:rPr>
          <w:rFonts w:ascii="Palatino Linotype" w:eastAsia="Palatino Linotype" w:hAnsi="Palatino Linotype" w:cs="Palatino Linotype"/>
          <w:color w:val="000000"/>
        </w:rPr>
        <w:t xml:space="preserve">la Ley de Protección de Datos Personales en Posesión de Sujetos Obligados del Estado de México y Municipios, expone: </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 Para los efectos de esta Ley se entenderá por:</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w:t>
      </w:r>
      <w:r>
        <w:rPr>
          <w:rFonts w:ascii="Palatino Linotype" w:eastAsia="Palatino Linotype" w:hAnsi="Palatino Linotype" w:cs="Palatino Linotype"/>
          <w:b/>
          <w:i/>
          <w:sz w:val="22"/>
          <w:szCs w:val="22"/>
        </w:rPr>
        <w:t>Datos personales</w:t>
      </w:r>
      <w:r>
        <w:rPr>
          <w:rFonts w:ascii="Palatino Linotype" w:eastAsia="Palatino Linotype" w:hAnsi="Palatino Linotype" w:cs="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B3398" w:rsidRDefault="00AD7FA3">
      <w:pPr>
        <w:spacing w:before="240" w:after="240"/>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XIII. </w:t>
      </w:r>
      <w:r>
        <w:rPr>
          <w:rFonts w:ascii="Palatino Linotype" w:eastAsia="Palatino Linotype" w:hAnsi="Palatino Linotype" w:cs="Palatino Linotype"/>
          <w:b/>
          <w:i/>
          <w:color w:val="000000"/>
          <w:sz w:val="22"/>
          <w:szCs w:val="22"/>
        </w:rPr>
        <w:t>Derechos ARCO:</w:t>
      </w:r>
      <w:r>
        <w:rPr>
          <w:rFonts w:ascii="Palatino Linotype" w:eastAsia="Palatino Linotype" w:hAnsi="Palatino Linotype" w:cs="Palatino Linotype"/>
          <w:i/>
          <w:color w:val="000000"/>
          <w:sz w:val="22"/>
          <w:szCs w:val="22"/>
        </w:rPr>
        <w:t xml:space="preserve"> a los derechos de Acceso, Rectificación, Cancelación y Oposición al tratamiento de datos personales.</w:t>
      </w:r>
    </w:p>
    <w:p w:rsidR="00AB3398" w:rsidRDefault="00AD7FA3">
      <w:pPr>
        <w:spacing w:before="240" w:after="240"/>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AB3398" w:rsidRDefault="00AD7FA3">
      <w:pPr>
        <w:spacing w:before="240" w:after="240"/>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XLI. Responsable: a los sujetos obligados a que se refiere la presente Ley que deciden sobre el tratamiento de los datos personales</w:t>
      </w:r>
      <w:r>
        <w:rPr>
          <w:rFonts w:ascii="Palatino Linotype" w:eastAsia="Palatino Linotype" w:hAnsi="Palatino Linotype" w:cs="Palatino Linotype"/>
          <w:i/>
          <w:color w:val="000000"/>
          <w:sz w:val="22"/>
          <w:szCs w:val="22"/>
        </w:rPr>
        <w:t>.</w:t>
      </w:r>
    </w:p>
    <w:p w:rsidR="00AB3398" w:rsidRDefault="00AD7FA3">
      <w:pPr>
        <w:spacing w:before="240" w:after="240"/>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AB3398" w:rsidRDefault="00AD7FA3">
      <w:pPr>
        <w:spacing w:before="240" w:after="240"/>
        <w:ind w:left="567" w:right="1183"/>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i/>
          <w:color w:val="000000"/>
          <w:sz w:val="22"/>
          <w:szCs w:val="22"/>
        </w:rPr>
        <w:t>L</w:t>
      </w:r>
      <w:r>
        <w:rPr>
          <w:rFonts w:ascii="Palatino Linotype" w:eastAsia="Palatino Linotype" w:hAnsi="Palatino Linotype" w:cs="Palatino Linotype"/>
          <w:b/>
          <w:i/>
          <w:color w:val="000000"/>
          <w:sz w:val="22"/>
          <w:szCs w:val="22"/>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Pr>
          <w:rFonts w:ascii="Palatino Linotype" w:eastAsia="Palatino Linotype" w:hAnsi="Palatino Linotype" w:cs="Palatino Linotype"/>
          <w:b/>
          <w:i/>
          <w:color w:val="000000"/>
          <w:sz w:val="22"/>
          <w:szCs w:val="22"/>
          <w:u w:val="single"/>
        </w:rPr>
        <w:t>.</w:t>
      </w:r>
    </w:p>
    <w:p w:rsidR="00AB3398" w:rsidRDefault="00AD7FA3">
      <w:pPr>
        <w:spacing w:before="240" w:after="240"/>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97. Los derechos de acceso, rectificación, cancelación y oposición de datos personales son derechos independientes. </w:t>
      </w:r>
      <w:r>
        <w:rPr>
          <w:rFonts w:ascii="Palatino Linotype" w:eastAsia="Palatino Linotype" w:hAnsi="Palatino Linotype" w:cs="Palatino Linotype"/>
          <w:b/>
          <w:i/>
          <w:sz w:val="22"/>
          <w:szCs w:val="22"/>
        </w:rPr>
        <w:t>El ejercicio de cualquiera de ellos no es requisito previo no impide el ejercicio de otro</w:t>
      </w:r>
      <w:r>
        <w:rPr>
          <w:rFonts w:ascii="Palatino Linotype" w:eastAsia="Palatino Linotype" w:hAnsi="Palatino Linotype" w:cs="Palatino Linotype"/>
          <w:i/>
          <w:sz w:val="22"/>
          <w:szCs w:val="22"/>
        </w:rPr>
        <w:t>. La procedencia de estos derechos, en su caso, se hará efectiva una vez que el titular o su representante legal acrediten su identidad o representación, respectivamente.</w:t>
      </w:r>
    </w:p>
    <w:p w:rsidR="00AB3398" w:rsidRDefault="00AD7FA3">
      <w:pPr>
        <w:spacing w:before="240" w:after="240"/>
        <w:ind w:left="567" w:right="1183"/>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(Sic)</w:t>
      </w:r>
    </w:p>
    <w:p w:rsidR="00AB3398" w:rsidRDefault="00AD7FA3">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De los anteriores preceptos se advierte que,  </w:t>
      </w:r>
      <w:r>
        <w:rPr>
          <w:rFonts w:ascii="Palatino Linotype" w:eastAsia="Palatino Linotype" w:hAnsi="Palatino Linotype" w:cs="Palatino Linotype"/>
          <w:color w:val="000000"/>
        </w:rPr>
        <w:t xml:space="preserve">por  datos  personales se  entenderá a la  información  concerniente  a  una persona física identificada o identificable; y se considera que una persona es </w:t>
      </w:r>
      <w:r>
        <w:rPr>
          <w:rFonts w:ascii="Palatino Linotype" w:eastAsia="Palatino Linotype" w:hAnsi="Palatino Linotype" w:cs="Palatino Linotype"/>
          <w:b/>
          <w:color w:val="000000"/>
        </w:rPr>
        <w:t>identificable cuando su identidad pueda determinarse directa o indirectamente a través de cualquier información</w:t>
      </w:r>
      <w:r>
        <w:rPr>
          <w:rFonts w:ascii="Palatino Linotype" w:eastAsia="Palatino Linotype" w:hAnsi="Palatino Linotype" w:cs="Palatino Linotype"/>
          <w:color w:val="000000"/>
        </w:rPr>
        <w:t>.</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debe apuntarse que el tratamiento será cuando se efectúen operaciones ya sea por procedimientos manuales o automatizados aplicados a los datos personales, relacionadas </w:t>
      </w:r>
      <w:r>
        <w:rPr>
          <w:rFonts w:ascii="Palatino Linotype" w:eastAsia="Palatino Linotype" w:hAnsi="Palatino Linotype" w:cs="Palatino Linotype"/>
          <w:b/>
          <w:u w:val="single"/>
        </w:rPr>
        <w:t xml:space="preserve">con la obtención, uso, registro, organización, conservación, elaboración, </w:t>
      </w:r>
      <w:r>
        <w:rPr>
          <w:rFonts w:ascii="Palatino Linotype" w:eastAsia="Palatino Linotype" w:hAnsi="Palatino Linotype" w:cs="Palatino Linotype"/>
          <w:b/>
          <w:u w:val="single"/>
        </w:rPr>
        <w:lastRenderedPageBreak/>
        <w:t>utilización, comunicación, difusión, almacenamiento, posesión, acceso, manejo, aprovechamiento, divulgación, transferencia o disposición de datos personales.</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esa tesitura, los preceptos legales de mérito establecen que en todo momento el titular de la información que se encuentra en posesión de un sujeto obligado, tiene oportunidad de ejercer sus derechos ARCO y lo más importante es que la autoridad tiene la obligación de dar a conocer la información relacionada con su tratamiento, disposición y destino.</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en el caso concreto debe apuntarse que la Universidad Tecnológica de Nezahualcóyotl de origen recogió los datos personales de la titular, con motivo de la celebración del convenio de colaboración, asimismo, con su publicación en el portal de Información Pública de Oficio Mexiquense (IPOMEX), se tiene que </w:t>
      </w:r>
      <w:proofErr w:type="spellStart"/>
      <w:r>
        <w:rPr>
          <w:rFonts w:ascii="Palatino Linotype" w:eastAsia="Palatino Linotype" w:hAnsi="Palatino Linotype" w:cs="Palatino Linotype"/>
          <w:b/>
        </w:rPr>
        <w:t>actualiza</w:t>
      </w:r>
      <w:proofErr w:type="spellEnd"/>
      <w:r>
        <w:rPr>
          <w:rFonts w:ascii="Palatino Linotype" w:eastAsia="Palatino Linotype" w:hAnsi="Palatino Linotype" w:cs="Palatino Linotype"/>
          <w:b/>
        </w:rPr>
        <w:t xml:space="preserve"> la figura de una modalidad de tratamiento de datos personales</w:t>
      </w:r>
      <w:r>
        <w:rPr>
          <w:rFonts w:ascii="Palatino Linotype" w:eastAsia="Palatino Linotype" w:hAnsi="Palatino Linotype" w:cs="Palatino Linotype"/>
        </w:rPr>
        <w:t>, en tal virtud es innegable que deban ajustarse a los deberes y principios en materia de protección de datos personales contemplados tanto en la Ley General de Protección de Datos Personales en Posesión de Sujetos Obligados, así como en nuestra legislación local en la materia y demás disposiciones aplicables, por lo tanto, deberá permitirse el ejercicio de los derechos ARCO.</w:t>
      </w:r>
    </w:p>
    <w:p w:rsidR="00AB3398" w:rsidRDefault="00AD7FA3">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Expuesto lo anterior, no debemos perder de vista que la particular expresó como razones para solicitar la cancelación de sus datos, lo siguiente: </w:t>
      </w:r>
      <w:r>
        <w:rPr>
          <w:rFonts w:ascii="Palatino Linotype" w:eastAsia="Palatino Linotype" w:hAnsi="Palatino Linotype" w:cs="Palatino Linotype"/>
          <w:i/>
        </w:rPr>
        <w:t xml:space="preserve">“NO AUTORICÉ A QUE SE PUBLICARA UN CONTRATO QUE CELEBRÉ CON LA UNIVESIDAD TECNOLÓGINA DE NEZAHUALCOYOTL EN EL CUAL APARECEN MIS DATOS PERSONALES COMO NOMBRE, DIRECCIÓN PARTICULAR, RFC Y FIRMA PORQUE PONE EN RIESGO MI INTEGRIDAD FÍSICA, DADO QUE HE RECIBIDO LLAMADAS </w:t>
      </w:r>
      <w:r>
        <w:rPr>
          <w:rFonts w:ascii="Palatino Linotype" w:eastAsia="Palatino Linotype" w:hAnsi="Palatino Linotype" w:cs="Palatino Linotype"/>
          <w:i/>
        </w:rPr>
        <w:lastRenderedPageBreak/>
        <w:t>DE EXTORSIÓN Y ME URGE QUE LO QUITEN DE SU PÁGINA Y DE INTERNET.” (Sic)</w:t>
      </w:r>
      <w:r>
        <w:rPr>
          <w:rFonts w:ascii="Palatino Linotype" w:eastAsia="Palatino Linotype" w:hAnsi="Palatino Linotype" w:cs="Palatino Linotype"/>
        </w:rPr>
        <w:t xml:space="preserve"> adjuntando para tales efectos el archivo digital </w:t>
      </w:r>
      <w:r>
        <w:rPr>
          <w:rFonts w:ascii="Palatino Linotype" w:eastAsia="Palatino Linotype" w:hAnsi="Palatino Linotype" w:cs="Palatino Linotype"/>
          <w:b/>
          <w:i/>
          <w:color w:val="000000"/>
        </w:rPr>
        <w:t>“</w:t>
      </w:r>
      <w:hyperlink r:id="rId19">
        <w:r>
          <w:rPr>
            <w:rFonts w:ascii="Palatino Linotype" w:eastAsia="Palatino Linotype" w:hAnsi="Palatino Linotype" w:cs="Palatino Linotype"/>
            <w:b/>
            <w:i/>
            <w:color w:val="000000"/>
          </w:rPr>
          <w:t>CONTRATO UTN.pdf</w:t>
        </w:r>
      </w:hyperlink>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 xml:space="preserve">consistente en el convenio AG/CONV/379/17, signado entre la Recurrente y la Universidad Tecnológica de Nezahualcóyotl. </w:t>
      </w:r>
    </w:p>
    <w:p w:rsidR="00AB3398" w:rsidRDefault="00AD7FA3">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rPr>
        <w:t>De tal suerte que en un ejercicio de interpretación exegética a lo vertido por la recurrente al momento de formular su solicitud de cancelación ante el Sujeto Obligado, se advierte que nos encontramos ante la procedencia del ejercicio de derecho de oposición y no así ante el derecho de cancelación, toda vez que como se advierte de sus manifestaciones</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i/>
          <w:highlight w:val="white"/>
        </w:rPr>
        <w:t xml:space="preserve">“NO AUTORICÉ A QUE SE PUBLICARA UN CONTRATO QUE CELEBRÉ CON LA UNIVESIDAD TECNOLÓGINA DE NEZAHUALCOYOTL EN EL CUAL APARECEN MIS DATOS PERSONALES COMO NOMBRE, DIRECCIÓN PARTICULAR, RFC Y FIRMA PORQUE PONE EN RIESGO MI INTEGRIDAD FÍSICA, DADO QUE HE RECIBIDO LLAMADAS DE EXTORSIÓN Y ME URGE QUE LO QUITEN DE SU PÁGINA Y DE INTERNET.” (Sic), </w:t>
      </w:r>
      <w:r>
        <w:rPr>
          <w:rFonts w:ascii="Palatino Linotype" w:eastAsia="Palatino Linotype" w:hAnsi="Palatino Linotype" w:cs="Palatino Linotype"/>
          <w:highlight w:val="white"/>
        </w:rPr>
        <w:t>se advierte que requiere la eliminación del convenio del portal IPOMEX del Sujeto Obligado así como de internet, es de precisar que esta circunstancia encuentra</w:t>
      </w:r>
      <w:r>
        <w:rPr>
          <w:rFonts w:ascii="Palatino Linotype" w:eastAsia="Palatino Linotype" w:hAnsi="Palatino Linotype" w:cs="Palatino Linotype"/>
        </w:rPr>
        <w:t xml:space="preserve"> sustento en los preceptos legales de nuestra normatividad en materia de protección de datos personales vigente en la entidad que a continuación se citan para mejor proveer del estudio: </w:t>
      </w:r>
    </w:p>
    <w:p w:rsidR="00AB3398" w:rsidRDefault="00AD7FA3">
      <w:pPr>
        <w:spacing w:before="240" w:after="240"/>
        <w:ind w:left="567" w:right="1183"/>
        <w:jc w:val="both"/>
        <w:rPr>
          <w:rFonts w:ascii="Palatino Linotype" w:eastAsia="Palatino Linotype" w:hAnsi="Palatino Linotype" w:cs="Palatino Linotype"/>
          <w:b/>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b/>
          <w:i/>
          <w:sz w:val="22"/>
          <w:szCs w:val="22"/>
        </w:rPr>
        <w:t>Artículo 100. El titular tendrá derecho a solicitar la cancelación de sus datos personales de los archivos, registros, expedientes y sistemas del responsable a fin que los mismos ya no estén en su posesión y dejen de ser tratados por este último.</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Sin perjuicio de lo que disponga la normatividad aplicable al caso concreto, el responsable procederá a la cancelación de datos, previo bloqueo de los mismos, cuando hayan transcurrido los plazos establecidos por los instrumentos de control archivísticos aplicables.</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Cuando los datos personales hubiesen sido transferidos con anterioridad a la fecha de cancelación, dichas cancelaciones deberán hacerse del conocimiento de los destinatarios, quienes deberán realizar también la cancelación correspondientes.</w:t>
      </w:r>
    </w:p>
    <w:p w:rsidR="00AB3398" w:rsidRDefault="00AD7FA3">
      <w:pPr>
        <w:spacing w:before="240" w:after="240"/>
        <w:ind w:left="567" w:right="118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103. El titular tendrá derecho en todo momento y por razones legítimas a oponerse al tratamiento de sus datos personales, para una o varias finalidades o exigir que cese el mismo, en los supuestos siguientes:</w:t>
      </w:r>
    </w:p>
    <w:p w:rsidR="00AB3398" w:rsidRDefault="00AD7FA3">
      <w:pPr>
        <w:numPr>
          <w:ilvl w:val="0"/>
          <w:numId w:val="8"/>
        </w:numPr>
        <w:spacing w:before="240" w:after="240" w:line="259" w:lineRule="auto"/>
        <w:ind w:left="567" w:right="1183" w:hanging="1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los datos se hubiesen recabado sin su consentimiento y éste resultara exigible en términos de esta Ley y disposiciones aplicables.</w:t>
      </w:r>
    </w:p>
    <w:p w:rsidR="00AB3398" w:rsidRDefault="00AD7FA3">
      <w:pPr>
        <w:numPr>
          <w:ilvl w:val="0"/>
          <w:numId w:val="8"/>
        </w:numPr>
        <w:spacing w:before="240" w:after="240" w:line="259" w:lineRule="auto"/>
        <w:ind w:left="567" w:right="1183" w:hanging="1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Aun siendo lícito el tratamiento, el mismo debe cesar para evitar que su persistencia cause un daño o perjuicio al titular.</w:t>
      </w:r>
    </w:p>
    <w:p w:rsidR="00AB3398" w:rsidRDefault="00AD7FA3">
      <w:pPr>
        <w:numPr>
          <w:ilvl w:val="0"/>
          <w:numId w:val="8"/>
        </w:numPr>
        <w:spacing w:before="240" w:after="240" w:line="259" w:lineRule="auto"/>
        <w:ind w:left="567" w:right="1183" w:hanging="1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rsidR="00AB3398" w:rsidRDefault="00AD7FA3">
      <w:pPr>
        <w:numPr>
          <w:ilvl w:val="0"/>
          <w:numId w:val="8"/>
        </w:numPr>
        <w:spacing w:before="240" w:after="240" w:line="259" w:lineRule="auto"/>
        <w:ind w:left="567" w:right="1183" w:hanging="1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el titular identifique que se han asociado datos personales o se le ha identificado con un registro del cuál no sea titular o se le incluya dentro de un sistema de datos personales en el cual no tenga correspondencia.</w:t>
      </w:r>
    </w:p>
    <w:p w:rsidR="00AB3398" w:rsidRDefault="00AD7FA3">
      <w:pPr>
        <w:numPr>
          <w:ilvl w:val="0"/>
          <w:numId w:val="8"/>
        </w:numPr>
        <w:spacing w:before="240" w:after="240" w:line="259" w:lineRule="auto"/>
        <w:ind w:left="567" w:right="1183" w:hanging="1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existan motivos fundados para ello y la Ley no disponga lo contrario.</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(Sic)</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Con el propósito de robustecer el presente estudio no se omite señalar que tanto el Derecho de Oposición como el derecho a la Cancelación de los datos personales forman parte de los denominados derechos ARCO (Acceso, rectificación, cancelación y oposición). Estos derechos forman el núcleo esencial del denominado “Derecho Fundamental a la Protección de Datos”</w:t>
      </w:r>
      <w:r>
        <w:rPr>
          <w:rFonts w:ascii="Palatino Linotype" w:eastAsia="Palatino Linotype" w:hAnsi="Palatino Linotype" w:cs="Palatino Linotype"/>
          <w:vertAlign w:val="superscript"/>
        </w:rPr>
        <w:t xml:space="preserve"> </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regulados para los sujetos obligados tanto en </w:t>
      </w:r>
      <w:r>
        <w:rPr>
          <w:rFonts w:ascii="Palatino Linotype" w:eastAsia="Palatino Linotype" w:hAnsi="Palatino Linotype" w:cs="Palatino Linotype"/>
        </w:rPr>
        <w:lastRenderedPageBreak/>
        <w:t xml:space="preserve">la Ley General de Protección de Datos Personales como en la Ley de Protección de Datos Personales en Posesión de Sujetos Obligados del Estado de México y Municipios. </w:t>
      </w: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en relación al derecho de Cancelación, Aparicio Salomón</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lo define como:”…</w:t>
      </w:r>
      <w:r>
        <w:rPr>
          <w:rFonts w:ascii="Palatino Linotype" w:eastAsia="Palatino Linotype" w:hAnsi="Palatino Linotype" w:cs="Palatino Linotype"/>
          <w:b/>
          <w:i/>
        </w:rPr>
        <w:t xml:space="preserve">el derecho del interesado </w:t>
      </w:r>
      <w:r>
        <w:rPr>
          <w:rFonts w:ascii="Palatino Linotype" w:eastAsia="Palatino Linotype" w:hAnsi="Palatino Linotype" w:cs="Palatino Linotype"/>
          <w:b/>
          <w:i/>
          <w:u w:val="single"/>
        </w:rPr>
        <w:t>a que se excluyan</w:t>
      </w:r>
      <w:r>
        <w:rPr>
          <w:rFonts w:ascii="Palatino Linotype" w:eastAsia="Palatino Linotype" w:hAnsi="Palatino Linotype" w:cs="Palatino Linotype"/>
          <w:b/>
          <w:i/>
        </w:rPr>
        <w:t xml:space="preserve"> del tratamiento datos de carácter personal, ya sea por ser erróneos, o por no interesarle que se sometan a tratamiento. Por tanto, el derecho puede referirse tanto a la totalidad de los datos como a alguno de ellos concretamente. En definitiva, el derecho de cancelación puede suponer, en este último caso, la resolución de la relación jurídica con el responsable del tratamiento por voluntad unilateral del interesado</w:t>
      </w:r>
      <w:r>
        <w:rPr>
          <w:rFonts w:ascii="Palatino Linotype" w:eastAsia="Palatino Linotype" w:hAnsi="Palatino Linotype" w:cs="Palatino Linotype"/>
          <w:b/>
        </w:rPr>
        <w:t>.”</w:t>
      </w:r>
    </w:p>
    <w:p w:rsidR="00AB3398" w:rsidRDefault="00AB3398">
      <w:pPr>
        <w:spacing w:line="360" w:lineRule="auto"/>
        <w:jc w:val="both"/>
        <w:rPr>
          <w:rFonts w:ascii="Palatino Linotype" w:eastAsia="Palatino Linotype" w:hAnsi="Palatino Linotype" w:cs="Palatino Linotype"/>
          <w:b/>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derecho comparado, la Agencia Española de Protección de Datos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también entiende al derecho de cancelación de datos personales como aquella facultad que tienen las personas físicas en su carácter de titulares de la información para</w:t>
      </w:r>
      <w:r>
        <w:rPr>
          <w:rFonts w:ascii="Palatino Linotype" w:eastAsia="Palatino Linotype" w:hAnsi="Palatino Linotype" w:cs="Palatino Linotype"/>
          <w:b/>
          <w:u w:val="single"/>
        </w:rPr>
        <w:t xml:space="preserve"> exigir al responsable del fichero privado ya sea persona jurídica o física la supresión de la misma</w:t>
      </w:r>
      <w:r>
        <w:rPr>
          <w:rFonts w:ascii="Palatino Linotype" w:eastAsia="Palatino Linotype" w:hAnsi="Palatino Linotype" w:cs="Palatino Linotype"/>
        </w:rPr>
        <w:t>, ya sea porque los datos resulten inadecuados, excesivos, o cuyo tratamiento no se ajuste a lo establecido por la Ley, teniendo este derecho de cancelación la característica de gratuidad.</w:t>
      </w:r>
    </w:p>
    <w:p w:rsidR="00AB3398" w:rsidRDefault="00AD7FA3">
      <w:pPr>
        <w:spacing w:before="240" w:after="240"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rPr>
        <w:lastRenderedPageBreak/>
        <w:t xml:space="preserve">En el contexto internacional, el derecho de cancelación se le ha conocido con los nombres de </w:t>
      </w:r>
      <w:r>
        <w:rPr>
          <w:rFonts w:ascii="Palatino Linotype" w:eastAsia="Palatino Linotype" w:hAnsi="Palatino Linotype" w:cs="Palatino Linotype"/>
          <w:b/>
          <w:i/>
        </w:rPr>
        <w:t xml:space="preserve">Habeas Data </w:t>
      </w:r>
      <w:proofErr w:type="spellStart"/>
      <w:r>
        <w:rPr>
          <w:rFonts w:ascii="Palatino Linotype" w:eastAsia="Palatino Linotype" w:hAnsi="Palatino Linotype" w:cs="Palatino Linotype"/>
          <w:b/>
          <w:i/>
        </w:rPr>
        <w:t>Cancelatorio</w:t>
      </w:r>
      <w:proofErr w:type="spellEnd"/>
      <w:r>
        <w:rPr>
          <w:rFonts w:ascii="Palatino Linotype" w:eastAsia="Palatino Linotype" w:hAnsi="Palatino Linotype" w:cs="Palatino Linotype"/>
          <w:b/>
          <w:i/>
        </w:rPr>
        <w:t xml:space="preserve"> y Habeas Data de Exclusión</w:t>
      </w:r>
      <w:r>
        <w:rPr>
          <w:rFonts w:ascii="Palatino Linotype" w:eastAsia="Palatino Linotype" w:hAnsi="Palatino Linotype" w:cs="Palatino Linotype"/>
          <w:b/>
        </w:rPr>
        <w:t>,</w:t>
      </w:r>
      <w:r>
        <w:rPr>
          <w:rFonts w:ascii="Palatino Linotype" w:eastAsia="Palatino Linotype" w:hAnsi="Palatino Linotype" w:cs="Palatino Linotype"/>
        </w:rPr>
        <w:t xml:space="preserve"> que, al igual que las definiciones antes señaladas, coinciden en que el derecho que reconocen consiste en aquella </w:t>
      </w:r>
      <w:r>
        <w:rPr>
          <w:rFonts w:ascii="Palatino Linotype" w:eastAsia="Palatino Linotype" w:hAnsi="Palatino Linotype" w:cs="Palatino Linotype"/>
          <w:b/>
          <w:u w:val="single"/>
        </w:rPr>
        <w:t>facultad que tiene el titular de los datos de carácter personal para solicitar la eliminación de su información de los archivos</w:t>
      </w: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en  nuestra legislación dicha prerrogativa en favor de los particulares gira en torno a lo establecido en el numeral 100 de la legislación en la materia, que en lo conducente señala que el titular tendrá derecho a solicitar la cancelación de sus datos personales de los archivos, registros, expedientes y sistemas del responsable a fin que los mismos ya no estén en su posesión y dejen de ser tratados por este último, tal y como a la literalidad reza: “</w:t>
      </w:r>
      <w:r>
        <w:rPr>
          <w:rFonts w:ascii="Palatino Linotype" w:eastAsia="Palatino Linotype" w:hAnsi="Palatino Linotype" w:cs="Palatino Linotype"/>
          <w:i/>
        </w:rPr>
        <w:t>Artículo 100. El titular tendrá derecho a solicitar la cancelación de sus datos personales de los archivos, registros, expedientes y sistemas del responsable a fin que los mismos ya no estén en su posesión y dejen de ser tratados por este último…”</w:t>
      </w:r>
    </w:p>
    <w:p w:rsidR="00AB3398" w:rsidRDefault="00AB3398">
      <w:pPr>
        <w:spacing w:line="360" w:lineRule="auto"/>
        <w:jc w:val="both"/>
        <w:rPr>
          <w:rFonts w:ascii="Palatino Linotype" w:eastAsia="Palatino Linotype" w:hAnsi="Palatino Linotype" w:cs="Palatino Linotype"/>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relación al derecho de Oposición de los datos personales, la Agencia Española de Protecciones Datos Personales lo ha catalogado como la herramienta jurídica que permite al ciudadano negarse a que sus datos personales sean objeto de tratamiento. Además, lo concibe como el derecho del afectado o interesado (ciudadano) </w:t>
      </w:r>
      <w:r>
        <w:rPr>
          <w:rFonts w:ascii="Palatino Linotype" w:eastAsia="Palatino Linotype" w:hAnsi="Palatino Linotype" w:cs="Palatino Linotype"/>
          <w:b/>
        </w:rPr>
        <w:t>a que no se lleve a cabo el tratamiento de sus datos de carácter personal o se cese en el mismo, siempre y cuando medie causa justificada</w:t>
      </w:r>
      <w:r>
        <w:rPr>
          <w:rFonts w:ascii="Palatino Linotype" w:eastAsia="Palatino Linotype" w:hAnsi="Palatino Linotype" w:cs="Palatino Linotype"/>
        </w:rPr>
        <w:t>. Solo, podrá ser ejercitado cuando no sea necesario su consentimiento para el tratamiento, como consecuencia de la concurrencia de un motivo legítimo y fundado, referido a su concreta situación personal, que lo justifique, siempre que una Ley no disponga lo contrario.</w:t>
      </w:r>
    </w:p>
    <w:p w:rsidR="00AB3398" w:rsidRDefault="00AB3398">
      <w:pPr>
        <w:spacing w:line="360" w:lineRule="auto"/>
        <w:jc w:val="both"/>
        <w:rPr>
          <w:rFonts w:ascii="Arial" w:eastAsia="Arial" w:hAnsi="Arial" w:cs="Arial"/>
          <w:sz w:val="14"/>
          <w:szCs w:val="14"/>
        </w:rPr>
      </w:pPr>
    </w:p>
    <w:p w:rsidR="00AB3398" w:rsidRDefault="00AD7FA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En la doctrina, Emilio del Peso Navarro define el derecho de oposición como herramienta muy valiosa para </w:t>
      </w:r>
      <w:r>
        <w:rPr>
          <w:rFonts w:ascii="Palatino Linotype" w:eastAsia="Palatino Linotype" w:hAnsi="Palatino Linotype" w:cs="Palatino Linotype"/>
          <w:b/>
        </w:rPr>
        <w:t>el titular del dato, pues en determinadas circunstancias que el tratamiento de sus datos ponga en peligro sus derechos, puede pedir la terminación del mismo o negarse a que sus datos sean recolectados, almacenados, circulados, etc</w:t>
      </w:r>
      <w:r>
        <w:rPr>
          <w:rFonts w:ascii="Palatino Linotype" w:eastAsia="Palatino Linotype" w:hAnsi="Palatino Linotype" w:cs="Palatino Linotype"/>
        </w:rPr>
        <w:t>. Las justificaciones dependerán de las particularidades de cada caso, pero la doctrina cita como ejemplos los siguientes: “</w:t>
      </w:r>
      <w:r>
        <w:rPr>
          <w:rFonts w:ascii="Palatino Linotype" w:eastAsia="Palatino Linotype" w:hAnsi="Palatino Linotype" w:cs="Palatino Linotype"/>
          <w:b/>
        </w:rPr>
        <w:t xml:space="preserve">motivos religiosos, de seguridad cuando la consecuencia pueda ser poner en peligro la integridad personal o familiar o cuando pueda quedar afectado el honor” </w:t>
      </w:r>
      <w:r>
        <w:rPr>
          <w:rFonts w:ascii="Palatino Linotype" w:eastAsia="Palatino Linotype" w:hAnsi="Palatino Linotype" w:cs="Palatino Linotype"/>
          <w:b/>
          <w:vertAlign w:val="superscript"/>
        </w:rPr>
        <w:footnoteReference w:id="6"/>
      </w:r>
    </w:p>
    <w:p w:rsidR="00AB3398" w:rsidRDefault="00AB3398">
      <w:pPr>
        <w:spacing w:line="360" w:lineRule="auto"/>
        <w:jc w:val="both"/>
        <w:rPr>
          <w:rFonts w:ascii="Palatino Linotype" w:eastAsia="Palatino Linotype" w:hAnsi="Palatino Linotype" w:cs="Palatino Linotype"/>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nuestra legislación en su numeral 103 delimita las causales que habrán de actualizarse para que sea procedente por parte del titular de los datos personales el ejercicio del derecho de oposición, al precisar que el titular tiene derecho en todo momento y por razones legítimas a oponerse al tratamiento de sus datos personales.</w:t>
      </w:r>
    </w:p>
    <w:p w:rsidR="00AB3398" w:rsidRDefault="00AB3398">
      <w:pPr>
        <w:spacing w:line="360" w:lineRule="auto"/>
        <w:jc w:val="both"/>
        <w:rPr>
          <w:rFonts w:ascii="Palatino Linotype" w:eastAsia="Palatino Linotype" w:hAnsi="Palatino Linotype" w:cs="Palatino Linotype"/>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podemos concluir que, el  Derecho de Oposición en datos personales además de permitir al titular del dato personal </w:t>
      </w:r>
      <w:r>
        <w:rPr>
          <w:rFonts w:ascii="Palatino Linotype" w:eastAsia="Palatino Linotype" w:hAnsi="Palatino Linotype" w:cs="Palatino Linotype"/>
          <w:b/>
        </w:rPr>
        <w:t>evitar el tratamiento de sus datos o solicitar el cese del mismo</w:t>
      </w:r>
      <w:r>
        <w:rPr>
          <w:rFonts w:ascii="Palatino Linotype" w:eastAsia="Palatino Linotype" w:hAnsi="Palatino Linotype" w:cs="Palatino Linotype"/>
        </w:rPr>
        <w:t>, lo  faculta para que se oponga al tratamiento de sus datos personales en cualquier momento siempre y cuando el mismo alegue una causa legítima que justifique su oposición.</w:t>
      </w:r>
    </w:p>
    <w:p w:rsidR="00AB3398" w:rsidRDefault="00AB3398">
      <w:pPr>
        <w:spacing w:line="360" w:lineRule="auto"/>
        <w:jc w:val="both"/>
        <w:rPr>
          <w:rFonts w:ascii="Palatino Linotype" w:eastAsia="Palatino Linotype" w:hAnsi="Palatino Linotype" w:cs="Palatino Linotype"/>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derecho a la cancelación de los datos personales tiene como objetivo la eliminación de los datos personales contenidos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siempre y cuando los mismos no actualicen alguno de los supuestos previstos en el </w:t>
      </w:r>
      <w:r>
        <w:rPr>
          <w:rFonts w:ascii="Palatino Linotype" w:eastAsia="Palatino Linotype" w:hAnsi="Palatino Linotype" w:cs="Palatino Linotype"/>
        </w:rPr>
        <w:lastRenderedPageBreak/>
        <w:t>numeral 102 de la Ley  de Protección de Datos Personales en Posesión de Sujetos Obligados del Estado de México y Municipios.</w:t>
      </w:r>
    </w:p>
    <w:p w:rsidR="00AB3398" w:rsidRDefault="00AB3398">
      <w:pPr>
        <w:spacing w:line="360" w:lineRule="auto"/>
        <w:jc w:val="both"/>
        <w:rPr>
          <w:rFonts w:ascii="Arial" w:eastAsia="Arial" w:hAnsi="Arial" w:cs="Arial"/>
          <w:color w:val="FF0000"/>
          <w:sz w:val="23"/>
          <w:szCs w:val="23"/>
          <w:highlight w:val="white"/>
        </w:rPr>
      </w:pPr>
    </w:p>
    <w:p w:rsidR="00AB3398" w:rsidRDefault="00AD7FA3">
      <w:pPr>
        <w:spacing w:line="360" w:lineRule="auto"/>
        <w:jc w:val="both"/>
        <w:rPr>
          <w:rFonts w:ascii="Palatino Linotype" w:eastAsia="Palatino Linotype" w:hAnsi="Palatino Linotype" w:cs="Palatino Linotype"/>
          <w:b/>
          <w:highlight w:val="white"/>
        </w:rPr>
      </w:pPr>
      <w:r>
        <w:rPr>
          <w:rFonts w:ascii="Palatino Linotype" w:eastAsia="Palatino Linotype" w:hAnsi="Palatino Linotype" w:cs="Palatino Linotype"/>
          <w:b/>
          <w:highlight w:val="white"/>
        </w:rPr>
        <w:t>En otras palabras, mientras que el derecho de cancelación es que le digamos al Sujeto Obligado que tiene nuestros datos que los elimine (salvando sobre lo que ya se sabe</w:t>
      </w:r>
      <w:r>
        <w:rPr>
          <w:rFonts w:ascii="Palatino Linotype" w:eastAsia="Palatino Linotype" w:hAnsi="Palatino Linotype" w:cs="Palatino Linotype"/>
          <w:highlight w:val="white"/>
        </w:rPr>
        <w:t xml:space="preserve"> del </w:t>
      </w:r>
      <w:r>
        <w:rPr>
          <w:rFonts w:ascii="Palatino Linotype" w:eastAsia="Palatino Linotype" w:hAnsi="Palatino Linotype" w:cs="Palatino Linotype"/>
          <w:b/>
          <w:highlight w:val="white"/>
        </w:rPr>
        <w:t>bloqueo de datos</w:t>
      </w:r>
      <w:r>
        <w:rPr>
          <w:rFonts w:ascii="Palatino Linotype" w:eastAsia="Palatino Linotype" w:hAnsi="Palatino Linotype" w:cs="Palatino Linotype"/>
          <w:b/>
          <w:vertAlign w:val="superscript"/>
        </w:rPr>
        <w:footnoteReference w:id="7"/>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b/>
          <w:highlight w:val="white"/>
        </w:rPr>
        <w:t>el derecho de oposición es que nos opongamos a una finalidad concreta, y no que nos elimine por completo de sus archivos físicos o digitales.</w:t>
      </w:r>
    </w:p>
    <w:p w:rsidR="00AB3398" w:rsidRDefault="00AD7FA3">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Ilustrado lo anterior, debemos recordar que en su solicitud, la particular refirió lo siguiente: </w:t>
      </w:r>
      <w:r>
        <w:rPr>
          <w:rFonts w:ascii="Palatino Linotype" w:eastAsia="Palatino Linotype" w:hAnsi="Palatino Linotype" w:cs="Palatino Linotype"/>
          <w:i/>
          <w:highlight w:val="white"/>
        </w:rPr>
        <w:t xml:space="preserve">“NO AUTORICÉ A QUE SE PUBLICARA UN CONTRATO QUE CELEBRÉ CON LA UNIVESIDAD TECNOLÓGINA DE NEZAHUALCOYOTL EN EL CUAL APARECEN MIS DATOS PERSONALES COMO NOMBRE, DIRECCIÓN PARTICULAR, RFC Y FIRMA PORQUE PONE EN RIESGO MI INTEGRIDAD FÍSICA, DADO QUE HE RECIBIDO LLAMADAS DE EXTORSIÓN Y ME URGE QUE LO QUITEN DE SU PÁGINA Y DE INTERNET.” (Sic), </w:t>
      </w:r>
      <w:r>
        <w:rPr>
          <w:rFonts w:ascii="Palatino Linotype" w:eastAsia="Palatino Linotype" w:hAnsi="Palatino Linotype" w:cs="Palatino Linotype"/>
          <w:highlight w:val="white"/>
        </w:rPr>
        <w:t xml:space="preserve">de lo cual se reitera que el derecho a ejercer por la recurrente es el derecho de oposición y no así el derecho de cancelación, toda vez que requiere que el convenio se retire del portal IPOMEX del Sujeto Obligado así como de internet por motivos de seguridad, no obstante, debe apuntarse que del análisis a lo vertido por la Recurrente en su solicitud e interposición del recurso de </w:t>
      </w:r>
      <w:r>
        <w:rPr>
          <w:rFonts w:ascii="Palatino Linotype" w:eastAsia="Palatino Linotype" w:hAnsi="Palatino Linotype" w:cs="Palatino Linotype"/>
          <w:highlight w:val="white"/>
        </w:rPr>
        <w:lastRenderedPageBreak/>
        <w:t>revisión, no se advierte que sea su voluntad el terminar la relación jurídica existente con el responsable del tratamiento.</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highlight w:val="white"/>
        </w:rPr>
        <w:t>Ahora bien, con el propósito de determinar si los datos personales referidos por la particular en su solicitud revisten interés público frente a la colectividad por formar parte de los datos a publicarse en el portal IPOMEX, en lo concerniente a la fracción “</w:t>
      </w:r>
      <w:r>
        <w:rPr>
          <w:rFonts w:ascii="Palatino Linotype" w:eastAsia="Palatino Linotype" w:hAnsi="Palatino Linotype" w:cs="Palatino Linotype"/>
          <w:b/>
          <w:i/>
          <w:highlight w:val="white"/>
        </w:rPr>
        <w:t xml:space="preserve">XXXVII. Los convenios de coordinación, de concertación, entre otros, que suscriban con otros entes de los sectores público, social y privado”, </w:t>
      </w:r>
      <w:r>
        <w:rPr>
          <w:rFonts w:ascii="Palatino Linotype" w:eastAsia="Palatino Linotype" w:hAnsi="Palatino Linotype" w:cs="Palatino Linotype"/>
          <w:highlight w:val="white"/>
        </w:rPr>
        <w:t xml:space="preserve">así como en congruencia con lo previsto por los </w:t>
      </w:r>
      <w:r>
        <w:rPr>
          <w:rFonts w:ascii="Palatino Linotype" w:eastAsia="Palatino Linotype" w:hAnsi="Palatino Linotype" w:cs="Palatino Linotype"/>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resulta pertinente apuntar en primer lugar que el convenio AG/CONV/379/17 tiene por objeto vincular con el sector productivo a educandos, del nivel superior, que imparten los organismos públicos descentralizados de carácter estatal que forman parte del sistema educativo del Estado de México, bajo la modalidad educando-practicante, en la modalidad de estudio dual, a fin de contribuir en su formación profesional.</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conviene traer a colación las siguientes consideraciones:</w:t>
      </w:r>
    </w:p>
    <w:p w:rsidR="00AB3398" w:rsidRDefault="00AD7FA3">
      <w:pPr>
        <w:numPr>
          <w:ilvl w:val="0"/>
          <w:numId w:val="2"/>
        </w:numPr>
        <w:pBdr>
          <w:top w:val="nil"/>
          <w:left w:val="nil"/>
          <w:bottom w:val="nil"/>
          <w:right w:val="nil"/>
          <w:between w:val="nil"/>
        </w:pBdr>
        <w:spacing w:before="240" w:after="240" w:line="360" w:lineRule="auto"/>
        <w:ind w:left="567" w:hanging="141"/>
        <w:jc w:val="both"/>
        <w:rPr>
          <w:rFonts w:ascii="Palatino Linotype" w:eastAsia="Palatino Linotype" w:hAnsi="Palatino Linotype" w:cs="Palatino Linotype"/>
          <w:b/>
          <w:color w:val="000000"/>
          <w:highlight w:val="white"/>
        </w:rPr>
      </w:pPr>
      <w:r>
        <w:rPr>
          <w:rFonts w:ascii="Palatino Linotype" w:eastAsia="Palatino Linotype" w:hAnsi="Palatino Linotype" w:cs="Palatino Linotype"/>
          <w:b/>
          <w:color w:val="000000"/>
          <w:highlight w:val="white"/>
        </w:rPr>
        <w:t>Del nombre</w:t>
      </w:r>
    </w:p>
    <w:p w:rsidR="00AB3398" w:rsidRDefault="00AD7FA3">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El Código Civil del Estado de México en su artículo 2.13 señala que el nombre designa e individualiza a una persona, por lo que al formar parte de los atributos de la personalidad y además  ser la manifestación principal del derecho subjetivo a la </w:t>
      </w:r>
      <w:r>
        <w:rPr>
          <w:rFonts w:ascii="Palatino Linotype" w:eastAsia="Palatino Linotype" w:hAnsi="Palatino Linotype" w:cs="Palatino Linotype"/>
          <w:highlight w:val="white"/>
        </w:rPr>
        <w:lastRenderedPageBreak/>
        <w:t>identidad, en virtud de que hace a una persona física identificada e identificable, y que dar publicidad al mismo vulneraría su ámbito de privacidad.</w:t>
      </w:r>
    </w:p>
    <w:p w:rsidR="00AB3398" w:rsidRDefault="00AD7FA3">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De tal suerte que si bien es cierto que el nombre de una persona la individualiza y en conjunto con los apellidos es posible hacerla identificada e identificable, la Tesis I.6o.A.20 A (10a.) prevé una excepción para efecto de dar cumplimiento a la transparencia y rendición de cuentas, en virtud de que el Estado les está otorgando un permiso, autorización o concesión, por lo que en aras de abonar a la rendición de cuentas, el nombre de una persona sea física o moral reviste interés público resulta pertinente insertar la siguiente cita para robustecer la argumentación vertida:</w:t>
      </w:r>
    </w:p>
    <w:p w:rsidR="00AB3398" w:rsidRDefault="00AD7FA3">
      <w:pPr>
        <w:spacing w:before="240" w:after="240"/>
        <w:ind w:left="567" w:right="1183"/>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 xml:space="preserve">“ACCESO A LA INFORMACIÓN PÚBLICA. LA FRACCIÓN XII DEL ARTÍCULO 7 DE LA LEY FEDERAL DE TRANSPARENCIA Y ACCESO A LA INFORMACIÓN PÚBLICA GUBERNAMENTAL (ABROGADA), ESTABLECE UNA EXCEPCIÓN A LA CONFIDENCIALIDAD DE LOS DATOS PERSONALES, AL PREVER COMO OBLIGACIÓN OFICIOSA O DE TRANSPARENCIA PROACTIVA PUBLICAR EL NOMBRE DE LAS PERSONAS FÍSICAS O MORALES TITULARES DE UNA CONCESIÓN, AUTORIZACIÓN O PERMISO. </w:t>
      </w:r>
      <w:r>
        <w:rPr>
          <w:rFonts w:ascii="Palatino Linotype" w:eastAsia="Palatino Linotype" w:hAnsi="Palatino Linotype" w:cs="Palatino Linotype"/>
          <w:b/>
          <w:i/>
          <w:sz w:val="22"/>
          <w:szCs w:val="22"/>
          <w:highlight w:val="white"/>
          <w:u w:val="single"/>
        </w:rPr>
        <w:t>Si bien el nombre de una persona física es un "dato personal" cuya publicidad se encuentra sujeta al consentimiento previo que, con respecto a éste, otorgue su titular, dicha información adquiere una dimensión distinta en su protección cuando se vuelve un dato que evidencie a quién fue otorgado un permiso</w:t>
      </w:r>
      <w:r>
        <w:rPr>
          <w:rFonts w:ascii="Palatino Linotype" w:eastAsia="Palatino Linotype" w:hAnsi="Palatino Linotype" w:cs="Palatino Linotype"/>
          <w:i/>
          <w:sz w:val="22"/>
          <w:szCs w:val="22"/>
          <w:highlight w:val="white"/>
        </w:rPr>
        <w:t xml:space="preserve">, concesión o licitación pública </w:t>
      </w:r>
      <w:r>
        <w:rPr>
          <w:rFonts w:ascii="Palatino Linotype" w:eastAsia="Palatino Linotype" w:hAnsi="Palatino Linotype" w:cs="Palatino Linotype"/>
          <w:b/>
          <w:i/>
          <w:sz w:val="22"/>
          <w:szCs w:val="22"/>
          <w:highlight w:val="white"/>
          <w:u w:val="single"/>
        </w:rPr>
        <w:t>por parte de las autoridades del Estado, de modo que se traduce en una pieza de información pública</w:t>
      </w:r>
      <w:r>
        <w:rPr>
          <w:rFonts w:ascii="Palatino Linotype" w:eastAsia="Palatino Linotype" w:hAnsi="Palatino Linotype" w:cs="Palatino Linotype"/>
          <w:i/>
          <w:sz w:val="22"/>
          <w:szCs w:val="22"/>
          <w:highlight w:val="white"/>
        </w:rPr>
        <w:t xml:space="preserve">, de acuerdo con lo dispuesto por el artículo 7, fracción XII, de la Ley Federal de Transparencia y Acceso a la Información Pública Gubernamental (abrogada), a la que debe darse acceso, salvo que se actualice la hipótesis de que exista causa legal de reserva. Esto se explica en razón de que las licitaciones, concesiones y permisos, constituyen una manifestación externa y material de la actividad decisoria del Estado y, por regla general, guardan una estrecha vinculación con la gestión de los recursos y bienes públicos o permisiones y habilitaciones de la administración a favor de una persona determinada dentro del cúmulo social, por lo que su escrutinio público importa no sólo en tanto a cómo o por qué se han llevado a cabo tales actos de la autoridad, sino también importa quién o </w:t>
      </w:r>
      <w:r>
        <w:rPr>
          <w:rFonts w:ascii="Palatino Linotype" w:eastAsia="Palatino Linotype" w:hAnsi="Palatino Linotype" w:cs="Palatino Linotype"/>
          <w:i/>
          <w:sz w:val="22"/>
          <w:szCs w:val="22"/>
          <w:highlight w:val="white"/>
        </w:rPr>
        <w:lastRenderedPageBreak/>
        <w:t>quiénes han sido destinatarios de esos actos en particular. Así, para lograr una debida rendición de cuentas por parte de los órganos del Estado y asignar responsabilidades a sus propios funcionarios que excedan las disposiciones o sus propias facultades previstas en la ley, es necesario conocer, como lo prevé expresamente la ley, la identidad de aquellas personas físicas o morales a quienes se dieron permisos, concesiones o contratos públicos; de modo que debe entenderse que esta norma resulta ser una excepción a la diversa que establece que la información pública o publicada guardará los datos personales en ella contenidos y, atento a ese mandato, se convierte en información pública y su difusión en ese medio electrónico debe ser oficiosa para todos los entes del Estado. Por lo mismo, no se requiere para ello de consentimiento previo del titular de la concesión o permiso, todo lo cual, a su vez, tiene como base que el derecho a la protección de datos personales no es absoluto y encuentra su inflexión en el ejercicio de otras libertades individuales o sociales o en aquellos límites expresamente reglados en las leyes</w:t>
      </w:r>
      <w:r>
        <w:rPr>
          <w:rFonts w:ascii="Palatino Linotype" w:eastAsia="Palatino Linotype" w:hAnsi="Palatino Linotype" w:cs="Palatino Linotype"/>
          <w:i/>
          <w:sz w:val="22"/>
          <w:szCs w:val="22"/>
          <w:highlight w:val="white"/>
          <w:vertAlign w:val="superscript"/>
        </w:rPr>
        <w:footnoteReference w:id="8"/>
      </w:r>
      <w:r>
        <w:rPr>
          <w:rFonts w:ascii="Palatino Linotype" w:eastAsia="Palatino Linotype" w:hAnsi="Palatino Linotype" w:cs="Palatino Linotype"/>
          <w:i/>
          <w:sz w:val="22"/>
          <w:szCs w:val="22"/>
          <w:highlight w:val="white"/>
        </w:rPr>
        <w:t>.”</w:t>
      </w:r>
    </w:p>
    <w:p w:rsidR="00AB3398" w:rsidRDefault="00AD7FA3">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De manera que si bien, la particular no está recibiendo un permiso directamente del Estado, si existe un vínculo con un organismo público descentralizado del propio Estado, como lo es la Universidad Tecnológica de Nezahualcóyotl</w:t>
      </w:r>
      <w:r>
        <w:rPr>
          <w:rFonts w:ascii="Palatino Linotype" w:eastAsia="Palatino Linotype" w:hAnsi="Palatino Linotype" w:cs="Palatino Linotype"/>
          <w:highlight w:val="white"/>
          <w:vertAlign w:val="superscript"/>
        </w:rPr>
        <w:footnoteReference w:id="9"/>
      </w:r>
      <w:r>
        <w:rPr>
          <w:rFonts w:ascii="Palatino Linotype" w:eastAsia="Palatino Linotype" w:hAnsi="Palatino Linotype" w:cs="Palatino Linotype"/>
          <w:highlight w:val="white"/>
        </w:rPr>
        <w:t xml:space="preserve"> para obtener un permiso en el que una instancia de educación superior le conceda ser una instancia formativa profesional, de ahí que se insista que el nombre de la particular en el caso que nos ocupa puede traducirse en una pieza que abone a la rendición de cuentas, en virtud de que </w:t>
      </w:r>
      <w:r>
        <w:rPr>
          <w:rFonts w:ascii="Palatino Linotype" w:eastAsia="Palatino Linotype" w:hAnsi="Palatino Linotype" w:cs="Palatino Linotype"/>
        </w:rPr>
        <w:t xml:space="preserve">el convenio AG/CONV/379/17, que tiene el propósito de vincular con el sector productivo a educandos, del nivel superior, que imparten los organismos públicos descentralizados de carácter estatal que forman parte del sistema educativo del Estado de México, bajo la modalidad educando-practicante, en la modalidad de estudio dual, a fin de contribuir en su formación profesional, establecerá los elementos mínimos que permitirán a los educandos obtener la documentación oficial que acredite </w:t>
      </w:r>
      <w:r>
        <w:rPr>
          <w:rFonts w:ascii="Palatino Linotype" w:eastAsia="Palatino Linotype" w:hAnsi="Palatino Linotype" w:cs="Palatino Linotype"/>
        </w:rPr>
        <w:lastRenderedPageBreak/>
        <w:t>la conclusión de la estructura correspondiente, por lo tanto, tener la certeza de que este permiso educativo se está concediendo a una persona cuya actividad es lícita.</w:t>
      </w:r>
    </w:p>
    <w:p w:rsidR="00AB3398" w:rsidRDefault="00AD7FA3">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Para efecto de robustecer este punto, no pasa desapercibido para este Instituto que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lo concerniente a la fracción </w:t>
      </w:r>
      <w:r>
        <w:rPr>
          <w:rFonts w:ascii="Palatino Linotype" w:eastAsia="Palatino Linotype" w:hAnsi="Palatino Linotype" w:cs="Palatino Linotype"/>
          <w:i/>
          <w:highlight w:val="white"/>
        </w:rPr>
        <w:t xml:space="preserve">XXXIII Convenios de coordinación, de concertación con el sector social o privado, </w:t>
      </w:r>
      <w:r>
        <w:rPr>
          <w:rFonts w:ascii="Palatino Linotype" w:eastAsia="Palatino Linotype" w:hAnsi="Palatino Linotype" w:cs="Palatino Linotype"/>
          <w:highlight w:val="white"/>
        </w:rPr>
        <w:t xml:space="preserve">dentro de los criterios sustantivos de contenido, se enlista al nombre de persona física o moral, resulta pertinente insertar la siguiente captura de pantalla: </w:t>
      </w:r>
    </w:p>
    <w:p w:rsidR="00AB3398" w:rsidRDefault="00AD7FA3">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noProof/>
          <w:highlight w:val="white"/>
          <w:lang w:val="es-MX"/>
        </w:rPr>
        <w:drawing>
          <wp:inline distT="0" distB="0" distL="0" distR="0">
            <wp:extent cx="5761355" cy="3347085"/>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5761355" cy="3347085"/>
                    </a:xfrm>
                    <a:prstGeom prst="rect">
                      <a:avLst/>
                    </a:prstGeom>
                    <a:ln/>
                  </pic:spPr>
                </pic:pic>
              </a:graphicData>
            </a:graphic>
          </wp:inline>
        </w:drawing>
      </w:r>
      <w:r>
        <w:rPr>
          <w:noProof/>
          <w:lang w:val="es-MX"/>
        </w:rPr>
        <mc:AlternateContent>
          <mc:Choice Requires="wpg">
            <w:drawing>
              <wp:anchor distT="0" distB="0" distL="114300" distR="114300" simplePos="0" relativeHeight="251663360" behindDoc="0" locked="0" layoutInCell="1" hidden="0" allowOverlap="1">
                <wp:simplePos x="0" y="0"/>
                <wp:positionH relativeFrom="column">
                  <wp:posOffset>1054100</wp:posOffset>
                </wp:positionH>
                <wp:positionV relativeFrom="paragraph">
                  <wp:posOffset>1079500</wp:posOffset>
                </wp:positionV>
                <wp:extent cx="2314575" cy="762000"/>
                <wp:effectExtent l="0" t="0" r="0" b="0"/>
                <wp:wrapNone/>
                <wp:docPr id="17" name=""/>
                <wp:cNvGraphicFramePr/>
                <a:graphic xmlns:a="http://schemas.openxmlformats.org/drawingml/2006/main">
                  <a:graphicData uri="http://schemas.microsoft.com/office/word/2010/wordprocessingShape">
                    <wps:wsp>
                      <wps:cNvSpPr/>
                      <wps:spPr>
                        <a:xfrm>
                          <a:off x="4203000" y="3413288"/>
                          <a:ext cx="2286000" cy="733425"/>
                        </a:xfrm>
                        <a:prstGeom prst="rect">
                          <a:avLst/>
                        </a:prstGeom>
                        <a:noFill/>
                        <a:ln w="28575" cap="flat" cmpd="sng">
                          <a:solidFill>
                            <a:srgbClr val="002060"/>
                          </a:solidFill>
                          <a:prstDash val="solid"/>
                          <a:round/>
                          <a:headEnd type="none" w="sm" len="sm"/>
                          <a:tailEnd type="none" w="sm" len="sm"/>
                        </a:ln>
                      </wps:spPr>
                      <wps:txbx>
                        <w:txbxContent>
                          <w:p w:rsidR="00AB3398" w:rsidRDefault="00AB339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1054100</wp:posOffset>
                </wp:positionH>
                <wp:positionV relativeFrom="paragraph">
                  <wp:posOffset>1079500</wp:posOffset>
                </wp:positionV>
                <wp:extent cx="2314575" cy="762000"/>
                <wp:effectExtent b="0" l="0" r="0" t="0"/>
                <wp:wrapNone/>
                <wp:docPr id="17"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2314575" cy="762000"/>
                        </a:xfrm>
                        <a:prstGeom prst="rect"/>
                        <a:ln/>
                      </pic:spPr>
                    </pic:pic>
                  </a:graphicData>
                </a:graphic>
              </wp:anchor>
            </w:drawing>
          </mc:Fallback>
        </mc:AlternateContent>
      </w:r>
    </w:p>
    <w:p w:rsidR="00AB3398" w:rsidRDefault="00AB3398">
      <w:pPr>
        <w:spacing w:before="240" w:after="240" w:line="360" w:lineRule="auto"/>
        <w:ind w:right="49"/>
        <w:jc w:val="both"/>
        <w:rPr>
          <w:rFonts w:ascii="Palatino Linotype" w:eastAsia="Palatino Linotype" w:hAnsi="Palatino Linotype" w:cs="Palatino Linotype"/>
          <w:highlight w:val="white"/>
        </w:rPr>
      </w:pPr>
    </w:p>
    <w:p w:rsidR="00AB3398" w:rsidRDefault="00AD7FA3">
      <w:pPr>
        <w:numPr>
          <w:ilvl w:val="0"/>
          <w:numId w:val="2"/>
        </w:numPr>
        <w:pBdr>
          <w:top w:val="nil"/>
          <w:left w:val="nil"/>
          <w:bottom w:val="nil"/>
          <w:right w:val="nil"/>
          <w:between w:val="nil"/>
        </w:pBdr>
        <w:spacing w:before="240" w:after="240" w:line="360" w:lineRule="auto"/>
        <w:ind w:left="567" w:hanging="141"/>
        <w:jc w:val="both"/>
        <w:rPr>
          <w:rFonts w:ascii="Palatino Linotype" w:eastAsia="Palatino Linotype" w:hAnsi="Palatino Linotype" w:cs="Palatino Linotype"/>
          <w:b/>
          <w:color w:val="000000"/>
          <w:highlight w:val="white"/>
        </w:rPr>
      </w:pPr>
      <w:r>
        <w:rPr>
          <w:rFonts w:ascii="Palatino Linotype" w:eastAsia="Palatino Linotype" w:hAnsi="Palatino Linotype" w:cs="Palatino Linotype"/>
          <w:b/>
          <w:color w:val="000000"/>
          <w:highlight w:val="white"/>
        </w:rPr>
        <w:lastRenderedPageBreak/>
        <w:t>Del RFC</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punto, tenemos que el RFC, constituye un dato personal, ya que para su obtención es necesario acreditar ante la autoridad fiscal previamente la identidad de la persona, su fecha de nacimiento, entre otros aspectos</w:t>
      </w:r>
      <w:r>
        <w:rPr>
          <w:rFonts w:ascii="Palatino Linotype" w:eastAsia="Palatino Linotype" w:hAnsi="Palatino Linotype" w:cs="Palatino Linotype"/>
          <w:color w:val="FF0000"/>
        </w:rPr>
        <w:t>.</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compartido por el entonces Instituto Federal de Acceso a la Información Pública y Protección de Datos Personales (IFAI) a través del Criterio 09/2009, el cual es del tenor literal siguiente:</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“Registro Federal de Contribuyentes (RFC) de las personas físicas es un dato personal confidencial. </w:t>
      </w:r>
      <w:r>
        <w:rPr>
          <w:rFonts w:ascii="Palatino Linotype" w:eastAsia="Palatino Linotype" w:hAnsi="Palatino Linotype" w:cs="Palatino Linotype"/>
          <w:i/>
          <w:sz w:val="22"/>
          <w:szCs w:val="22"/>
        </w:rPr>
        <w:t>De conformidad con lo establecido en el artículo 18,</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fracción II de la Ley Federal de Transparencia y Acceso a la Información Pública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Gubernamental </w:t>
      </w:r>
      <w:r>
        <w:rPr>
          <w:rFonts w:ascii="Palatino Linotype" w:eastAsia="Palatino Linotype" w:hAnsi="Palatino Linotype" w:cs="Palatino Linotype"/>
          <w:b/>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Pr>
          <w:rFonts w:ascii="Palatino Linotype" w:eastAsia="Palatino Linotype" w:hAnsi="Palatino Linotype" w:cs="Palatino Linotype"/>
          <w:b/>
          <w:i/>
          <w:sz w:val="22"/>
          <w:szCs w:val="22"/>
        </w:rPr>
        <w:t xml:space="preserve">. Para </w:t>
      </w:r>
      <w:r>
        <w:rPr>
          <w:rFonts w:ascii="Palatino Linotype" w:eastAsia="Palatino Linotype" w:hAnsi="Palatino Linotype" w:cs="Palatino Linotype"/>
          <w:b/>
          <w:i/>
          <w:sz w:val="22"/>
          <w:szCs w:val="22"/>
          <w:u w:val="single"/>
        </w:rPr>
        <w:t xml:space="preserve">obtener el RFC es necesario acreditar previamente mediante documentos oficiales (pasaporte, acta de nacimiento, etc.) la identidad de la persona, su fecha y lugar de nacimiento, entre otros. </w:t>
      </w:r>
      <w:r>
        <w:rPr>
          <w:rFonts w:ascii="Palatino Linotype" w:eastAsia="Palatino Linotype" w:hAnsi="Palatino Linotype" w:cs="Palatino Linotype"/>
          <w:i/>
          <w:sz w:val="22"/>
          <w:szCs w:val="22"/>
        </w:rPr>
        <w:t>De acuerdo con la legislación tributaria, las personas físicas tramitan su</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inscripción en el Registro Federal de Contribuyentes con el único propósito de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realizar mediante esa clave de identificación, operaciones o actividades de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naturaleza tributaria. En este sentido, el artículo 79 del Código Fiscal de la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Federación prevé que la utilización de una clave de registro no asignada por la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autoridad constituye como una infracción en materia fiscal. De acuerdo con lo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antes apuntado, el RFC vinculado al nombre de su titular, permite identificar la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edad de la persona, así como su </w:t>
      </w:r>
      <w:proofErr w:type="spellStart"/>
      <w:r>
        <w:rPr>
          <w:rFonts w:ascii="Palatino Linotype" w:eastAsia="Palatino Linotype" w:hAnsi="Palatino Linotype" w:cs="Palatino Linotype"/>
          <w:i/>
          <w:sz w:val="22"/>
          <w:szCs w:val="22"/>
        </w:rPr>
        <w:t>homoclave</w:t>
      </w:r>
      <w:proofErr w:type="spellEnd"/>
      <w:r>
        <w:rPr>
          <w:rFonts w:ascii="Palatino Linotype" w:eastAsia="Palatino Linotype" w:hAnsi="Palatino Linotype" w:cs="Palatino Linotype"/>
          <w:i/>
          <w:sz w:val="22"/>
          <w:szCs w:val="22"/>
        </w:rPr>
        <w:t xml:space="preserve">, siendo </w:t>
      </w:r>
      <w:r>
        <w:rPr>
          <w:rFonts w:ascii="Palatino Linotype" w:eastAsia="Palatino Linotype" w:hAnsi="Palatino Linotype" w:cs="Palatino Linotype"/>
          <w:i/>
          <w:sz w:val="22"/>
          <w:szCs w:val="22"/>
        </w:rPr>
        <w:lastRenderedPageBreak/>
        <w:t>esta última única e irrepetible,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por lo que es posible concluir que el RFC constituye un dato personal y, por tanto,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información confidencial, de conformidad con los previsto en el artículo 18,</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fracción II de la Ley Federal de Transparencia y Acceso a la Información Pública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Gubernamental…” (Sic)</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Como se puede vislumbrar en la cita realizada con antelación, se advierte que indudablemente el RFC se encuentra vinculado al nombre de su titular, lo cual a su vez permite identificar más datos personales como puede ser la edad de la persona y  su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la cual es única e irrepetible, por lo que con este conjunto de datos se puede identificar a una persona para efectos fiscales, por ello se considera desde un principio como un dato personal.</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el caso particular del convenio AG/CONV/379/17, si existiera la posibilidad de que recibiera recursos económicos o algún beneficio como producto de esta colaboración, dicho dato será susceptible de considerarse público.</w:t>
      </w:r>
    </w:p>
    <w:p w:rsidR="00AB3398" w:rsidRDefault="00AD7FA3">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Del domicilio</w:t>
      </w:r>
    </w:p>
    <w:p w:rsidR="00AB3398" w:rsidRDefault="00AD7FA3">
      <w:pPr>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Respecto del domicilio, debemos recordar que en términos del artículo 2.17 del Código Civil del Estado de México define al domicilio de las personas físicas como como “</w:t>
      </w:r>
      <w:r>
        <w:rPr>
          <w:rFonts w:ascii="Palatino Linotype" w:eastAsia="Palatino Linotype" w:hAnsi="Palatino Linotype" w:cs="Palatino Linotype"/>
          <w:i/>
        </w:rPr>
        <w:t>el lugar donde reside con el propósito de establecerse en él; a falta de éste, el lugar en que tiene el principal asiento de sus negocios; y a falta de uno y otro, el lugar en que se halle.”</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la Suprema Corte de Justicia de la Nación se ha pronunciado sobre el tópico en análisis, en los siguientes términos: </w:t>
      </w:r>
    </w:p>
    <w:p w:rsidR="00AB3398" w:rsidRDefault="00AD7FA3">
      <w:pPr>
        <w:spacing w:before="240" w:after="240"/>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“INVIOLABILIDAD DEL DOMICILIO. CONSTITUYE UNA MANIFESTACIÓN DEL DERECHO FUNDAMENTAL A LA INTIMIDAD.</w:t>
      </w:r>
    </w:p>
    <w:p w:rsidR="00AB3398" w:rsidRDefault="00AD7FA3">
      <w:pPr>
        <w:spacing w:before="240" w:after="240"/>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lastRenderedPageBreak/>
        <w:t>El derecho fundamental a la inviolabilidad del domicilio, previsto en el artículo </w:t>
      </w:r>
      <w:hyperlink r:id="rId22">
        <w:r>
          <w:rPr>
            <w:rFonts w:ascii="Palatino Linotype" w:eastAsia="Palatino Linotype" w:hAnsi="Palatino Linotype" w:cs="Palatino Linotype"/>
            <w:i/>
            <w:color w:val="000000"/>
            <w:sz w:val="22"/>
            <w:szCs w:val="22"/>
          </w:rPr>
          <w:t>16 de la Constitución Política de los Estados Unidos Mexicanos</w:t>
        </w:r>
      </w:hyperlink>
      <w:r>
        <w:rPr>
          <w:rFonts w:ascii="Palatino Linotype" w:eastAsia="Palatino Linotype" w:hAnsi="Palatino Linotype" w:cs="Palatino Linotype"/>
          <w:i/>
          <w:color w:val="000000"/>
          <w:sz w:val="22"/>
          <w:szCs w:val="22"/>
        </w:rPr>
        <w:t>, primer párrafo, en relación con el párrafo noveno del mismo numeral, así como en el artículo </w:t>
      </w:r>
      <w:hyperlink r:id="rId23">
        <w:r>
          <w:rPr>
            <w:rFonts w:ascii="Palatino Linotype" w:eastAsia="Palatino Linotype" w:hAnsi="Palatino Linotype" w:cs="Palatino Linotype"/>
            <w:i/>
            <w:color w:val="000000"/>
            <w:sz w:val="22"/>
            <w:szCs w:val="22"/>
          </w:rPr>
          <w:t>11 de la Convención Americana de Derechos Humanos</w:t>
        </w:r>
      </w:hyperlink>
      <w:r>
        <w:rPr>
          <w:rFonts w:ascii="Palatino Linotype" w:eastAsia="Palatino Linotype" w:hAnsi="Palatino Linotype" w:cs="Palatino Linotype"/>
          <w:i/>
          <w:color w:val="000000"/>
          <w:sz w:val="22"/>
          <w:szCs w:val="22"/>
        </w:rPr>
        <w:t xml:space="preserve">, constituye una manifestación del derecho fundamental a la intimidad, entendido como aquel ámbito reservado de la vida de las personas, excluido del conocimiento de terceros, sean éstos poderes públicos o particulares, en contra de su voluntad. Esto es así, ya que </w:t>
      </w:r>
      <w:r>
        <w:rPr>
          <w:rFonts w:ascii="Palatino Linotype" w:eastAsia="Palatino Linotype" w:hAnsi="Palatino Linotype" w:cs="Palatino Linotype"/>
          <w:i/>
          <w:sz w:val="22"/>
          <w:szCs w:val="22"/>
        </w:rPr>
        <w:t xml:space="preserve">este derecho fundamental protege un ámbito espacial determinado, </w:t>
      </w:r>
      <w:r>
        <w:rPr>
          <w:rFonts w:ascii="Palatino Linotype" w:eastAsia="Palatino Linotype" w:hAnsi="Palatino Linotype" w:cs="Palatino Linotype"/>
          <w:b/>
          <w:i/>
          <w:sz w:val="22"/>
          <w:szCs w:val="22"/>
        </w:rPr>
        <w:t>el "domicilio", por ser aquel un espacio de acceso reservado en el cual los individuos ejercen su libertad más íntima.</w:t>
      </w:r>
      <w:r>
        <w:rPr>
          <w:rFonts w:ascii="Palatino Linotype" w:eastAsia="Palatino Linotype" w:hAnsi="Palatino Linotype" w:cs="Palatino Linotype"/>
          <w:i/>
          <w:sz w:val="22"/>
          <w:szCs w:val="22"/>
        </w:rPr>
        <w:t xml:space="preserve"> De lo anterior se deriva que, al igual que sucede con el derecho fundamental al secreto de las comunicaciones, lo que se considera constitucionalmente digno de protección es la limitación de acceso al domicilio en sí misma, con independencia de cualquier consideración material.</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es que se colige que al ser el lugar en donde reside habitualmente una persona física, constituye un dato personal y, por ende confidencial, ya que su difusión podría afectar la esfera privada de la misma, no obstante, si recibiera recursos económicos y el domicilio fuera coincidente con el domicilio fiscal, sería considerado de acceso público. </w:t>
      </w:r>
    </w:p>
    <w:p w:rsidR="00AB3398" w:rsidRDefault="00AD7FA3">
      <w:pPr>
        <w:numPr>
          <w:ilvl w:val="0"/>
          <w:numId w:val="2"/>
        </w:numPr>
        <w:pBdr>
          <w:top w:val="nil"/>
          <w:left w:val="nil"/>
          <w:bottom w:val="nil"/>
          <w:right w:val="nil"/>
          <w:between w:val="nil"/>
        </w:pBdr>
        <w:spacing w:before="240" w:after="240" w:line="360" w:lineRule="auto"/>
        <w:ind w:left="567" w:right="49" w:hanging="28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firma</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firma, para </w:t>
      </w:r>
      <w:proofErr w:type="spellStart"/>
      <w:r>
        <w:rPr>
          <w:rFonts w:ascii="Palatino Linotype" w:eastAsia="Palatino Linotype" w:hAnsi="Palatino Linotype" w:cs="Palatino Linotype"/>
        </w:rPr>
        <w:t>Mustapich</w:t>
      </w:r>
      <w:proofErr w:type="spellEnd"/>
      <w:r>
        <w:rPr>
          <w:rFonts w:ascii="Palatino Linotype" w:eastAsia="Palatino Linotype" w:hAnsi="Palatino Linotype" w:cs="Palatino Linotype"/>
        </w:rPr>
        <w:t xml:space="preserve"> se define como “</w:t>
      </w:r>
      <w:r>
        <w:rPr>
          <w:rFonts w:ascii="Palatino Linotype" w:eastAsia="Palatino Linotype" w:hAnsi="Palatino Linotype" w:cs="Palatino Linotype"/>
          <w:i/>
        </w:rPr>
        <w:t>el nombre escrito por propia mano en caracteres alfabéticos y de una manera particular, al pie del documento, al efecto de autenticar su contenido</w:t>
      </w:r>
      <w:r>
        <w:rPr>
          <w:rFonts w:ascii="Palatino Linotype" w:eastAsia="Palatino Linotype" w:hAnsi="Palatino Linotype" w:cs="Palatino Linotype"/>
          <w:i/>
          <w:vertAlign w:val="superscript"/>
        </w:rPr>
        <w:footnoteReference w:id="10"/>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por lo tanto, al considerar que es emitida por la persona física y es un atributo de la personalidad de los individuos, es que se puede identificar a una persona, por lo que se considera un dato personal, no obstante, al encontrarse en un convenio en el que el Sujeto Obligado accede a contraer una obligación con la </w:t>
      </w:r>
      <w:r>
        <w:rPr>
          <w:rFonts w:ascii="Palatino Linotype" w:eastAsia="Palatino Linotype" w:hAnsi="Palatino Linotype" w:cs="Palatino Linotype"/>
        </w:rPr>
        <w:lastRenderedPageBreak/>
        <w:t>particular, es que para abonar a la transparencia y rendición de cuentas que este dato no puede considerarse susceptible de cese del tratamiento.</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suerte que con la divulgación de estos datos es posible vincular los datos personales con su titular y así poder obtener más información sobre la esfera privada de esa persona, con lo cual estaríamos a todas luces ante una vulneración a los principios de licitud, consentimiento y al deber de confidencialidad, en razón de lo siguiente: </w:t>
      </w:r>
    </w:p>
    <w:p w:rsidR="00AB3398" w:rsidRDefault="00AD7FA3">
      <w:pPr>
        <w:spacing w:before="240" w:after="240" w:line="360" w:lineRule="auto"/>
        <w:ind w:left="567" w:right="1183"/>
        <w:jc w:val="both"/>
        <w:rPr>
          <w:rFonts w:ascii="Palatino Linotype" w:eastAsia="Palatino Linotype" w:hAnsi="Palatino Linotype" w:cs="Palatino Linotype"/>
        </w:rPr>
      </w:pPr>
      <w:r>
        <w:rPr>
          <w:rFonts w:ascii="Palatino Linotype" w:eastAsia="Palatino Linotype" w:hAnsi="Palatino Linotype" w:cs="Palatino Linotype"/>
        </w:rPr>
        <w:t>• Por lo que hace al deber de confidencialidad, derivado de que la Universidad Tecnológica de Nezahualcóyotl publicó datos personales concernientes a la particular que no abonan a la transparencia como son: domicilio particular y RFC, en el caso concreto, en el convenio AG/CONV/379/17.</w:t>
      </w:r>
    </w:p>
    <w:p w:rsidR="00AB3398" w:rsidRDefault="00AD7FA3">
      <w:pPr>
        <w:spacing w:before="240" w:after="240" w:line="360" w:lineRule="auto"/>
        <w:ind w:left="567" w:right="1183"/>
        <w:jc w:val="both"/>
        <w:rPr>
          <w:rFonts w:ascii="Palatino Linotype" w:eastAsia="Palatino Linotype" w:hAnsi="Palatino Linotype" w:cs="Palatino Linotype"/>
        </w:rPr>
      </w:pPr>
      <w:r>
        <w:rPr>
          <w:rFonts w:ascii="Palatino Linotype" w:eastAsia="Palatino Linotype" w:hAnsi="Palatino Linotype" w:cs="Palatino Linotype"/>
        </w:rPr>
        <w:t xml:space="preserve">• Relativo al principio de consentimiento ya que al publicar en el portal de Información Pública de Oficio Mexiquense (IPOMEX) el domicilio particular y RFC que obraba respectivamente, en el convenio publicado en cumplimiento al artículo 70, fracción XXXIII de la Ley General de Transparencia y Acceso a la Información Pública y artículo 92, fracción XXXVII de la Ley de Transparencia y Acceso a la Información Pública del Estado de México y Municipios presuntamente debió contar con el consentimiento de su titular, sin embargo esta falta de consentimiento se acredita con la manifestación de la particular al momento de formular su solicitud ante el Sujeto Obligado, tal como se vislumbra a continuación con las </w:t>
      </w:r>
      <w:r>
        <w:rPr>
          <w:rFonts w:ascii="Palatino Linotype" w:eastAsia="Palatino Linotype" w:hAnsi="Palatino Linotype" w:cs="Palatino Linotype"/>
        </w:rPr>
        <w:lastRenderedPageBreak/>
        <w:t xml:space="preserve">manifestaciones: </w:t>
      </w:r>
      <w:r>
        <w:rPr>
          <w:rFonts w:ascii="Palatino Linotype" w:eastAsia="Palatino Linotype" w:hAnsi="Palatino Linotype" w:cs="Palatino Linotype"/>
          <w:i/>
          <w:highlight w:val="white"/>
        </w:rPr>
        <w:t>“NO AUTORICÉ A QUE SE PUBLICARA UN CONTRATO QUE CELEBRÉ CON LA UNIVESIDAD TECNOLÓGINA DE NEZAHUALCOYOTL EN EL CUAL APARECEN MIS DATOS PERSONALES COMO NOMBRE, DIRECCIÓN PARTICULAR, RFC Y FIRMA PORQUE PONE EN RIESGO MI INTEGRIDAD FÍSICA, DADO QUE HE RECIBIDO LLAMADAS DE EXTORSIÓN Y ME URGE QUE LO QUITEN DE SU PÁGINA Y DE INTERNET.” (Sic)</w:t>
      </w:r>
      <w:r>
        <w:rPr>
          <w:rFonts w:ascii="Palatino Linotype" w:eastAsia="Palatino Linotype" w:hAnsi="Palatino Linotype" w:cs="Palatino Linotype"/>
        </w:rPr>
        <w:t xml:space="preserve">. </w:t>
      </w:r>
    </w:p>
    <w:p w:rsidR="00AB3398" w:rsidRDefault="00AD7FA3">
      <w:pPr>
        <w:spacing w:before="240" w:after="240" w:line="360" w:lineRule="auto"/>
        <w:ind w:left="567" w:right="1183"/>
        <w:jc w:val="both"/>
        <w:rPr>
          <w:rFonts w:ascii="Palatino Linotype" w:eastAsia="Palatino Linotype" w:hAnsi="Palatino Linotype" w:cs="Palatino Linotype"/>
        </w:rPr>
      </w:pPr>
      <w:r>
        <w:rPr>
          <w:rFonts w:ascii="Palatino Linotype" w:eastAsia="Palatino Linotype" w:hAnsi="Palatino Linotype" w:cs="Palatino Linotype"/>
        </w:rPr>
        <w:t>• Sobre el principio de licitud, ya que si bien la Universidad Tecnológica de Nezahualcóyotl  tiene la obligación de  publicitar los convenios de colaboración para estadías y educación dual, relativos al artículo 70, fracción XXXIII de la Ley General de Transparencia y Acceso a la Información Pública y artículo 92, fracción XXXVII de la Ley de Transparencia y Acceso a la Información Pública del Estado de México y Municipios, también debe ajustar su actuar conforme a lo dispuesto en la Ley General de Protección de Datos Personales en Posesión de Sujetos Obligados y de los Lineamientos Generales de Protección de Datos Personales para el Sector Público y presumiblemente debió proteger los datos personales consistentes en domicilio particular y RFC de la particular, ello en razón de que en el convenio AG/CONV/379/17 se establece que la particular no recibe ni beneficios económicos.</w:t>
      </w:r>
    </w:p>
    <w:p w:rsidR="00AB3398" w:rsidRDefault="00AD7FA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tenemos que al realizar todo tratamiento éste no debe perder de vista las disposiciones previstas en la norma especializada (en este caso la Ley General de </w:t>
      </w:r>
      <w:r>
        <w:rPr>
          <w:rFonts w:ascii="Palatino Linotype" w:eastAsia="Palatino Linotype" w:hAnsi="Palatino Linotype" w:cs="Palatino Linotype"/>
        </w:rPr>
        <w:lastRenderedPageBreak/>
        <w:t>Protección de Datos Personales en Posesión de Sujetos Obligados) ya que si bien la Ley de  Transparencia ordena la publicidad de los nombres y firmas, no debe perderse de vista que cuando se trate de domicilios o RFC de particulares que no tengan la calidad de proveedores o bien, que no reciban beneficios económicos pero actúen en convenios celebrados con los entes públicos, éstos no deberán publicitarse para no afectar a los individuos en su esfera privada.</w:t>
      </w:r>
    </w:p>
    <w:p w:rsidR="00AB3398" w:rsidRDefault="00AD7FA3">
      <w:pP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esta Autoridad determina la procedencia del derecho de oposición por parte de la ahora Recurrente, en observancia al artículo 103 de Ley  de Protección de Datos Personales en Posesión de Sujetos Obligados del Estado de México y Municipios, en el cual se observa que el titular </w:t>
      </w:r>
      <w:r>
        <w:rPr>
          <w:rFonts w:ascii="Palatino Linotype" w:eastAsia="Palatino Linotype" w:hAnsi="Palatino Linotype" w:cs="Palatino Linotype"/>
          <w:b/>
          <w:u w:val="single"/>
        </w:rPr>
        <w:t>tendrá derecho en todo momento y por razones legítimas a oponerse al tratamiento de sus datos personales</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para una o varias finalidades o exigir que cese el mismo, cuando: a)  aun siendo lícito el tratamiento, el mismo debe cesar para evitar que su persistencia cause un daño o perjuicio al titular</w:t>
      </w:r>
      <w:r>
        <w:rPr>
          <w:rFonts w:ascii="Palatino Linotype" w:eastAsia="Palatino Linotype" w:hAnsi="Palatino Linotype" w:cs="Palatino Linotype"/>
        </w:rPr>
        <w:t xml:space="preserve">. </w:t>
      </w:r>
    </w:p>
    <w:p w:rsidR="00AB3398" w:rsidRDefault="00AB3398">
      <w:pPr>
        <w:spacing w:line="360" w:lineRule="auto"/>
        <w:ind w:right="49"/>
        <w:jc w:val="both"/>
        <w:rPr>
          <w:rFonts w:ascii="Palatino Linotype" w:eastAsia="Palatino Linotype" w:hAnsi="Palatino Linotype" w:cs="Palatino Linotype"/>
        </w:rPr>
      </w:pPr>
    </w:p>
    <w:p w:rsidR="00AB3398" w:rsidRDefault="00AD7FA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Para justificar lo anterior</w:t>
      </w:r>
      <w:r>
        <w:rPr>
          <w:rFonts w:ascii="Palatino Linotype" w:eastAsia="Palatino Linotype" w:hAnsi="Palatino Linotype" w:cs="Palatino Linotype"/>
          <w:color w:val="000000"/>
        </w:rPr>
        <w:t xml:space="preserve">, este  Instituto, de conformidad con lo  establecido en el artículo 81  de  la  Ley  de Protección de Datos Personales en Posesión de Sujetos Obligados del Estado de México y Municipios,  es  el  organismo  encargado  de  garantizar  el ejercicio del derecho a la protección de datos personales en posesión de sujetos obligados dentro del territorio del Estado de México. </w:t>
      </w:r>
      <w:r>
        <w:rPr>
          <w:rFonts w:ascii="Palatino Linotype" w:eastAsia="Palatino Linotype" w:hAnsi="Palatino Linotype" w:cs="Palatino Linotype"/>
          <w:vertAlign w:val="superscript"/>
        </w:rPr>
        <w:footnoteReference w:id="11"/>
      </w:r>
    </w:p>
    <w:p w:rsidR="00AB3398" w:rsidRDefault="00AD7FA3">
      <w:pPr>
        <w:spacing w:after="24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 xml:space="preserve">Para tal propósito,  este  Instituto, debe  procurar que en  la  interpretación que se realice respecto de la normatividad aplicable en materia de protección de datos  </w:t>
      </w:r>
      <w:r>
        <w:rPr>
          <w:rFonts w:ascii="Palatino Linotype" w:eastAsia="Palatino Linotype" w:hAnsi="Palatino Linotype" w:cs="Palatino Linotype"/>
          <w:b/>
          <w:color w:val="000000"/>
        </w:rPr>
        <w:t>prevalezca siempre aquella que sea la más favorable a las personas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que están en aptitud  de ejercer dicha  prerrogativa frente a los sujetos obligados que posean sus datos personales, en términos del artículo 1° Constitucional Federal. </w:t>
      </w:r>
      <w:r>
        <w:rPr>
          <w:rFonts w:ascii="Palatino Linotype" w:eastAsia="Palatino Linotype" w:hAnsi="Palatino Linotype" w:cs="Palatino Linotype"/>
          <w:b/>
          <w:vertAlign w:val="superscript"/>
        </w:rPr>
        <w:footnoteReference w:id="12"/>
      </w:r>
    </w:p>
    <w:p w:rsidR="00AB3398" w:rsidRDefault="00AD7FA3">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Donde se  observa, la obligación de las  autoridades  para interpretar  las  normas  relativas  a  los derechos  humanos (como es el que nos ocupa el derecho a la protección de los datos personales), favoreciendo en todo tiempo a las personas la protección más amplia, así como garantizar los derechos humanos de conformidad con los principios de universalidad, interdependencia, indivisibilidad y progresividad.</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este sentido, este Instituto en ejercicio de la atribuciones referidas, sostiene que la medida que otorga la procedencia para que sea ejercitado el derecho de oposición de los datos personales que obran en el convenio publicado en el portal IPOMEX que administra el Sujeto Obligado </w:t>
      </w:r>
      <w:r>
        <w:rPr>
          <w:rFonts w:ascii="Palatino Linotype" w:eastAsia="Palatino Linotype" w:hAnsi="Palatino Linotype" w:cs="Palatino Linotype"/>
        </w:rPr>
        <w:t xml:space="preserve">resulta constitucionalmente admisible ya que: (I) </w:t>
      </w:r>
      <w:r>
        <w:rPr>
          <w:rFonts w:ascii="Palatino Linotype" w:eastAsia="Palatino Linotype" w:hAnsi="Palatino Linotype" w:cs="Palatino Linotype"/>
          <w:b/>
        </w:rPr>
        <w:lastRenderedPageBreak/>
        <w:t>persigue una finalidad legítima</w:t>
      </w:r>
      <w:r>
        <w:rPr>
          <w:rFonts w:ascii="Palatino Linotype" w:eastAsia="Palatino Linotype" w:hAnsi="Palatino Linotype" w:cs="Palatino Linotype"/>
        </w:rPr>
        <w:t xml:space="preserve">, a saber, en determinados supuestos salvaguardar la identidad y seguridad de su titular; (II) </w:t>
      </w:r>
      <w:r>
        <w:rPr>
          <w:rFonts w:ascii="Palatino Linotype" w:eastAsia="Palatino Linotype" w:hAnsi="Palatino Linotype" w:cs="Palatino Linotype"/>
          <w:b/>
        </w:rPr>
        <w:t>es una medida idónea</w:t>
      </w:r>
      <w:r>
        <w:rPr>
          <w:rFonts w:ascii="Palatino Linotype" w:eastAsia="Palatino Linotype" w:hAnsi="Palatino Linotype" w:cs="Palatino Linotype"/>
        </w:rPr>
        <w:t xml:space="preserve">, en virtud de que permite el ejercicio pleno de los derechos reconocidos por nuestra constitución y en </w:t>
      </w:r>
      <w:proofErr w:type="spellStart"/>
      <w:r>
        <w:rPr>
          <w:rFonts w:ascii="Palatino Linotype" w:eastAsia="Palatino Linotype" w:hAnsi="Palatino Linotype" w:cs="Palatino Linotype"/>
        </w:rPr>
        <w:t>lo</w:t>
      </w:r>
      <w:proofErr w:type="spellEnd"/>
      <w:r>
        <w:rPr>
          <w:rFonts w:ascii="Palatino Linotype" w:eastAsia="Palatino Linotype" w:hAnsi="Palatino Linotype" w:cs="Palatino Linotype"/>
        </w:rPr>
        <w:t xml:space="preserve"> tratados internacionales en los que México es parte, y dotar a los particulares de herramientas para ejercer otros derechos; y (III) </w:t>
      </w:r>
      <w:r>
        <w:rPr>
          <w:rFonts w:ascii="Palatino Linotype" w:eastAsia="Palatino Linotype" w:hAnsi="Palatino Linotype" w:cs="Palatino Linotype"/>
          <w:b/>
        </w:rPr>
        <w:t>resulta proporcional,</w:t>
      </w:r>
      <w:r>
        <w:rPr>
          <w:rFonts w:ascii="Palatino Linotype" w:eastAsia="Palatino Linotype" w:hAnsi="Palatino Linotype" w:cs="Palatino Linotype"/>
        </w:rPr>
        <w:t xml:space="preserve"> ya que si bien la misma fue publicada por referirse a las partes de un contrato, lo cierto es que "ello se ve superado con el objetivo que se persigue a través de su utilización de los derechos ARCO, como es la posibilidad de ejercer el derecho de oposición en algún tratamiento,  que en determinados casos cause algún perjuicio a su seguridad e integridad de la titular, lo que sin duda implica un mayor presa.</w:t>
      </w:r>
    </w:p>
    <w:p w:rsidR="00AB3398" w:rsidRDefault="00AD7FA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no resulta procedente la negativa por parte del Sujeto Obligado en dar trámite a  la solicitud derecho ejercido por la particular, siendo que ha quedado demostrada la atribución para administrar los documentos que dan cuenta del contenido de los datos personales de la titular en esta resolución referida. </w:t>
      </w:r>
    </w:p>
    <w:p w:rsidR="00AB3398" w:rsidRDefault="00AD7FA3">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Antes de concluir, es de señalar que, 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omitió proporcionar la respuesta a su solicitud de ejercicio de derechos ARCO, en el término contemplado en el ya citado artículo 108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137 párrafo tercero de la Ley de Protección de Datos Personales en Posesión de Sujetos Obligados del Estado de México y Municipios.</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AB3398" w:rsidRDefault="00AD7FA3">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RESUELVE</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 xml:space="preserve">fundados </w:t>
      </w:r>
      <w:r>
        <w:rPr>
          <w:rFonts w:ascii="Palatino Linotype" w:eastAsia="Palatino Linotype" w:hAnsi="Palatino Linotype" w:cs="Palatino Linotype"/>
        </w:rPr>
        <w:t xml:space="preserve">los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 Quinto</w:t>
      </w:r>
      <w:r>
        <w:rPr>
          <w:rFonts w:ascii="Palatino Linotype" w:eastAsia="Palatino Linotype" w:hAnsi="Palatino Linotype" w:cs="Palatino Linotype"/>
        </w:rPr>
        <w:t xml:space="preserve"> de esta resolución.</w:t>
      </w:r>
    </w:p>
    <w:p w:rsidR="00AB3398" w:rsidRDefault="00AD7FA3">
      <w:pPr>
        <w:widowControl w:val="0"/>
        <w:tabs>
          <w:tab w:val="left" w:pos="1701"/>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 la </w:t>
      </w:r>
      <w:r>
        <w:rPr>
          <w:rFonts w:ascii="Palatino Linotype" w:eastAsia="Palatino Linotype" w:hAnsi="Palatino Linotype" w:cs="Palatino Linotype"/>
          <w:b/>
        </w:rPr>
        <w:t xml:space="preserve">Universidad Tecnológica de Nezahualcóyotl, </w:t>
      </w:r>
      <w:r>
        <w:rPr>
          <w:rFonts w:ascii="Palatino Linotype" w:eastAsia="Palatino Linotype" w:hAnsi="Palatino Linotype" w:cs="Palatino Linotype"/>
        </w:rPr>
        <w:t xml:space="preserve"> dé trámite a  la  solicitud </w:t>
      </w:r>
      <w:r>
        <w:rPr>
          <w:rFonts w:ascii="Palatino Linotype" w:eastAsia="Palatino Linotype" w:hAnsi="Palatino Linotype" w:cs="Palatino Linotype"/>
          <w:b/>
        </w:rPr>
        <w:t>00001/UTNEZA/CD/2021</w:t>
      </w:r>
      <w:r>
        <w:rPr>
          <w:rFonts w:ascii="Palatino Linotype" w:eastAsia="Palatino Linotype" w:hAnsi="Palatino Linotype" w:cs="Palatino Linotype"/>
        </w:rPr>
        <w:t>, atendiendo a lo siguiente:</w:t>
      </w:r>
      <w:r>
        <w:rPr>
          <w:rFonts w:ascii="Palatino Linotype" w:eastAsia="Palatino Linotype" w:hAnsi="Palatino Linotype" w:cs="Palatino Linotype"/>
          <w:b/>
        </w:rPr>
        <w:t xml:space="preserve"> </w:t>
      </w:r>
    </w:p>
    <w:p w:rsidR="00AB3398" w:rsidRDefault="00AB3398">
      <w:pPr>
        <w:widowControl w:val="0"/>
        <w:tabs>
          <w:tab w:val="left" w:pos="1701"/>
        </w:tabs>
        <w:spacing w:line="360" w:lineRule="auto"/>
        <w:jc w:val="both"/>
        <w:rPr>
          <w:rFonts w:ascii="Palatino Linotype" w:eastAsia="Palatino Linotype" w:hAnsi="Palatino Linotype" w:cs="Palatino Linotype"/>
          <w:b/>
        </w:rPr>
      </w:pPr>
    </w:p>
    <w:p w:rsidR="00AB3398" w:rsidRDefault="00AD7FA3">
      <w:pPr>
        <w:widowControl w:val="0"/>
        <w:numPr>
          <w:ilvl w:val="0"/>
          <w:numId w:val="2"/>
        </w:numPr>
        <w:pBdr>
          <w:top w:val="nil"/>
          <w:left w:val="nil"/>
          <w:bottom w:val="nil"/>
          <w:right w:val="nil"/>
          <w:between w:val="nil"/>
        </w:pBdr>
        <w:tabs>
          <w:tab w:val="left" w:pos="1701"/>
        </w:tabs>
        <w:spacing w:line="360" w:lineRule="auto"/>
        <w:ind w:right="118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El cese al tratamiento de datos personales consistentes en domicilio y RFC, realizado por la Universidad Tecnológica de Nezahualcóyotl en el convenio AG/CONV/379/17. </w:t>
      </w:r>
    </w:p>
    <w:p w:rsidR="00AB3398" w:rsidRDefault="00AB3398">
      <w:pPr>
        <w:widowControl w:val="0"/>
        <w:pBdr>
          <w:top w:val="nil"/>
          <w:left w:val="nil"/>
          <w:bottom w:val="nil"/>
          <w:right w:val="nil"/>
          <w:between w:val="nil"/>
        </w:pBdr>
        <w:tabs>
          <w:tab w:val="left" w:pos="1701"/>
        </w:tabs>
        <w:ind w:left="720" w:right="1185"/>
        <w:jc w:val="both"/>
        <w:rPr>
          <w:rFonts w:ascii="Palatino Linotype" w:eastAsia="Palatino Linotype" w:hAnsi="Palatino Linotype" w:cs="Palatino Linotype"/>
          <w:i/>
          <w:color w:val="000000"/>
          <w:sz w:val="22"/>
          <w:szCs w:val="22"/>
        </w:rPr>
      </w:pPr>
    </w:p>
    <w:p w:rsidR="00AB3398" w:rsidRDefault="00AD7FA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la presente resolución a través del Sistema de Acceso, Rectificación, Cancelación y Oposición del Estado de México y Municipios (SARCOEM) al Titular de la Unidad de Transparencia del Sujeto Obligado, para que conforme al artículo 186 último párrafo, 189 segundo párrafo y 194 de la Ley de Transparencia y Acceso a la Información Pública del Estado de México y Municipios; dé cumplimiento </w:t>
      </w:r>
      <w:r>
        <w:rPr>
          <w:rFonts w:ascii="Palatino Linotype" w:eastAsia="Palatino Linotype" w:hAnsi="Palatino Linotype" w:cs="Palatino Linotype"/>
        </w:rPr>
        <w:lastRenderedPageBreak/>
        <w:t xml:space="preserve">a lo ordenado dentro del plazo de diez días hábiles, e informe a este Instituto en un plazo de tres días hábiles siguientes sobre el cumplimiento dado a la presente. </w:t>
      </w:r>
    </w:p>
    <w:p w:rsidR="00AB3398" w:rsidRDefault="00AB3398">
      <w:pPr>
        <w:spacing w:line="360" w:lineRule="auto"/>
        <w:ind w:right="-93"/>
        <w:jc w:val="both"/>
        <w:rPr>
          <w:rFonts w:ascii="Palatino Linotype" w:eastAsia="Palatino Linotype" w:hAnsi="Palatino Linotype" w:cs="Palatino Linotype"/>
        </w:rPr>
      </w:pPr>
    </w:p>
    <w:p w:rsidR="00AB3398" w:rsidRDefault="00AD7F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B3398" w:rsidRDefault="00AB3398">
      <w:pPr>
        <w:spacing w:line="360" w:lineRule="auto"/>
        <w:ind w:right="-93"/>
        <w:jc w:val="both"/>
        <w:rPr>
          <w:rFonts w:ascii="Palatino Linotype" w:eastAsia="Palatino Linotype" w:hAnsi="Palatino Linotype" w:cs="Palatino Linotype"/>
        </w:rPr>
      </w:pPr>
    </w:p>
    <w:p w:rsidR="00AB3398" w:rsidRDefault="00AD7FA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 la Recurrente la presente Resolución a través del Sistema de Acceso, Rectificación, Cancelación y Oposición del Estado de México y Municipios (SARCOEM) y a través del correo electrónico indicado en la solicitud 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rsidR="00AB3398" w:rsidRDefault="00AD7FA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al Contralor Interno de este Instituto para que actúe en razón de su competencia, en términos de lo expuesto en el </w:t>
      </w:r>
      <w:r>
        <w:rPr>
          <w:rFonts w:ascii="Palatino Linotype" w:eastAsia="Palatino Linotype" w:hAnsi="Palatino Linotype" w:cs="Palatino Linotype"/>
          <w:b/>
        </w:rPr>
        <w:t>Considerando Quinto</w:t>
      </w:r>
      <w:r>
        <w:rPr>
          <w:rFonts w:ascii="Palatino Linotype" w:eastAsia="Palatino Linotype" w:hAnsi="Palatino Linotype" w:cs="Palatino Linotype"/>
        </w:rPr>
        <w:t xml:space="preserve"> de la presente resolución.</w:t>
      </w:r>
    </w:p>
    <w:p w:rsidR="00AD7FA3" w:rsidRDefault="00AD7FA3">
      <w:pPr>
        <w:spacing w:line="360" w:lineRule="auto"/>
        <w:jc w:val="both"/>
        <w:rPr>
          <w:rFonts w:ascii="Palatino Linotype" w:eastAsia="Palatino Linotype" w:hAnsi="Palatino Linotype" w:cs="Palatino Linotype"/>
        </w:rPr>
        <w:sectPr w:rsidR="00AD7FA3">
          <w:headerReference w:type="default" r:id="rId24"/>
          <w:footerReference w:type="default" r:id="rId25"/>
          <w:headerReference w:type="first" r:id="rId26"/>
          <w:footerReference w:type="first" r:id="rId27"/>
          <w:pgSz w:w="12240" w:h="15840"/>
          <w:pgMar w:top="1418" w:right="1418" w:bottom="1418" w:left="1701" w:header="709" w:footer="709" w:gutter="0"/>
          <w:pgNumType w:start="1"/>
          <w:cols w:space="720"/>
          <w:titlePg/>
        </w:sectPr>
      </w:pP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Pr>
          <w:rFonts w:ascii="Palatino Linotype" w:eastAsia="Palatino Linotype" w:hAnsi="Palatino Linotype" w:cs="Palatino Linotype"/>
        </w:rPr>
        <w:lastRenderedPageBreak/>
        <w:t xml:space="preserve">(AUSENCIA JUSTIFICADA), LUIS GUSTAVO PARRA NORIEGA Y GUADALUPE RAMÍREZ PEÑA, EN LA CUADRAGÉSIMA QUINTA SESIÓN ORDINARIA, CELEBRADA EL QUINCE DE DICIEMBRE DE DOS MIL VEINTIUNO, ANTE EL </w:t>
      </w:r>
      <w:r>
        <w:rPr>
          <w:rFonts w:ascii="Palatino Linotype" w:eastAsia="Palatino Linotype" w:hAnsi="Palatino Linotype" w:cs="Palatino Linotype"/>
          <w:noProof/>
          <w:lang w:val="es-MX"/>
        </w:rPr>
        <mc:AlternateContent>
          <mc:Choice Requires="wps">
            <w:drawing>
              <wp:anchor distT="0" distB="0" distL="114300" distR="114300" simplePos="0" relativeHeight="251664384" behindDoc="0" locked="0" layoutInCell="1" allowOverlap="1">
                <wp:simplePos x="0" y="0"/>
                <wp:positionH relativeFrom="column">
                  <wp:posOffset>43814</wp:posOffset>
                </wp:positionH>
                <wp:positionV relativeFrom="paragraph">
                  <wp:posOffset>1172210</wp:posOffset>
                </wp:positionV>
                <wp:extent cx="5476875" cy="64579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76875" cy="645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611D6"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5pt,92.3pt" to="434.7pt,6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" strokecolor="black [3040]"/>
            </w:pict>
          </mc:Fallback>
        </mc:AlternateContent>
      </w:r>
      <w:r>
        <w:rPr>
          <w:rFonts w:ascii="Palatino Linotype" w:eastAsia="Palatino Linotype" w:hAnsi="Palatino Linotype" w:cs="Palatino Linotype"/>
        </w:rPr>
        <w:t>SECRETARIO TÉCNICO DEL PLENO, ALEXIS TAPIA RAMÍREZ.</w:t>
      </w:r>
    </w:p>
    <w:p w:rsidR="00AB3398" w:rsidRDefault="00AB3398">
      <w:pPr>
        <w:spacing w:line="360" w:lineRule="auto"/>
        <w:jc w:val="both"/>
        <w:rPr>
          <w:rFonts w:ascii="Palatino Linotype" w:eastAsia="Palatino Linotype" w:hAnsi="Palatino Linotype" w:cs="Palatino Linotype"/>
        </w:rPr>
      </w:pPr>
    </w:p>
    <w:p w:rsidR="00AB3398" w:rsidRDefault="00AB3398">
      <w:pPr>
        <w:spacing w:line="360" w:lineRule="auto"/>
        <w:ind w:right="-93"/>
        <w:jc w:val="both"/>
        <w:rPr>
          <w:rFonts w:ascii="Palatino Linotype" w:eastAsia="Palatino Linotype" w:hAnsi="Palatino Linotype" w:cs="Palatino Linotype"/>
          <w:color w:val="FF0000"/>
        </w:rPr>
      </w:pPr>
    </w:p>
    <w:p w:rsidR="00AB3398" w:rsidRDefault="00AB3398">
      <w:pPr>
        <w:widowControl w:val="0"/>
        <w:pBdr>
          <w:top w:val="nil"/>
          <w:left w:val="nil"/>
          <w:bottom w:val="nil"/>
          <w:right w:val="nil"/>
          <w:between w:val="nil"/>
        </w:pBdr>
        <w:tabs>
          <w:tab w:val="left" w:pos="1701"/>
        </w:tabs>
        <w:spacing w:before="240" w:after="240" w:line="360" w:lineRule="auto"/>
        <w:jc w:val="both"/>
        <w:rPr>
          <w:rFonts w:ascii="Palatino Linotype" w:eastAsia="Palatino Linotype" w:hAnsi="Palatino Linotype" w:cs="Palatino Linotype"/>
          <w:color w:val="222222"/>
        </w:rPr>
      </w:pPr>
    </w:p>
    <w:sectPr w:rsidR="00AB3398">
      <w:headerReference w:type="first" r:id="rId28"/>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6FC" w:rsidRDefault="00AD7FA3">
      <w:r>
        <w:separator/>
      </w:r>
    </w:p>
  </w:endnote>
  <w:endnote w:type="continuationSeparator" w:id="0">
    <w:p w:rsidR="006226FC" w:rsidRDefault="00AD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98" w:rsidRDefault="00AD7F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3BFC">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3BFC">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rsidR="00AB3398" w:rsidRDefault="00AB339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98" w:rsidRDefault="00AD7F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3BF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3BFC">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rsidR="00AB3398" w:rsidRDefault="00AB339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6FC" w:rsidRDefault="00AD7FA3">
      <w:r>
        <w:separator/>
      </w:r>
    </w:p>
  </w:footnote>
  <w:footnote w:type="continuationSeparator" w:id="0">
    <w:p w:rsidR="006226FC" w:rsidRDefault="00AD7FA3">
      <w:r>
        <w:continuationSeparator/>
      </w:r>
    </w:p>
  </w:footnote>
  <w:footnote w:id="1">
    <w:p w:rsidR="00AB3398" w:rsidRDefault="00AD7FA3">
      <w:pPr>
        <w:pBdr>
          <w:top w:val="nil"/>
          <w:left w:val="nil"/>
          <w:bottom w:val="nil"/>
          <w:right w:val="nil"/>
          <w:between w:val="nil"/>
        </w:pBdr>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p>
    <w:p w:rsidR="00AB3398" w:rsidRDefault="00AD7FA3">
      <w:pPr>
        <w:pBdr>
          <w:top w:val="nil"/>
          <w:left w:val="nil"/>
          <w:bottom w:val="nil"/>
          <w:right w:val="nil"/>
          <w:between w:val="nil"/>
        </w:pBdr>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Artículo 106.</w:t>
      </w:r>
    </w:p>
    <w:p w:rsidR="00AB3398" w:rsidRDefault="00AD7FA3">
      <w:pPr>
        <w:pBdr>
          <w:top w:val="nil"/>
          <w:left w:val="nil"/>
          <w:bottom w:val="nil"/>
          <w:right w:val="nil"/>
          <w:between w:val="nil"/>
        </w:pBdr>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Para el ejercicio de los derechos ARCO solicitados será necesario acreditar la identidad de titular y en su caso la identidad y personalidad con la que actúe el representante.”</w:t>
      </w:r>
    </w:p>
    <w:p w:rsidR="00AB3398" w:rsidRDefault="00AB3398">
      <w:pPr>
        <w:pBdr>
          <w:top w:val="nil"/>
          <w:left w:val="nil"/>
          <w:bottom w:val="nil"/>
          <w:right w:val="nil"/>
          <w:between w:val="nil"/>
        </w:pBdr>
        <w:rPr>
          <w:rFonts w:ascii="Palatino Linotype" w:eastAsia="Palatino Linotype" w:hAnsi="Palatino Linotype" w:cs="Palatino Linotype"/>
          <w:i/>
          <w:color w:val="000000"/>
          <w:sz w:val="18"/>
          <w:szCs w:val="18"/>
        </w:rPr>
      </w:pPr>
    </w:p>
  </w:footnote>
  <w:footnote w:id="2">
    <w:p w:rsidR="00AB3398" w:rsidRDefault="00AD7FA3">
      <w:pPr>
        <w:pBdr>
          <w:top w:val="nil"/>
          <w:left w:val="nil"/>
          <w:bottom w:val="nil"/>
          <w:right w:val="nil"/>
          <w:between w:val="nil"/>
        </w:pBdr>
        <w:jc w:val="both"/>
        <w:rPr>
          <w:rFonts w:ascii="Cambria" w:eastAsia="Cambria" w:hAnsi="Cambria" w:cs="Cambria"/>
          <w:i/>
          <w:color w:val="000000"/>
          <w:sz w:val="20"/>
          <w:szCs w:val="20"/>
        </w:rPr>
      </w:pPr>
      <w:r>
        <w:rPr>
          <w:vertAlign w:val="superscript"/>
        </w:rPr>
        <w:footnoteRef/>
      </w:r>
      <w:r>
        <w:rPr>
          <w:rFonts w:ascii="Cambria" w:eastAsia="Cambria" w:hAnsi="Cambria" w:cs="Cambria"/>
          <w:color w:val="000000"/>
          <w:sz w:val="20"/>
          <w:szCs w:val="20"/>
        </w:rPr>
        <w:t xml:space="preserve"> Última reforma publicada en el Diario Oficial de la Federación el veinticuatro de febrero de dos mil diecisiete, consultada en el sitio web.</w:t>
      </w:r>
      <w:r>
        <w:rPr>
          <w:rFonts w:ascii="Cambria" w:eastAsia="Cambria" w:hAnsi="Cambria" w:cs="Cambria"/>
          <w:i/>
          <w:color w:val="000000"/>
          <w:sz w:val="20"/>
          <w:szCs w:val="20"/>
        </w:rPr>
        <w:t xml:space="preserve"> </w:t>
      </w:r>
      <w:hyperlink r:id="rId1">
        <w:r>
          <w:rPr>
            <w:rFonts w:ascii="Cambria" w:eastAsia="Cambria" w:hAnsi="Cambria" w:cs="Cambria"/>
            <w:i/>
            <w:color w:val="0000FF"/>
            <w:sz w:val="20"/>
            <w:szCs w:val="20"/>
            <w:u w:val="single"/>
          </w:rPr>
          <w:t>http://www.diputados.gob.mx/LeyesBiblio/pdf/1_150917.pdf</w:t>
        </w:r>
      </w:hyperlink>
    </w:p>
    <w:p w:rsidR="00AB3398" w:rsidRDefault="00AB3398">
      <w:pPr>
        <w:pBdr>
          <w:top w:val="nil"/>
          <w:left w:val="nil"/>
          <w:bottom w:val="nil"/>
          <w:right w:val="nil"/>
          <w:between w:val="nil"/>
        </w:pBdr>
        <w:jc w:val="both"/>
        <w:rPr>
          <w:rFonts w:ascii="Cambria" w:eastAsia="Cambria" w:hAnsi="Cambria" w:cs="Cambria"/>
          <w:i/>
          <w:color w:val="000000"/>
          <w:sz w:val="20"/>
          <w:szCs w:val="20"/>
        </w:rPr>
      </w:pP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Artículo 6o.</w:t>
      </w: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II. La información que se refiere a la vida privada y los datos personales será protegida en los términos y con las excepciones que fijen las leyes.</w:t>
      </w: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rsidR="00AB3398" w:rsidRDefault="00AB3398">
      <w:pPr>
        <w:pBdr>
          <w:top w:val="nil"/>
          <w:left w:val="nil"/>
          <w:bottom w:val="nil"/>
          <w:right w:val="nil"/>
          <w:between w:val="nil"/>
        </w:pBdr>
        <w:jc w:val="both"/>
        <w:rPr>
          <w:rFonts w:ascii="Cambria" w:eastAsia="Cambria" w:hAnsi="Cambria" w:cs="Cambria"/>
          <w:color w:val="000000"/>
          <w:sz w:val="20"/>
          <w:szCs w:val="20"/>
        </w:rPr>
      </w:pP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Artículo 16.</w:t>
      </w: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3">
    <w:p w:rsidR="00AB3398" w:rsidRDefault="00AD7FA3">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Artículo 4. Para los efectos de esta Ley se entenderá por:</w:t>
      </w:r>
      <w:r>
        <w:rPr>
          <w:rFonts w:ascii="Cambria" w:eastAsia="Cambria" w:hAnsi="Cambria" w:cs="Cambria"/>
          <w:color w:val="000000"/>
          <w:sz w:val="20"/>
          <w:szCs w:val="20"/>
        </w:rPr>
        <w:br/>
        <w:t xml:space="preserve">… </w:t>
      </w: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B3398" w:rsidRDefault="00AB3398">
      <w:pPr>
        <w:pBdr>
          <w:top w:val="nil"/>
          <w:left w:val="nil"/>
          <w:bottom w:val="nil"/>
          <w:right w:val="nil"/>
          <w:between w:val="nil"/>
        </w:pBdr>
        <w:jc w:val="both"/>
        <w:rPr>
          <w:rFonts w:ascii="Cambria" w:eastAsia="Cambria" w:hAnsi="Cambria" w:cs="Cambria"/>
          <w:color w:val="000000"/>
          <w:sz w:val="20"/>
          <w:szCs w:val="20"/>
        </w:rPr>
      </w:pPr>
    </w:p>
  </w:footnote>
  <w:footnote w:id="4">
    <w:p w:rsidR="00AB3398" w:rsidRDefault="00AD7FA3">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APARICIO SALOM, Javier, Estudio sobre la Ley Orgánica de Protección de Datos de Carácter Personal, Aranzadi, Navarra, 2000, p. 139.</w:t>
      </w:r>
    </w:p>
    <w:p w:rsidR="00AB3398" w:rsidRDefault="00AB3398">
      <w:pPr>
        <w:pBdr>
          <w:top w:val="nil"/>
          <w:left w:val="nil"/>
          <w:bottom w:val="nil"/>
          <w:right w:val="nil"/>
          <w:between w:val="nil"/>
        </w:pBdr>
        <w:jc w:val="both"/>
        <w:rPr>
          <w:rFonts w:ascii="Cambria" w:eastAsia="Cambria" w:hAnsi="Cambria" w:cs="Cambria"/>
          <w:color w:val="000000"/>
          <w:sz w:val="20"/>
          <w:szCs w:val="20"/>
        </w:rPr>
      </w:pPr>
    </w:p>
  </w:footnote>
  <w:footnote w:id="5">
    <w:p w:rsidR="00AB3398" w:rsidRDefault="00AD7FA3">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AGENCIA DE PROTECCIÓN DE DATOS, Protección de Datos Personales, Agencia de Protección de Datos, Madrid, 2000, pp. 34-37.</w:t>
      </w:r>
    </w:p>
  </w:footnote>
  <w:footnote w:id="6">
    <w:p w:rsidR="00AB3398" w:rsidRDefault="00AD7FA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DEL PESO NAVARRO, Emilio; y otros. 2008. Nuevo reglamento de protección de datos de carácter personal: medidas de seguridad. Pág. 132. España: Ediciones Díaz de Santos</w:t>
      </w:r>
    </w:p>
  </w:footnote>
  <w:footnote w:id="7">
    <w:p w:rsidR="00AB3398" w:rsidRDefault="00AD7FA3">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101. La cancelación dará lugar al bloqueo de los datos en el que el responsable lo conservará precautoriamente para efectos de responsabilidades, hasta el plazo de prescripción legal o contractual de éstas.</w:t>
      </w:r>
    </w:p>
    <w:p w:rsidR="00AB3398" w:rsidRDefault="00AB3398">
      <w:pPr>
        <w:pBdr>
          <w:top w:val="nil"/>
          <w:left w:val="nil"/>
          <w:bottom w:val="nil"/>
          <w:right w:val="nil"/>
          <w:between w:val="nil"/>
        </w:pBdr>
        <w:jc w:val="both"/>
        <w:rPr>
          <w:rFonts w:ascii="Cambria" w:eastAsia="Cambria" w:hAnsi="Cambria" w:cs="Cambria"/>
          <w:color w:val="000000"/>
          <w:sz w:val="20"/>
          <w:szCs w:val="20"/>
        </w:rPr>
      </w:pP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Durante dicho periodo, los datos personales no podrán ser objeto de tratamiento y transcurrido éste, se procederá a su cancelación en la base y sistemas de datos que corresponda.</w:t>
      </w:r>
    </w:p>
    <w:p w:rsidR="00AB3398" w:rsidRDefault="00AB3398">
      <w:pPr>
        <w:pBdr>
          <w:top w:val="nil"/>
          <w:left w:val="nil"/>
          <w:bottom w:val="nil"/>
          <w:right w:val="nil"/>
          <w:between w:val="nil"/>
        </w:pBdr>
        <w:jc w:val="both"/>
        <w:rPr>
          <w:rFonts w:ascii="Cambria" w:eastAsia="Cambria" w:hAnsi="Cambria" w:cs="Cambria"/>
          <w:color w:val="000000"/>
          <w:sz w:val="20"/>
          <w:szCs w:val="20"/>
        </w:rPr>
      </w:pP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La cancelación procederá de oficio cuando el administrador, en términos de lo establecido en los lineamientos respectivos, estime que dichos datos resultan inadecuados o excesivos o cuando haya concluido la finalidad para la cual fueron recabados.</w:t>
      </w:r>
    </w:p>
  </w:footnote>
  <w:footnote w:id="8">
    <w:p w:rsidR="00AB3398" w:rsidRDefault="00AD7FA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Fuente: Gaceta del Semanario Judicial de la Federación. Libro 2, Junio de 2021, Tomo V, página 4960</w:t>
      </w:r>
    </w:p>
  </w:footnote>
  <w:footnote w:id="9">
    <w:p w:rsidR="00AB3398" w:rsidRDefault="00AD7FA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 Se crea la Universidad Tecnológica de Nezahualcóyotl, como Organismo Público Descentralizado del Gobierno del Estado de México, con personalidad jurídica y patrimonio propios.</w:t>
      </w:r>
    </w:p>
  </w:footnote>
  <w:footnote w:id="10">
    <w:p w:rsidR="00AB3398" w:rsidRDefault="00AD7FA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Mustapich</w:t>
      </w:r>
      <w:proofErr w:type="spellEnd"/>
      <w:r>
        <w:rPr>
          <w:rFonts w:ascii="Cambria" w:eastAsia="Cambria" w:hAnsi="Cambria" w:cs="Cambria"/>
          <w:color w:val="000000"/>
          <w:sz w:val="20"/>
          <w:szCs w:val="20"/>
        </w:rPr>
        <w:t xml:space="preserve">, J.M; citado por </w:t>
      </w:r>
      <w:proofErr w:type="spellStart"/>
      <w:r>
        <w:rPr>
          <w:rFonts w:ascii="Cambria" w:eastAsia="Cambria" w:hAnsi="Cambria" w:cs="Cambria"/>
          <w:color w:val="000000"/>
          <w:sz w:val="20"/>
          <w:szCs w:val="20"/>
        </w:rPr>
        <w:t>Baltierra</w:t>
      </w:r>
      <w:proofErr w:type="spellEnd"/>
      <w:r>
        <w:rPr>
          <w:rFonts w:ascii="Cambria" w:eastAsia="Cambria" w:hAnsi="Cambria" w:cs="Cambria"/>
          <w:color w:val="000000"/>
          <w:sz w:val="20"/>
          <w:szCs w:val="20"/>
        </w:rPr>
        <w:t xml:space="preserve"> Guerrero A. consultable en: https://revistas-colaboracion.juridicas.unam.mx/index.php/rev-facultad-derecho-mx/article/download/30813/27804</w:t>
      </w:r>
    </w:p>
  </w:footnote>
  <w:footnote w:id="11">
    <w:p w:rsidR="00AB3398" w:rsidRDefault="00AD7FA3">
      <w:pPr>
        <w:pBdr>
          <w:top w:val="nil"/>
          <w:left w:val="nil"/>
          <w:bottom w:val="nil"/>
          <w:right w:val="nil"/>
          <w:between w:val="nil"/>
        </w:pBdr>
        <w:jc w:val="both"/>
        <w:rPr>
          <w:rFonts w:ascii="Cambria" w:eastAsia="Cambria" w:hAnsi="Cambria" w:cs="Cambria"/>
          <w:i/>
          <w:color w:val="000000"/>
          <w:sz w:val="20"/>
          <w:szCs w:val="20"/>
        </w:rPr>
      </w:pPr>
      <w:r>
        <w:rPr>
          <w:vertAlign w:val="superscript"/>
        </w:rPr>
        <w:footnoteRef/>
      </w:r>
      <w:r>
        <w:rPr>
          <w:rFonts w:ascii="Cambria" w:eastAsia="Cambria" w:hAnsi="Cambria" w:cs="Cambria"/>
          <w:color w:val="000000"/>
          <w:sz w:val="20"/>
          <w:szCs w:val="20"/>
        </w:rPr>
        <w:t>consultada en el sitio web.</w:t>
      </w:r>
      <w:r>
        <w:rPr>
          <w:rFonts w:ascii="Cambria" w:eastAsia="Cambria" w:hAnsi="Cambria" w:cs="Cambria"/>
          <w:i/>
          <w:color w:val="000000"/>
          <w:sz w:val="20"/>
          <w:szCs w:val="20"/>
        </w:rPr>
        <w:t xml:space="preserve"> </w:t>
      </w:r>
      <w:hyperlink r:id="rId2">
        <w:r>
          <w:rPr>
            <w:rFonts w:ascii="Cambria" w:eastAsia="Cambria" w:hAnsi="Cambria" w:cs="Cambria"/>
            <w:i/>
            <w:color w:val="0000FF"/>
            <w:sz w:val="20"/>
            <w:szCs w:val="20"/>
            <w:u w:val="single"/>
          </w:rPr>
          <w:t>http://legislacion.edomex.gob.mx/sites/legislacion.edomex.gob.mx/files/files/pdf/ley/vig/leyvig244.pdf</w:t>
        </w:r>
      </w:hyperlink>
      <w:r>
        <w:rPr>
          <w:rFonts w:ascii="Cambria" w:eastAsia="Cambria" w:hAnsi="Cambria" w:cs="Cambria"/>
          <w:i/>
          <w:color w:val="000000"/>
          <w:sz w:val="20"/>
          <w:szCs w:val="20"/>
        </w:rPr>
        <w:t xml:space="preserve"> </w:t>
      </w:r>
    </w:p>
    <w:p w:rsidR="00AB3398" w:rsidRDefault="00AB3398">
      <w:pPr>
        <w:pBdr>
          <w:top w:val="nil"/>
          <w:left w:val="nil"/>
          <w:bottom w:val="nil"/>
          <w:right w:val="nil"/>
          <w:between w:val="nil"/>
        </w:pBdr>
        <w:jc w:val="both"/>
        <w:rPr>
          <w:rFonts w:ascii="Cambria" w:eastAsia="Cambria" w:hAnsi="Cambria" w:cs="Cambria"/>
          <w:i/>
          <w:color w:val="000000"/>
          <w:sz w:val="20"/>
          <w:szCs w:val="20"/>
        </w:rPr>
      </w:pP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Artículo 81. El Instituto es la autoridad encargada de garantizar a toda persona la protección de sus</w:t>
      </w: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datos personales que se encuentren en posesión de los sujetos obligados, a través de la aplicación de la</w:t>
      </w: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presente Ley, en concordancia con lo establecido por las disposiciones legales y normatividad en la</w:t>
      </w: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materia.</w:t>
      </w:r>
    </w:p>
    <w:p w:rsidR="00AB3398" w:rsidRDefault="00AB3398">
      <w:pPr>
        <w:pBdr>
          <w:top w:val="nil"/>
          <w:left w:val="nil"/>
          <w:bottom w:val="nil"/>
          <w:right w:val="nil"/>
          <w:between w:val="nil"/>
        </w:pBdr>
        <w:jc w:val="both"/>
        <w:rPr>
          <w:rFonts w:ascii="Cambria" w:eastAsia="Cambria" w:hAnsi="Cambria" w:cs="Cambria"/>
          <w:color w:val="000000"/>
          <w:sz w:val="20"/>
          <w:szCs w:val="20"/>
        </w:rPr>
      </w:pPr>
    </w:p>
    <w:p w:rsidR="00AB3398" w:rsidRDefault="00AB3398">
      <w:pPr>
        <w:pBdr>
          <w:top w:val="nil"/>
          <w:left w:val="nil"/>
          <w:bottom w:val="nil"/>
          <w:right w:val="nil"/>
          <w:between w:val="nil"/>
        </w:pBdr>
        <w:jc w:val="both"/>
        <w:rPr>
          <w:rFonts w:ascii="Cambria" w:eastAsia="Cambria" w:hAnsi="Cambria" w:cs="Cambria"/>
          <w:color w:val="000000"/>
          <w:sz w:val="20"/>
          <w:szCs w:val="20"/>
        </w:rPr>
      </w:pPr>
    </w:p>
  </w:footnote>
  <w:footnote w:id="12">
    <w:p w:rsidR="00AB3398" w:rsidRDefault="00AD7FA3">
      <w:pPr>
        <w:pBdr>
          <w:top w:val="nil"/>
          <w:left w:val="nil"/>
          <w:bottom w:val="nil"/>
          <w:right w:val="nil"/>
          <w:between w:val="nil"/>
        </w:pBdr>
        <w:jc w:val="both"/>
        <w:rPr>
          <w:rFonts w:ascii="Cambria" w:eastAsia="Cambria" w:hAnsi="Cambria" w:cs="Cambria"/>
          <w:i/>
          <w:color w:val="000000"/>
          <w:sz w:val="20"/>
          <w:szCs w:val="20"/>
        </w:rPr>
      </w:pPr>
      <w:r>
        <w:rPr>
          <w:vertAlign w:val="superscript"/>
        </w:rPr>
        <w:footnoteRef/>
      </w:r>
      <w:r>
        <w:rPr>
          <w:rFonts w:ascii="Cambria" w:eastAsia="Cambria" w:hAnsi="Cambria" w:cs="Cambria"/>
          <w:color w:val="000000"/>
          <w:sz w:val="20"/>
          <w:szCs w:val="20"/>
        </w:rPr>
        <w:t>consultada en el sitio web.</w:t>
      </w:r>
      <w:r>
        <w:rPr>
          <w:rFonts w:ascii="Cambria" w:eastAsia="Cambria" w:hAnsi="Cambria" w:cs="Cambria"/>
          <w:i/>
          <w:color w:val="000000"/>
          <w:sz w:val="20"/>
          <w:szCs w:val="20"/>
        </w:rPr>
        <w:t xml:space="preserve"> </w:t>
      </w:r>
      <w:hyperlink r:id="rId3">
        <w:r>
          <w:rPr>
            <w:rFonts w:ascii="Cambria" w:eastAsia="Cambria" w:hAnsi="Cambria" w:cs="Cambria"/>
            <w:i/>
            <w:color w:val="0000FF"/>
            <w:sz w:val="20"/>
            <w:szCs w:val="20"/>
            <w:u w:val="single"/>
          </w:rPr>
          <w:t>http://www.diputados.gob.mx/LeyesBiblio/pdf/1_150917.pdf</w:t>
        </w:r>
      </w:hyperlink>
    </w:p>
    <w:p w:rsidR="00AB3398" w:rsidRDefault="00AB3398">
      <w:pPr>
        <w:pBdr>
          <w:top w:val="nil"/>
          <w:left w:val="nil"/>
          <w:bottom w:val="nil"/>
          <w:right w:val="nil"/>
          <w:between w:val="nil"/>
        </w:pBdr>
        <w:jc w:val="both"/>
        <w:rPr>
          <w:rFonts w:ascii="Cambria" w:eastAsia="Cambria" w:hAnsi="Cambria" w:cs="Cambria"/>
          <w:i/>
          <w:color w:val="000000"/>
          <w:sz w:val="20"/>
          <w:szCs w:val="20"/>
        </w:rPr>
      </w:pP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 xml:space="preserve">Artículo 1o. </w:t>
      </w:r>
      <w:r>
        <w:rPr>
          <w:rFonts w:ascii="Cambria" w:eastAsia="Cambria" w:hAnsi="Cambria" w:cs="Cambria"/>
          <w:b/>
          <w:color w:val="000000"/>
          <w:sz w:val="20"/>
          <w:szCs w:val="20"/>
        </w:rPr>
        <w:t>En los Estados Unidos Mexicanos todas las personas gozarán de los derechos humanos reconocidos en esta Constitución</w:t>
      </w:r>
      <w:r>
        <w:rPr>
          <w:rFonts w:ascii="Cambria" w:eastAsia="Cambria" w:hAnsi="Cambria" w:cs="Cambria"/>
          <w:color w:val="000000"/>
          <w:sz w:val="20"/>
          <w:szCs w:val="20"/>
        </w:rPr>
        <w:t xml:space="preserve"> </w:t>
      </w:r>
      <w:r>
        <w:rPr>
          <w:rFonts w:ascii="Cambria" w:eastAsia="Cambria" w:hAnsi="Cambria" w:cs="Cambria"/>
          <w:b/>
          <w:color w:val="000000"/>
          <w:sz w:val="20"/>
          <w:szCs w:val="20"/>
        </w:rPr>
        <w:t>y en los tratados internacionales</w:t>
      </w:r>
      <w:r>
        <w:rPr>
          <w:rFonts w:ascii="Cambria" w:eastAsia="Cambria" w:hAnsi="Cambria" w:cs="Cambria"/>
          <w:color w:val="000000"/>
          <w:sz w:val="20"/>
          <w:szCs w:val="20"/>
        </w:rPr>
        <w:t xml:space="preserve"> </w:t>
      </w:r>
      <w:r>
        <w:rPr>
          <w:rFonts w:ascii="Cambria" w:eastAsia="Cambria" w:hAnsi="Cambria" w:cs="Cambria"/>
          <w:b/>
          <w:color w:val="000000"/>
          <w:sz w:val="20"/>
          <w:szCs w:val="20"/>
        </w:rPr>
        <w:t>de los que el Estado Mexicano sea parte</w:t>
      </w:r>
      <w:r>
        <w:rPr>
          <w:rFonts w:ascii="Cambria" w:eastAsia="Cambria" w:hAnsi="Cambria" w:cs="Cambria"/>
          <w:color w:val="000000"/>
          <w:sz w:val="20"/>
          <w:szCs w:val="20"/>
        </w:rPr>
        <w:t>, así como de las garantías para su protección, cuyo ejercicio no podrá restringirse ni suspenderse, salvo en los casos y bajo las condiciones que esta Constitución establece.</w:t>
      </w: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rsidR="00AB3398" w:rsidRDefault="00AD7FA3">
      <w:pPr>
        <w:pBdr>
          <w:top w:val="nil"/>
          <w:left w:val="nil"/>
          <w:bottom w:val="nil"/>
          <w:right w:val="nil"/>
          <w:between w:val="nil"/>
        </w:pBdr>
        <w:jc w:val="both"/>
        <w:rPr>
          <w:rFonts w:ascii="Cambria" w:eastAsia="Cambria" w:hAnsi="Cambria" w:cs="Cambria"/>
          <w:b/>
          <w:color w:val="000000"/>
          <w:sz w:val="20"/>
          <w:szCs w:val="20"/>
          <w:u w:val="single"/>
        </w:rPr>
      </w:pPr>
      <w:r>
        <w:rPr>
          <w:rFonts w:ascii="Cambria" w:eastAsia="Cambria" w:hAnsi="Cambria" w:cs="Cambria"/>
          <w:b/>
          <w:color w:val="000000"/>
          <w:sz w:val="20"/>
          <w:szCs w:val="20"/>
          <w:u w:val="single"/>
        </w:rPr>
        <w:t>Las normas relativas a los derechos humanos se interpretarán de conformidad con esta Constitución y con los tratados internacionales</w:t>
      </w:r>
      <w:r>
        <w:rPr>
          <w:rFonts w:ascii="Cambria" w:eastAsia="Cambria" w:hAnsi="Cambria" w:cs="Cambria"/>
          <w:color w:val="000000"/>
          <w:sz w:val="20"/>
          <w:szCs w:val="20"/>
        </w:rPr>
        <w:t xml:space="preserve"> </w:t>
      </w:r>
      <w:r>
        <w:rPr>
          <w:rFonts w:ascii="Cambria" w:eastAsia="Cambria" w:hAnsi="Cambria" w:cs="Cambria"/>
          <w:b/>
          <w:color w:val="000000"/>
          <w:sz w:val="20"/>
          <w:szCs w:val="20"/>
          <w:u w:val="single"/>
        </w:rPr>
        <w:t>de la materia favoreciendo en todo tiempo a las personas la protección más amplia.</w:t>
      </w:r>
    </w:p>
    <w:p w:rsidR="00AB3398" w:rsidRDefault="00AB3398">
      <w:pPr>
        <w:pBdr>
          <w:top w:val="nil"/>
          <w:left w:val="nil"/>
          <w:bottom w:val="nil"/>
          <w:right w:val="nil"/>
          <w:between w:val="nil"/>
        </w:pBdr>
        <w:jc w:val="both"/>
        <w:rPr>
          <w:rFonts w:ascii="Cambria" w:eastAsia="Cambria" w:hAnsi="Cambria" w:cs="Cambria"/>
          <w:b/>
          <w:color w:val="000000"/>
          <w:sz w:val="20"/>
          <w:szCs w:val="20"/>
          <w:u w:val="single"/>
        </w:rPr>
      </w:pPr>
    </w:p>
    <w:p w:rsidR="00AB3398" w:rsidRDefault="00AD7FA3">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b/>
          <w:color w:val="000000"/>
          <w:sz w:val="20"/>
          <w:szCs w:val="20"/>
        </w:rPr>
        <w:t>Todas las autoridades, en el ámbito de sus competencias, tienen la obligación de promover, respetar, proteger y garantizar los derechos humanos</w:t>
      </w:r>
      <w:r>
        <w:rPr>
          <w:rFonts w:ascii="Cambria" w:eastAsia="Cambria" w:hAnsi="Cambria" w:cs="Cambria"/>
          <w:color w:val="000000"/>
          <w:sz w:val="20"/>
          <w:szCs w:val="20"/>
        </w:rPr>
        <w:t xml:space="preserve"> de conformidad con los principios de universalidad, interdependencia, indivisibilidad y progresividad. En consecuencia, el Estado deberá prevenir, investigar, sancionar y reparar las violaciones a los derechos humanos, en los términos que establezca la ley</w:t>
      </w:r>
    </w:p>
    <w:p w:rsidR="00AB3398" w:rsidRDefault="00AB3398">
      <w:pPr>
        <w:pBdr>
          <w:top w:val="nil"/>
          <w:left w:val="nil"/>
          <w:bottom w:val="nil"/>
          <w:right w:val="nil"/>
          <w:between w:val="nil"/>
        </w:pBdr>
        <w:jc w:val="both"/>
        <w:rPr>
          <w:rFonts w:ascii="Cambria" w:eastAsia="Cambria" w:hAnsi="Cambria" w:cs="Cambria"/>
          <w:b/>
          <w:color w:val="000000"/>
          <w:sz w:val="20"/>
          <w:szCs w:val="20"/>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98" w:rsidRDefault="00653BF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alt="" style="position:absolute;margin-left:-87.45pt;margin-top:-125.75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PHOTO-2020-08-13-10-14-39"/>
          <w10:wrap anchorx="margin" anchory="margin"/>
        </v:shape>
      </w:pict>
    </w:r>
    <w:r w:rsidR="00AD7FA3">
      <w:rPr>
        <w:rFonts w:ascii="Cambria" w:eastAsia="Cambria" w:hAnsi="Cambria" w:cs="Cambria"/>
        <w:color w:val="000000"/>
      </w:rPr>
      <w:t xml:space="preserve">              </w:t>
    </w:r>
  </w:p>
  <w:tbl>
    <w:tblPr>
      <w:tblStyle w:val="a2"/>
      <w:tblW w:w="6237" w:type="dxa"/>
      <w:tblInd w:w="2977" w:type="dxa"/>
      <w:tblLayout w:type="fixed"/>
      <w:tblLook w:val="0400" w:firstRow="0" w:lastRow="0" w:firstColumn="0" w:lastColumn="0" w:noHBand="0" w:noVBand="1"/>
    </w:tblPr>
    <w:tblGrid>
      <w:gridCol w:w="2552"/>
      <w:gridCol w:w="3685"/>
    </w:tblGrid>
    <w:tr w:rsidR="00AB3398">
      <w:tc>
        <w:tcPr>
          <w:tcW w:w="2552" w:type="dxa"/>
          <w:shd w:val="clear" w:color="auto" w:fill="auto"/>
          <w:vAlign w:val="center"/>
        </w:tcPr>
        <w:p w:rsidR="00AB3398" w:rsidRDefault="00AD7F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AB3398" w:rsidRDefault="00AD7F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03999/INFOEM/CD/RR/2021</w:t>
          </w:r>
        </w:p>
      </w:tc>
    </w:tr>
    <w:tr w:rsidR="00AB3398">
      <w:trPr>
        <w:trHeight w:val="228"/>
      </w:trPr>
      <w:tc>
        <w:tcPr>
          <w:tcW w:w="2552" w:type="dxa"/>
          <w:shd w:val="clear" w:color="auto" w:fill="auto"/>
          <w:vAlign w:val="center"/>
        </w:tcPr>
        <w:p w:rsidR="00AB3398" w:rsidRDefault="00AD7F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AB3398" w:rsidRDefault="00AD7FA3">
          <w:pPr>
            <w:ind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Universidad Tecnológica de Nezahualcóyotl </w:t>
          </w:r>
        </w:p>
      </w:tc>
    </w:tr>
    <w:tr w:rsidR="00AB3398">
      <w:tc>
        <w:tcPr>
          <w:tcW w:w="2552" w:type="dxa"/>
          <w:shd w:val="clear" w:color="auto" w:fill="auto"/>
          <w:vAlign w:val="center"/>
        </w:tcPr>
        <w:p w:rsidR="00AB3398" w:rsidRDefault="00AD7F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rsidR="00AB3398" w:rsidRDefault="00AD7FA3">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B3398" w:rsidRDefault="00AD7FA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98" w:rsidRDefault="00653BFC">
    <w:pPr>
      <w:widowControl w:val="0"/>
      <w:pBdr>
        <w:top w:val="nil"/>
        <w:left w:val="nil"/>
        <w:bottom w:val="nil"/>
        <w:right w:val="nil"/>
        <w:between w:val="nil"/>
      </w:pBdr>
      <w:spacing w:line="276" w:lineRule="auto"/>
      <w:rPr>
        <w:rFonts w:ascii="Cambria" w:eastAsia="Cambria" w:hAnsi="Cambria" w:cs="Cambria"/>
        <w:color w:val="000000"/>
        <w:sz w:val="20"/>
        <w:szCs w:val="2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6" type="#_x0000_t75" alt="" style="position:absolute;margin-left:-85.2pt;margin-top:-150.35pt;width:663.5pt;height:12in;z-index:-251659264;mso-position-horizontal:absolute;mso-position-horizontal-relative:margin;mso-position-vertical:absolute;mso-position-vertical-relative:margin">
          <v:imagedata r:id="rId1" o:title="image8"/>
          <w10:wrap anchorx="margin" anchory="margin"/>
        </v:shape>
      </w:pict>
    </w:r>
  </w:p>
  <w:tbl>
    <w:tblPr>
      <w:tblStyle w:val="a1"/>
      <w:tblW w:w="6237" w:type="dxa"/>
      <w:tblInd w:w="2977" w:type="dxa"/>
      <w:tblLayout w:type="fixed"/>
      <w:tblLook w:val="0400" w:firstRow="0" w:lastRow="0" w:firstColumn="0" w:lastColumn="0" w:noHBand="0" w:noVBand="1"/>
    </w:tblPr>
    <w:tblGrid>
      <w:gridCol w:w="2552"/>
      <w:gridCol w:w="3685"/>
    </w:tblGrid>
    <w:tr w:rsidR="00AB3398">
      <w:tc>
        <w:tcPr>
          <w:tcW w:w="2552" w:type="dxa"/>
          <w:shd w:val="clear" w:color="auto" w:fill="auto"/>
          <w:vAlign w:val="center"/>
        </w:tcPr>
        <w:p w:rsidR="00AB3398" w:rsidRDefault="00AD7F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AB3398" w:rsidRDefault="00AD7F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03999/INFOEM/CD/RR/2021</w:t>
          </w:r>
        </w:p>
      </w:tc>
    </w:tr>
    <w:tr w:rsidR="00AB3398">
      <w:tc>
        <w:tcPr>
          <w:tcW w:w="2552" w:type="dxa"/>
          <w:shd w:val="clear" w:color="auto" w:fill="auto"/>
          <w:vAlign w:val="center"/>
        </w:tcPr>
        <w:p w:rsidR="00AB3398" w:rsidRDefault="00AD7F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AB3398" w:rsidRDefault="00A305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XXXXXXXXX XXXXXXX XXXXXX</w:t>
          </w:r>
        </w:p>
      </w:tc>
    </w:tr>
    <w:tr w:rsidR="00AB3398">
      <w:trPr>
        <w:trHeight w:val="228"/>
      </w:trPr>
      <w:tc>
        <w:tcPr>
          <w:tcW w:w="2552" w:type="dxa"/>
          <w:shd w:val="clear" w:color="auto" w:fill="auto"/>
          <w:vAlign w:val="center"/>
        </w:tcPr>
        <w:p w:rsidR="00AB3398" w:rsidRDefault="00AD7F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AB3398" w:rsidRDefault="00AD7FA3">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Universidad Tecnológica de Nezahualcóyotl </w:t>
          </w:r>
        </w:p>
      </w:tc>
    </w:tr>
    <w:tr w:rsidR="00AB3398">
      <w:tc>
        <w:tcPr>
          <w:tcW w:w="2552" w:type="dxa"/>
          <w:shd w:val="clear" w:color="auto" w:fill="auto"/>
          <w:vAlign w:val="center"/>
        </w:tcPr>
        <w:p w:rsidR="00AB3398" w:rsidRDefault="00AD7F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rsidR="00AB3398" w:rsidRDefault="00AD7FA3">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B3398" w:rsidRDefault="00AB3398">
    <w:pPr>
      <w:pBdr>
        <w:top w:val="nil"/>
        <w:left w:val="nil"/>
        <w:bottom w:val="nil"/>
        <w:right w:val="nil"/>
        <w:between w:val="nil"/>
      </w:pBdr>
      <w:tabs>
        <w:tab w:val="center" w:pos="4252"/>
        <w:tab w:val="right" w:pos="8504"/>
      </w:tabs>
      <w:rPr>
        <w:rFonts w:ascii="Cambria" w:eastAsia="Cambria" w:hAnsi="Cambria" w:cs="Cambria"/>
        <w:color w:val="000000"/>
      </w:rPr>
    </w:pPr>
  </w:p>
  <w:p w:rsidR="00AB3398" w:rsidRDefault="00AB3398">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FA3" w:rsidRDefault="00AD7FA3">
    <w:pPr>
      <w:widowControl w:val="0"/>
      <w:pBdr>
        <w:top w:val="nil"/>
        <w:left w:val="nil"/>
        <w:bottom w:val="nil"/>
        <w:right w:val="nil"/>
        <w:between w:val="nil"/>
      </w:pBdr>
      <w:spacing w:line="276" w:lineRule="auto"/>
      <w:rPr>
        <w:rFonts w:ascii="Cambria" w:eastAsia="Cambria" w:hAnsi="Cambria" w:cs="Cambria"/>
        <w:color w:val="000000"/>
        <w:sz w:val="20"/>
        <w:szCs w:val="20"/>
      </w:rPr>
    </w:pPr>
  </w:p>
  <w:p w:rsidR="00AD7FA3" w:rsidRDefault="00AD7FA3">
    <w:pPr>
      <w:pBdr>
        <w:top w:val="nil"/>
        <w:left w:val="nil"/>
        <w:bottom w:val="nil"/>
        <w:right w:val="nil"/>
        <w:between w:val="nil"/>
      </w:pBdr>
      <w:tabs>
        <w:tab w:val="center" w:pos="4252"/>
        <w:tab w:val="right" w:pos="8504"/>
      </w:tabs>
      <w:rPr>
        <w:rFonts w:ascii="Cambria" w:eastAsia="Cambria" w:hAnsi="Cambria" w:cs="Cambria"/>
        <w:color w:val="000000"/>
      </w:rPr>
    </w:pPr>
  </w:p>
  <w:p w:rsidR="00AD7FA3" w:rsidRDefault="00AD7FA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4D62"/>
    <w:multiLevelType w:val="multilevel"/>
    <w:tmpl w:val="C3F8B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094592A"/>
    <w:multiLevelType w:val="multilevel"/>
    <w:tmpl w:val="E4ECB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8F6152"/>
    <w:multiLevelType w:val="multilevel"/>
    <w:tmpl w:val="AFDC16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BB44A80"/>
    <w:multiLevelType w:val="multilevel"/>
    <w:tmpl w:val="8A009A8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6150BE"/>
    <w:multiLevelType w:val="multilevel"/>
    <w:tmpl w:val="7E60B742"/>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76D51B2A"/>
    <w:multiLevelType w:val="multilevel"/>
    <w:tmpl w:val="9C74A1D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75E2A0F"/>
    <w:multiLevelType w:val="multilevel"/>
    <w:tmpl w:val="7C60FA26"/>
    <w:lvl w:ilvl="0">
      <w:start w:val="1"/>
      <w:numFmt w:val="upperRoman"/>
      <w:lvlText w:val="%1."/>
      <w:lvlJc w:val="left"/>
      <w:pPr>
        <w:ind w:left="112" w:hanging="193"/>
      </w:pPr>
      <w:rPr>
        <w:rFonts w:ascii="Bookman Old Style" w:eastAsia="Bookman Old Style" w:hAnsi="Bookman Old Style" w:cs="Bookman Old Style"/>
        <w:b/>
        <w:sz w:val="20"/>
        <w:szCs w:val="20"/>
        <w:vertAlign w:val="baseline"/>
      </w:rPr>
    </w:lvl>
    <w:lvl w:ilvl="1">
      <w:start w:val="1"/>
      <w:numFmt w:val="bullet"/>
      <w:lvlText w:val="•"/>
      <w:lvlJc w:val="left"/>
      <w:pPr>
        <w:ind w:left="1128" w:hanging="193"/>
      </w:pPr>
    </w:lvl>
    <w:lvl w:ilvl="2">
      <w:start w:val="1"/>
      <w:numFmt w:val="bullet"/>
      <w:lvlText w:val="•"/>
      <w:lvlJc w:val="left"/>
      <w:pPr>
        <w:ind w:left="2136" w:hanging="193"/>
      </w:pPr>
    </w:lvl>
    <w:lvl w:ilvl="3">
      <w:start w:val="1"/>
      <w:numFmt w:val="bullet"/>
      <w:lvlText w:val="•"/>
      <w:lvlJc w:val="left"/>
      <w:pPr>
        <w:ind w:left="3144" w:hanging="193"/>
      </w:pPr>
    </w:lvl>
    <w:lvl w:ilvl="4">
      <w:start w:val="1"/>
      <w:numFmt w:val="bullet"/>
      <w:lvlText w:val="•"/>
      <w:lvlJc w:val="left"/>
      <w:pPr>
        <w:ind w:left="4152" w:hanging="193"/>
      </w:pPr>
    </w:lvl>
    <w:lvl w:ilvl="5">
      <w:start w:val="1"/>
      <w:numFmt w:val="bullet"/>
      <w:lvlText w:val="•"/>
      <w:lvlJc w:val="left"/>
      <w:pPr>
        <w:ind w:left="5161" w:hanging="193"/>
      </w:pPr>
    </w:lvl>
    <w:lvl w:ilvl="6">
      <w:start w:val="1"/>
      <w:numFmt w:val="bullet"/>
      <w:lvlText w:val="•"/>
      <w:lvlJc w:val="left"/>
      <w:pPr>
        <w:ind w:left="6169" w:hanging="193"/>
      </w:pPr>
    </w:lvl>
    <w:lvl w:ilvl="7">
      <w:start w:val="1"/>
      <w:numFmt w:val="bullet"/>
      <w:lvlText w:val="•"/>
      <w:lvlJc w:val="left"/>
      <w:pPr>
        <w:ind w:left="7177" w:hanging="192"/>
      </w:pPr>
    </w:lvl>
    <w:lvl w:ilvl="8">
      <w:start w:val="1"/>
      <w:numFmt w:val="bullet"/>
      <w:lvlText w:val="•"/>
      <w:lvlJc w:val="left"/>
      <w:pPr>
        <w:ind w:left="8185" w:hanging="193"/>
      </w:pPr>
    </w:lvl>
  </w:abstractNum>
  <w:abstractNum w:abstractNumId="7">
    <w:nsid w:val="786213F7"/>
    <w:multiLevelType w:val="multilevel"/>
    <w:tmpl w:val="4B22A7C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2"/>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98"/>
    <w:rsid w:val="006226FC"/>
    <w:rsid w:val="00653BFC"/>
    <w:rsid w:val="00A305FE"/>
    <w:rsid w:val="00AB3398"/>
    <w:rsid w:val="00AD7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1DF325E0-35A4-47D2-A90C-4404B531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style>
  <w:style w:type="paragraph" w:styleId="Ttulo1">
    <w:name w:val="heading 1"/>
    <w:basedOn w:val="Normal"/>
    <w:next w:val="Normal"/>
    <w:link w:val="Ttulo1Car"/>
    <w:uiPriority w:val="9"/>
    <w:qFormat/>
    <w:rsid w:val="008C7D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4489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67454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uiPriority w:val="99"/>
    <w:rsid w:val="00AA697E"/>
    <w:pPr>
      <w:widowControl w:val="0"/>
      <w:autoSpaceDE w:val="0"/>
      <w:autoSpaceDN w:val="0"/>
      <w:adjustRightInd w:val="0"/>
    </w:p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style>
  <w:style w:type="paragraph" w:styleId="Textoindependiente">
    <w:name w:val="Body Text"/>
    <w:basedOn w:val="Normal"/>
    <w:link w:val="TextoindependienteCar"/>
    <w:uiPriority w:val="99"/>
    <w:unhideWhenUsed/>
    <w:rsid w:val="001C67F4"/>
    <w:pPr>
      <w:spacing w:after="120"/>
    </w:pPr>
  </w:style>
  <w:style w:type="character" w:customStyle="1" w:styleId="TextoindependienteCar">
    <w:name w:val="Texto independiente Car"/>
    <w:basedOn w:val="Fuentedeprrafopredeter"/>
    <w:link w:val="Textoindependiente"/>
    <w:uiPriority w:val="99"/>
    <w:rsid w:val="001C67F4"/>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4489C"/>
    <w:rPr>
      <w:sz w:val="16"/>
      <w:szCs w:val="16"/>
    </w:rPr>
  </w:style>
  <w:style w:type="paragraph" w:styleId="Textocomentario">
    <w:name w:val="annotation text"/>
    <w:basedOn w:val="Normal"/>
    <w:link w:val="TextocomentarioCar"/>
    <w:uiPriority w:val="99"/>
    <w:semiHidden/>
    <w:unhideWhenUsed/>
    <w:rsid w:val="00A4489C"/>
    <w:rPr>
      <w:sz w:val="20"/>
      <w:szCs w:val="20"/>
    </w:rPr>
  </w:style>
  <w:style w:type="character" w:customStyle="1" w:styleId="TextocomentarioCar">
    <w:name w:val="Texto comentario Car"/>
    <w:basedOn w:val="Fuentedeprrafopredeter"/>
    <w:link w:val="Textocomentario"/>
    <w:uiPriority w:val="99"/>
    <w:semiHidden/>
    <w:rsid w:val="00A4489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4489C"/>
    <w:rPr>
      <w:b/>
      <w:bCs/>
    </w:rPr>
  </w:style>
  <w:style w:type="character" w:customStyle="1" w:styleId="AsuntodelcomentarioCar">
    <w:name w:val="Asunto del comentario Car"/>
    <w:basedOn w:val="TextocomentarioCar"/>
    <w:link w:val="Asuntodelcomentario"/>
    <w:uiPriority w:val="99"/>
    <w:semiHidden/>
    <w:rsid w:val="00A4489C"/>
    <w:rPr>
      <w:rFonts w:ascii="Times New Roman" w:eastAsia="Times New Roman" w:hAnsi="Times New Roman" w:cs="Times New Roman"/>
      <w:b/>
      <w:bCs/>
      <w:sz w:val="20"/>
      <w:szCs w:val="20"/>
      <w:lang w:val="es-ES"/>
    </w:rPr>
  </w:style>
  <w:style w:type="character" w:customStyle="1" w:styleId="Ttulo3Car">
    <w:name w:val="Título 3 Car"/>
    <w:basedOn w:val="Fuentedeprrafopredeter"/>
    <w:link w:val="Ttulo3"/>
    <w:uiPriority w:val="9"/>
    <w:semiHidden/>
    <w:rsid w:val="00A4489C"/>
    <w:rPr>
      <w:rFonts w:asciiTheme="majorHAnsi" w:eastAsiaTheme="majorEastAsia" w:hAnsiTheme="majorHAnsi" w:cstheme="majorBidi"/>
      <w:color w:val="243F60" w:themeColor="accent1" w:themeShade="7F"/>
      <w:lang w:val="es-ES"/>
    </w:rPr>
  </w:style>
  <w:style w:type="character" w:customStyle="1" w:styleId="Ttulo1Car">
    <w:name w:val="Título 1 Car"/>
    <w:basedOn w:val="Fuentedeprrafopredeter"/>
    <w:link w:val="Ttulo1"/>
    <w:uiPriority w:val="9"/>
    <w:rsid w:val="008C7DDF"/>
    <w:rPr>
      <w:rFonts w:asciiTheme="majorHAnsi" w:eastAsiaTheme="majorEastAsia" w:hAnsiTheme="majorHAnsi" w:cstheme="majorBidi"/>
      <w:color w:val="365F91" w:themeColor="accent1" w:themeShade="BF"/>
      <w:sz w:val="32"/>
      <w:szCs w:val="32"/>
      <w:lang w:val="es-ES"/>
    </w:rPr>
  </w:style>
  <w:style w:type="character" w:customStyle="1" w:styleId="TextoCar">
    <w:name w:val="Texto Car"/>
    <w:link w:val="Texto"/>
    <w:locked/>
    <w:rsid w:val="003C4751"/>
    <w:rPr>
      <w:rFonts w:ascii="Arial" w:eastAsia="Times New Roman" w:hAnsi="Arial" w:cs="Arial"/>
      <w:sz w:val="18"/>
      <w:szCs w:val="18"/>
      <w:lang w:val="es-MX"/>
    </w:rPr>
  </w:style>
  <w:style w:type="character" w:styleId="nfasis">
    <w:name w:val="Emphasis"/>
    <w:basedOn w:val="Fuentedeprrafopredeter"/>
    <w:uiPriority w:val="20"/>
    <w:qFormat/>
    <w:rsid w:val="003B3E10"/>
    <w:rPr>
      <w:i/>
      <w:iCs/>
    </w:rPr>
  </w:style>
  <w:style w:type="character" w:customStyle="1" w:styleId="Ttulo8Car">
    <w:name w:val="Título 8 Car"/>
    <w:basedOn w:val="Fuentedeprrafopredeter"/>
    <w:link w:val="Ttulo8"/>
    <w:uiPriority w:val="9"/>
    <w:semiHidden/>
    <w:rsid w:val="00674543"/>
    <w:rPr>
      <w:rFonts w:asciiTheme="majorHAnsi" w:eastAsiaTheme="majorEastAsia" w:hAnsiTheme="majorHAnsi" w:cstheme="majorBidi"/>
      <w:color w:val="272727" w:themeColor="text1" w:themeTint="D8"/>
      <w:sz w:val="21"/>
      <w:szCs w:val="21"/>
      <w:lang w:val="es-ES"/>
    </w:rPr>
  </w:style>
  <w:style w:type="character" w:customStyle="1" w:styleId="il">
    <w:name w:val="il"/>
    <w:basedOn w:val="Fuentedeprrafopredeter"/>
    <w:rsid w:val="00E30AD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119766/000012021051175811001/376433.page"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23" Type="http://schemas.openxmlformats.org/officeDocument/2006/relationships/hyperlink" Target="about:blank"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www.sarcoem.org.mx/sarcoem/solicitud/descarga/1119766/000012021051175811001/376433.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about:blank"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diputados.gob.mx/LeyesBiblio/pdf/1_150917.pdf" TargetMode="External"/><Relationship Id="rId2" Type="http://schemas.openxmlformats.org/officeDocument/2006/relationships/hyperlink" Target="http://legislacion.edomex.gob.mx/sites/legislacion.edomex.gob.mx/files/files/pdf/ley/vig/leyvig244.pdf" TargetMode="External"/><Relationship Id="rId1" Type="http://schemas.openxmlformats.org/officeDocument/2006/relationships/hyperlink" Target="http://www.diputados.gob.mx/LeyesBiblio/pdf/1_1509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7M1tGqm6eAVtPpWvr/6Uf4Q4wQ==">AMUW2mU1IzDHJfz2EhNCTM3NQK/MwjW8EaXPDk8BdPfMv9BmgIs6Q1qHd0QInC+g7yGDQ4RBZLH5bINVb35WKdGSXWbgJZ4eNFOSjF7foo68lXQiRii0w6pjdlrFZDD4YR8i8kVBTP1I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50</Pages>
  <Words>11338</Words>
  <Characters>62361</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2021-12-15T23:32:00Z</dcterms:created>
  <dcterms:modified xsi:type="dcterms:W3CDTF">2021-12-16T17:33:00Z</dcterms:modified>
</cp:coreProperties>
</file>