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DA7005" w14:textId="40FFF003" w:rsidR="00717B2B" w:rsidRPr="0026799B" w:rsidRDefault="00717B2B" w:rsidP="00601ABC">
      <w:pPr>
        <w:spacing w:before="240" w:after="240" w:line="360" w:lineRule="auto"/>
        <w:jc w:val="both"/>
        <w:rPr>
          <w:rFonts w:ascii="Palatino Linotype" w:eastAsia="Times New Roman" w:hAnsi="Palatino Linotype" w:cs="Arial"/>
          <w:sz w:val="24"/>
          <w:szCs w:val="24"/>
          <w:lang w:eastAsia="es-MX"/>
        </w:rPr>
      </w:pPr>
      <w:r w:rsidRPr="0026799B">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80123" w:rsidRPr="0026799B">
        <w:rPr>
          <w:rFonts w:ascii="Palatino Linotype" w:eastAsia="Times New Roman" w:hAnsi="Palatino Linotype" w:cs="Arial"/>
          <w:sz w:val="24"/>
          <w:szCs w:val="24"/>
          <w:lang w:eastAsia="es-MX"/>
        </w:rPr>
        <w:t xml:space="preserve">veintitrés de junio de dos mil veintiuno. </w:t>
      </w:r>
      <w:r w:rsidRPr="0026799B">
        <w:rPr>
          <w:rFonts w:ascii="Palatino Linotype" w:eastAsia="Times New Roman" w:hAnsi="Palatino Linotype" w:cs="Arial"/>
          <w:sz w:val="24"/>
          <w:szCs w:val="24"/>
          <w:lang w:eastAsia="es-MX"/>
        </w:rPr>
        <w:t xml:space="preserve">   </w:t>
      </w:r>
    </w:p>
    <w:p w14:paraId="21E95D8F" w14:textId="49D38258" w:rsidR="00A80123" w:rsidRPr="0026799B" w:rsidRDefault="00717B2B" w:rsidP="00601ABC">
      <w:pPr>
        <w:tabs>
          <w:tab w:val="left" w:pos="1701"/>
        </w:tabs>
        <w:spacing w:before="240" w:after="240" w:line="360" w:lineRule="auto"/>
        <w:jc w:val="both"/>
        <w:rPr>
          <w:rFonts w:ascii="Palatino Linotype" w:hAnsi="Palatino Linotype" w:cs="Arial"/>
          <w:sz w:val="24"/>
          <w:szCs w:val="24"/>
        </w:rPr>
      </w:pPr>
      <w:r w:rsidRPr="0026799B">
        <w:rPr>
          <w:rFonts w:ascii="Palatino Linotype" w:hAnsi="Palatino Linotype" w:cs="Arial"/>
          <w:b/>
          <w:sz w:val="24"/>
          <w:szCs w:val="24"/>
        </w:rPr>
        <w:t>VISTO</w:t>
      </w:r>
      <w:r w:rsidRPr="0026799B">
        <w:rPr>
          <w:rFonts w:ascii="Palatino Linotype" w:hAnsi="Palatino Linotype" w:cs="Arial"/>
          <w:sz w:val="24"/>
          <w:szCs w:val="24"/>
        </w:rPr>
        <w:t xml:space="preserve"> el expediente electrónico formado con motivo del recurso de revisión número </w:t>
      </w:r>
      <w:r w:rsidRPr="0026799B">
        <w:rPr>
          <w:rFonts w:ascii="Palatino Linotype" w:hAnsi="Palatino Linotype" w:cs="Arial"/>
          <w:b/>
          <w:bCs/>
          <w:sz w:val="24"/>
          <w:szCs w:val="24"/>
          <w:lang w:eastAsia="es-MX"/>
        </w:rPr>
        <w:t>0</w:t>
      </w:r>
      <w:r w:rsidR="00A80123" w:rsidRPr="0026799B">
        <w:rPr>
          <w:rFonts w:ascii="Palatino Linotype" w:hAnsi="Palatino Linotype" w:cs="Arial"/>
          <w:b/>
          <w:bCs/>
          <w:sz w:val="24"/>
          <w:szCs w:val="24"/>
          <w:lang w:eastAsia="es-MX"/>
        </w:rPr>
        <w:t>2350</w:t>
      </w:r>
      <w:r w:rsidRPr="0026799B">
        <w:rPr>
          <w:rFonts w:ascii="Palatino Linotype" w:hAnsi="Palatino Linotype" w:cs="Arial"/>
          <w:b/>
          <w:bCs/>
          <w:sz w:val="24"/>
          <w:szCs w:val="24"/>
          <w:lang w:eastAsia="es-MX"/>
        </w:rPr>
        <w:t>/INFOEM/AD</w:t>
      </w:r>
      <w:r w:rsidR="00A80123" w:rsidRPr="0026799B">
        <w:rPr>
          <w:rFonts w:ascii="Palatino Linotype" w:hAnsi="Palatino Linotype" w:cs="Arial"/>
          <w:b/>
          <w:bCs/>
          <w:sz w:val="24"/>
          <w:szCs w:val="24"/>
          <w:lang w:eastAsia="es-MX"/>
        </w:rPr>
        <w:t>/RR/2021</w:t>
      </w:r>
      <w:r w:rsidRPr="0026799B">
        <w:rPr>
          <w:rFonts w:ascii="Palatino Linotype" w:hAnsi="Palatino Linotype" w:cs="Arial"/>
          <w:sz w:val="24"/>
          <w:szCs w:val="24"/>
        </w:rPr>
        <w:t xml:space="preserve">, interpuesto por </w:t>
      </w:r>
      <w:r w:rsidR="00A80123" w:rsidRPr="0026799B">
        <w:rPr>
          <w:rFonts w:ascii="Palatino Linotype" w:hAnsi="Palatino Linotype" w:cs="Arial"/>
          <w:sz w:val="24"/>
          <w:szCs w:val="24"/>
        </w:rPr>
        <w:t>el</w:t>
      </w:r>
      <w:r w:rsidRPr="0026799B">
        <w:rPr>
          <w:rFonts w:ascii="Palatino Linotype" w:hAnsi="Palatino Linotype" w:cs="Arial"/>
          <w:sz w:val="24"/>
          <w:szCs w:val="24"/>
        </w:rPr>
        <w:t xml:space="preserve"> </w:t>
      </w:r>
      <w:r w:rsidRPr="0026799B">
        <w:rPr>
          <w:rFonts w:ascii="Palatino Linotype" w:hAnsi="Palatino Linotype" w:cs="Arial"/>
          <w:b/>
          <w:sz w:val="24"/>
          <w:szCs w:val="24"/>
        </w:rPr>
        <w:t xml:space="preserve">C. </w:t>
      </w:r>
      <w:proofErr w:type="spellStart"/>
      <w:r w:rsidR="00093BF5">
        <w:rPr>
          <w:rFonts w:ascii="Palatino Linotype" w:hAnsi="Palatino Linotype" w:cs="Arial"/>
          <w:b/>
          <w:sz w:val="24"/>
          <w:szCs w:val="24"/>
        </w:rPr>
        <w:t>xxxxxxxxxxxxxxxxxxxxxxxx</w:t>
      </w:r>
      <w:proofErr w:type="spellEnd"/>
      <w:r w:rsidR="00A80123" w:rsidRPr="0026799B">
        <w:rPr>
          <w:rFonts w:ascii="Palatino Linotype" w:hAnsi="Palatino Linotype" w:cs="Arial"/>
          <w:b/>
          <w:sz w:val="24"/>
          <w:szCs w:val="24"/>
        </w:rPr>
        <w:t xml:space="preserve"> </w:t>
      </w:r>
      <w:proofErr w:type="spellStart"/>
      <w:r w:rsidR="00093BF5">
        <w:rPr>
          <w:rFonts w:ascii="Palatino Linotype" w:hAnsi="Palatino Linotype" w:cs="Arial"/>
          <w:b/>
          <w:sz w:val="24"/>
          <w:szCs w:val="24"/>
        </w:rPr>
        <w:t>xxxxxxxxxx</w:t>
      </w:r>
      <w:proofErr w:type="spellEnd"/>
      <w:r w:rsidR="00A80123" w:rsidRPr="0026799B">
        <w:rPr>
          <w:rFonts w:ascii="Palatino Linotype" w:hAnsi="Palatino Linotype" w:cs="Arial"/>
          <w:b/>
          <w:sz w:val="24"/>
          <w:szCs w:val="24"/>
        </w:rPr>
        <w:t xml:space="preserve">, </w:t>
      </w:r>
      <w:r w:rsidR="00A80123" w:rsidRPr="0026799B">
        <w:rPr>
          <w:rFonts w:ascii="Palatino Linotype" w:hAnsi="Palatino Linotype" w:cs="Arial"/>
          <w:sz w:val="24"/>
          <w:szCs w:val="24"/>
        </w:rPr>
        <w:t xml:space="preserve">en lo </w:t>
      </w:r>
      <w:r w:rsidR="0026799B" w:rsidRPr="0026799B">
        <w:rPr>
          <w:rFonts w:ascii="Palatino Linotype" w:hAnsi="Palatino Linotype" w:cs="Arial"/>
          <w:sz w:val="24"/>
          <w:szCs w:val="24"/>
        </w:rPr>
        <w:t xml:space="preserve">sucesivo </w:t>
      </w:r>
      <w:r w:rsidR="0026799B" w:rsidRPr="0026799B">
        <w:rPr>
          <w:rFonts w:ascii="Palatino Linotype" w:hAnsi="Palatino Linotype" w:cs="Arial"/>
          <w:b/>
          <w:sz w:val="24"/>
          <w:szCs w:val="24"/>
        </w:rPr>
        <w:t xml:space="preserve">El Recurrente, </w:t>
      </w:r>
      <w:r w:rsidR="0026799B" w:rsidRPr="0026799B">
        <w:rPr>
          <w:rFonts w:ascii="Palatino Linotype" w:hAnsi="Palatino Linotype" w:cs="Arial"/>
          <w:sz w:val="24"/>
          <w:szCs w:val="24"/>
        </w:rPr>
        <w:t xml:space="preserve">en contra de la respuesta del </w:t>
      </w:r>
      <w:r w:rsidR="0026799B" w:rsidRPr="0026799B">
        <w:rPr>
          <w:rFonts w:ascii="Palatino Linotype" w:hAnsi="Palatino Linotype" w:cs="Arial"/>
          <w:b/>
          <w:sz w:val="24"/>
          <w:szCs w:val="24"/>
        </w:rPr>
        <w:t xml:space="preserve">Sistema para el Desarrollo Integral de la Familia del Estado de México, </w:t>
      </w:r>
      <w:r w:rsidR="0026799B" w:rsidRPr="0026799B">
        <w:rPr>
          <w:rFonts w:ascii="Palatino Linotype" w:hAnsi="Palatino Linotype" w:cs="Arial"/>
          <w:sz w:val="24"/>
          <w:szCs w:val="24"/>
        </w:rPr>
        <w:t xml:space="preserve">en lo subsecuente </w:t>
      </w:r>
      <w:r w:rsidR="0026799B" w:rsidRPr="0026799B">
        <w:rPr>
          <w:rFonts w:ascii="Palatino Linotype" w:hAnsi="Palatino Linotype" w:cs="Arial"/>
          <w:b/>
          <w:sz w:val="24"/>
          <w:szCs w:val="24"/>
        </w:rPr>
        <w:t xml:space="preserve">El Sujeto Obligado, </w:t>
      </w:r>
      <w:r w:rsidR="0026799B" w:rsidRPr="0026799B">
        <w:rPr>
          <w:rFonts w:ascii="Palatino Linotype" w:hAnsi="Palatino Linotype" w:cs="Arial"/>
          <w:sz w:val="24"/>
          <w:szCs w:val="24"/>
        </w:rPr>
        <w:t xml:space="preserve">se procede a dictar la presente resolución. </w:t>
      </w:r>
    </w:p>
    <w:p w14:paraId="48F63B1C" w14:textId="77777777" w:rsidR="00717B2B" w:rsidRDefault="00717B2B" w:rsidP="00717B2B">
      <w:pPr>
        <w:tabs>
          <w:tab w:val="left" w:pos="1701"/>
        </w:tabs>
        <w:spacing w:before="240" w:after="240" w:line="360" w:lineRule="auto"/>
        <w:jc w:val="both"/>
        <w:rPr>
          <w:rFonts w:ascii="Palatino Linotype" w:hAnsi="Palatino Linotype" w:cs="Arial"/>
        </w:rPr>
      </w:pPr>
    </w:p>
    <w:p w14:paraId="29468B92" w14:textId="77777777" w:rsidR="00717B2B" w:rsidRPr="0094651B" w:rsidRDefault="00717B2B" w:rsidP="00717B2B">
      <w:pPr>
        <w:tabs>
          <w:tab w:val="left" w:pos="1701"/>
        </w:tabs>
        <w:spacing w:before="240" w:after="240" w:line="360" w:lineRule="auto"/>
        <w:jc w:val="center"/>
        <w:rPr>
          <w:rFonts w:ascii="Palatino Linotype" w:hAnsi="Palatino Linotype" w:cs="Arial"/>
          <w:b/>
          <w:sz w:val="28"/>
        </w:rPr>
      </w:pPr>
      <w:r w:rsidRPr="0094651B">
        <w:rPr>
          <w:rFonts w:ascii="Palatino Linotype" w:hAnsi="Palatino Linotype" w:cs="Arial"/>
          <w:b/>
          <w:sz w:val="28"/>
        </w:rPr>
        <w:t xml:space="preserve">A N T E C E D E N T E S  D E L  A S U N T O </w:t>
      </w:r>
    </w:p>
    <w:p w14:paraId="1265372F" w14:textId="77777777" w:rsidR="00717B2B" w:rsidRPr="0094651B" w:rsidRDefault="00717B2B" w:rsidP="00717B2B">
      <w:pPr>
        <w:pStyle w:val="Sinespaciado"/>
        <w:rPr>
          <w:sz w:val="16"/>
        </w:rPr>
      </w:pPr>
    </w:p>
    <w:p w14:paraId="5002C311" w14:textId="77777777" w:rsidR="00717B2B" w:rsidRPr="0094651B" w:rsidRDefault="00717B2B" w:rsidP="00717B2B">
      <w:pPr>
        <w:spacing w:line="360" w:lineRule="auto"/>
        <w:jc w:val="both"/>
        <w:rPr>
          <w:rFonts w:ascii="Palatino Linotype" w:hAnsi="Palatino Linotype"/>
          <w:b/>
          <w:sz w:val="28"/>
        </w:rPr>
      </w:pPr>
      <w:r w:rsidRPr="0094651B">
        <w:rPr>
          <w:rFonts w:ascii="Palatino Linotype" w:hAnsi="Palatino Linotype"/>
          <w:b/>
          <w:sz w:val="28"/>
        </w:rPr>
        <w:t>PRIMERO. Del Acceso a Datos Personales.</w:t>
      </w:r>
    </w:p>
    <w:p w14:paraId="7A50707A" w14:textId="36741E48" w:rsidR="0026799B" w:rsidRDefault="00717B2B" w:rsidP="00717B2B">
      <w:pPr>
        <w:spacing w:line="360" w:lineRule="auto"/>
        <w:jc w:val="both"/>
        <w:rPr>
          <w:rStyle w:val="apple-converted-space"/>
          <w:rFonts w:ascii="Palatino Linotype" w:hAnsi="Palatino Linotype"/>
          <w:bCs/>
          <w:sz w:val="24"/>
          <w:szCs w:val="24"/>
        </w:rPr>
      </w:pPr>
      <w:r w:rsidRPr="0026799B">
        <w:rPr>
          <w:rFonts w:ascii="Palatino Linotype" w:hAnsi="Palatino Linotype"/>
          <w:sz w:val="24"/>
          <w:szCs w:val="24"/>
        </w:rPr>
        <w:t xml:space="preserve">Con fecha </w:t>
      </w:r>
      <w:r w:rsidR="0026799B" w:rsidRPr="0026799B">
        <w:rPr>
          <w:rFonts w:ascii="Palatino Linotype" w:hAnsi="Palatino Linotype"/>
          <w:sz w:val="24"/>
          <w:szCs w:val="24"/>
        </w:rPr>
        <w:t xml:space="preserve">tres de marzo de dos mil veintiuno, </w:t>
      </w:r>
      <w:r w:rsidR="0026799B" w:rsidRPr="0026799B">
        <w:rPr>
          <w:rFonts w:ascii="Palatino Linotype" w:hAnsi="Palatino Linotype"/>
          <w:b/>
          <w:sz w:val="24"/>
          <w:szCs w:val="24"/>
        </w:rPr>
        <w:t xml:space="preserve">El Recurrente </w:t>
      </w:r>
      <w:r w:rsidR="0026799B" w:rsidRPr="0026799B">
        <w:rPr>
          <w:rFonts w:ascii="Palatino Linotype" w:hAnsi="Palatino Linotype"/>
          <w:sz w:val="24"/>
          <w:szCs w:val="24"/>
        </w:rPr>
        <w:t xml:space="preserve">presentó </w:t>
      </w:r>
      <w:r w:rsidRPr="0026799B">
        <w:rPr>
          <w:rFonts w:ascii="Palatino Linotype" w:hAnsi="Palatino Linotype"/>
          <w:sz w:val="24"/>
          <w:szCs w:val="24"/>
        </w:rPr>
        <w:t xml:space="preserve">a través del Sistema de Acceso, Rectificación, Cancelación y Oposición de Datos Personales del Estado de México </w:t>
      </w:r>
      <w:r w:rsidRPr="0026799B">
        <w:rPr>
          <w:rFonts w:ascii="Palatino Linotype" w:hAnsi="Palatino Linotype"/>
          <w:b/>
          <w:sz w:val="24"/>
          <w:szCs w:val="24"/>
        </w:rPr>
        <w:t>(SARCOEM)</w:t>
      </w:r>
      <w:r w:rsidRPr="0026799B">
        <w:rPr>
          <w:rFonts w:ascii="Palatino Linotype" w:hAnsi="Palatino Linotype"/>
          <w:sz w:val="24"/>
          <w:szCs w:val="24"/>
        </w:rPr>
        <w:t xml:space="preserve">, ante el </w:t>
      </w:r>
      <w:r w:rsidRPr="0026799B">
        <w:rPr>
          <w:rFonts w:ascii="Palatino Linotype" w:hAnsi="Palatino Linotype"/>
          <w:b/>
          <w:sz w:val="24"/>
          <w:szCs w:val="24"/>
        </w:rPr>
        <w:t>Sujeto Obligado</w:t>
      </w:r>
      <w:r w:rsidRPr="0026799B">
        <w:rPr>
          <w:rFonts w:ascii="Palatino Linotype" w:hAnsi="Palatino Linotype"/>
          <w:sz w:val="24"/>
          <w:szCs w:val="24"/>
        </w:rPr>
        <w:t xml:space="preserve">, </w:t>
      </w:r>
      <w:r w:rsidRPr="0026799B">
        <w:rPr>
          <w:rFonts w:ascii="Palatino Linotype" w:hAnsi="Palatino Linotype" w:cs="Arial"/>
          <w:sz w:val="24"/>
          <w:szCs w:val="24"/>
        </w:rPr>
        <w:t>solicitud de acceso a los datos personales, registrada bajo el número de expediente</w:t>
      </w:r>
      <w:r w:rsidRPr="0026799B">
        <w:rPr>
          <w:rStyle w:val="apple-converted-space"/>
          <w:rFonts w:ascii="Palatino Linotype" w:hAnsi="Palatino Linotype"/>
          <w:b/>
          <w:bCs/>
          <w:sz w:val="24"/>
          <w:szCs w:val="24"/>
        </w:rPr>
        <w:t> </w:t>
      </w:r>
      <w:r w:rsidR="0026799B" w:rsidRPr="0026799B">
        <w:rPr>
          <w:rStyle w:val="apple-converted-space"/>
          <w:rFonts w:ascii="Palatino Linotype" w:hAnsi="Palatino Linotype"/>
          <w:b/>
          <w:bCs/>
          <w:sz w:val="24"/>
          <w:szCs w:val="24"/>
        </w:rPr>
        <w:t xml:space="preserve">00002/DIFEM/AD/2021, </w:t>
      </w:r>
      <w:r w:rsidR="0026799B" w:rsidRPr="0026799B">
        <w:rPr>
          <w:rStyle w:val="apple-converted-space"/>
          <w:rFonts w:ascii="Palatino Linotype" w:hAnsi="Palatino Linotype"/>
          <w:bCs/>
          <w:sz w:val="24"/>
          <w:szCs w:val="24"/>
        </w:rPr>
        <w:t xml:space="preserve">mediante la cual </w:t>
      </w:r>
      <w:r w:rsidR="0026799B">
        <w:rPr>
          <w:rStyle w:val="apple-converted-space"/>
          <w:rFonts w:ascii="Palatino Linotype" w:hAnsi="Palatino Linotype"/>
          <w:bCs/>
          <w:sz w:val="24"/>
          <w:szCs w:val="24"/>
        </w:rPr>
        <w:t>requirió le fuese entregado, lo siguiente:</w:t>
      </w:r>
    </w:p>
    <w:p w14:paraId="1FBA705F" w14:textId="6BABDD7E" w:rsidR="0026799B" w:rsidRPr="0026799B" w:rsidRDefault="0026799B" w:rsidP="0026799B">
      <w:pPr>
        <w:pStyle w:val="INFOEM"/>
        <w:rPr>
          <w:rStyle w:val="apple-converted-space"/>
          <w:b/>
          <w:bCs/>
          <w:sz w:val="24"/>
          <w:szCs w:val="24"/>
        </w:rPr>
      </w:pPr>
      <w:r>
        <w:t xml:space="preserve">“Solicito copia certificada del correo electrónico recibido en su correo electrónico institucional en fecha 3 de febrero de 2021, copia de la respuesta emitida a ese correo y copia del correo de confirmación. Se toma en consideración que el correo electrónico </w:t>
      </w:r>
      <w:r>
        <w:lastRenderedPageBreak/>
        <w:t xml:space="preserve">remitente es </w:t>
      </w:r>
      <w:proofErr w:type="spellStart"/>
      <w:r w:rsidR="003C24B8">
        <w:t>xxxxxxxxxxxxx</w:t>
      </w:r>
      <w:proofErr w:type="spellEnd"/>
      <w:r w:rsidR="009D43B0">
        <w:fldChar w:fldCharType="begin"/>
      </w:r>
      <w:r w:rsidR="009D43B0">
        <w:instrText xml:space="preserve"> HYPERLINK "mailto:khrist_b@outlook.com" </w:instrText>
      </w:r>
      <w:r w:rsidR="009D43B0">
        <w:fldChar w:fldCharType="separate"/>
      </w:r>
      <w:r w:rsidR="009D43B0">
        <w:rPr>
          <w:rStyle w:val="Hipervnculo"/>
        </w:rPr>
        <w:fldChar w:fldCharType="end"/>
      </w:r>
      <w:r>
        <w:t xml:space="preserve">  y que el correo electrónico del cual se requiere la información es </w:t>
      </w:r>
      <w:hyperlink r:id="rId8" w:history="1">
        <w:r w:rsidRPr="006F23A8">
          <w:rPr>
            <w:rStyle w:val="Hipervnculo"/>
          </w:rPr>
          <w:t>cree.edomex@gmail.com</w:t>
        </w:r>
      </w:hyperlink>
      <w:r>
        <w:t xml:space="preserve">  y </w:t>
      </w:r>
      <w:hyperlink r:id="rId9" w:history="1">
        <w:r w:rsidRPr="006F23A8">
          <w:rPr>
            <w:rStyle w:val="Hipervnculo"/>
          </w:rPr>
          <w:t>difem@edomex.gob.mx</w:t>
        </w:r>
      </w:hyperlink>
      <w:r>
        <w:t xml:space="preserve">” </w:t>
      </w:r>
      <w:r>
        <w:rPr>
          <w:b/>
        </w:rPr>
        <w:t>[Sic]</w:t>
      </w:r>
    </w:p>
    <w:p w14:paraId="144E324B" w14:textId="77777777" w:rsidR="0026799B" w:rsidRDefault="0026799B" w:rsidP="00717B2B">
      <w:pPr>
        <w:spacing w:line="360" w:lineRule="auto"/>
        <w:jc w:val="both"/>
        <w:rPr>
          <w:rStyle w:val="apple-converted-space"/>
          <w:rFonts w:ascii="Palatino Linotype" w:hAnsi="Palatino Linotype"/>
          <w:b/>
          <w:bCs/>
        </w:rPr>
      </w:pPr>
    </w:p>
    <w:p w14:paraId="3543CD1B" w14:textId="77777777" w:rsidR="00717B2B" w:rsidRPr="0094651B" w:rsidRDefault="00717B2B" w:rsidP="00717B2B">
      <w:pPr>
        <w:pStyle w:val="Sinespaciado"/>
        <w:rPr>
          <w:sz w:val="12"/>
        </w:rPr>
      </w:pPr>
    </w:p>
    <w:p w14:paraId="05205DAD" w14:textId="7B1BDC1A" w:rsidR="00717B2B" w:rsidRDefault="00717B2B" w:rsidP="00717B2B">
      <w:pPr>
        <w:pStyle w:val="Prrafodelista"/>
        <w:spacing w:line="360" w:lineRule="auto"/>
        <w:ind w:left="0"/>
        <w:jc w:val="both"/>
        <w:rPr>
          <w:rFonts w:ascii="Palatino Linotype" w:hAnsi="Palatino Linotype" w:cs="Arial"/>
        </w:rPr>
      </w:pPr>
      <w:r>
        <w:rPr>
          <w:rFonts w:ascii="Palatino Linotype" w:hAnsi="Palatino Linotype" w:cs="Arial"/>
        </w:rPr>
        <w:t xml:space="preserve">Resulta preciso señalar que mediante el ejercicio del derecho de acceso a datos personales </w:t>
      </w:r>
      <w:r w:rsidR="0026799B">
        <w:rPr>
          <w:rFonts w:ascii="Palatino Linotype" w:hAnsi="Palatino Linotype" w:cs="Arial"/>
          <w:b/>
        </w:rPr>
        <w:t>El</w:t>
      </w:r>
      <w:r>
        <w:rPr>
          <w:rFonts w:ascii="Palatino Linotype" w:hAnsi="Palatino Linotype" w:cs="Arial"/>
          <w:b/>
        </w:rPr>
        <w:t xml:space="preserve"> Recurrente </w:t>
      </w:r>
      <w:r>
        <w:rPr>
          <w:rFonts w:ascii="Palatino Linotype" w:hAnsi="Palatino Linotype" w:cs="Arial"/>
        </w:rPr>
        <w:t xml:space="preserve">adjuntó </w:t>
      </w:r>
      <w:r w:rsidR="0026799B">
        <w:rPr>
          <w:rFonts w:ascii="Palatino Linotype" w:hAnsi="Palatino Linotype" w:cs="Arial"/>
        </w:rPr>
        <w:t>el siguiente</w:t>
      </w:r>
      <w:r>
        <w:rPr>
          <w:rFonts w:ascii="Palatino Linotype" w:hAnsi="Palatino Linotype" w:cs="Arial"/>
        </w:rPr>
        <w:t xml:space="preserve"> d</w:t>
      </w:r>
      <w:r w:rsidR="0026799B">
        <w:rPr>
          <w:rFonts w:ascii="Palatino Linotype" w:hAnsi="Palatino Linotype" w:cs="Arial"/>
        </w:rPr>
        <w:t>ocumento electrónico</w:t>
      </w:r>
      <w:r>
        <w:rPr>
          <w:rFonts w:ascii="Palatino Linotype" w:hAnsi="Palatino Linotype" w:cs="Arial"/>
        </w:rPr>
        <w:t>:</w:t>
      </w:r>
    </w:p>
    <w:p w14:paraId="45B679A8" w14:textId="57B0E26F" w:rsidR="00717B2B" w:rsidRDefault="0026799B" w:rsidP="00717B2B">
      <w:pPr>
        <w:pStyle w:val="Prrafodelista"/>
        <w:numPr>
          <w:ilvl w:val="0"/>
          <w:numId w:val="34"/>
        </w:numPr>
        <w:spacing w:line="360" w:lineRule="auto"/>
        <w:jc w:val="both"/>
        <w:rPr>
          <w:rFonts w:ascii="Palatino Linotype" w:hAnsi="Palatino Linotype" w:cs="Arial"/>
        </w:rPr>
      </w:pPr>
      <w:r>
        <w:rPr>
          <w:rFonts w:ascii="Palatino Linotype" w:hAnsi="Palatino Linotype" w:cs="Arial"/>
          <w:b/>
        </w:rPr>
        <w:t>“</w:t>
      </w:r>
      <w:proofErr w:type="spellStart"/>
      <w:r>
        <w:rPr>
          <w:rFonts w:ascii="Palatino Linotype" w:hAnsi="Palatino Linotype" w:cs="Arial"/>
          <w:b/>
        </w:rPr>
        <w:t>ilovepdf_merged</w:t>
      </w:r>
      <w:proofErr w:type="spellEnd"/>
      <w:r>
        <w:rPr>
          <w:rFonts w:ascii="Palatino Linotype" w:hAnsi="Palatino Linotype" w:cs="Arial"/>
          <w:b/>
        </w:rPr>
        <w:t xml:space="preserve"> (1).pdf</w:t>
      </w:r>
      <w:r w:rsidR="00717B2B">
        <w:rPr>
          <w:rFonts w:ascii="Palatino Linotype" w:hAnsi="Palatino Linotype" w:cs="Arial"/>
          <w:b/>
        </w:rPr>
        <w:t xml:space="preserve">”: </w:t>
      </w:r>
      <w:r>
        <w:rPr>
          <w:rFonts w:ascii="Palatino Linotype" w:hAnsi="Palatino Linotype" w:cs="Arial"/>
        </w:rPr>
        <w:t>Compila lo siguiente:</w:t>
      </w:r>
      <w:r w:rsidR="00717B2B">
        <w:rPr>
          <w:rFonts w:ascii="Palatino Linotype" w:hAnsi="Palatino Linotype" w:cs="Arial"/>
        </w:rPr>
        <w:t xml:space="preserve"> </w:t>
      </w:r>
    </w:p>
    <w:p w14:paraId="37EBA3F3" w14:textId="5B6D8140" w:rsidR="0026799B" w:rsidRDefault="0026799B" w:rsidP="0026799B">
      <w:pPr>
        <w:pStyle w:val="Prrafodelista"/>
        <w:numPr>
          <w:ilvl w:val="0"/>
          <w:numId w:val="36"/>
        </w:numPr>
        <w:spacing w:line="360" w:lineRule="auto"/>
        <w:jc w:val="both"/>
        <w:rPr>
          <w:rFonts w:ascii="Palatino Linotype" w:hAnsi="Palatino Linotype" w:cs="Arial"/>
        </w:rPr>
      </w:pPr>
      <w:r>
        <w:rPr>
          <w:rFonts w:ascii="Palatino Linotype" w:hAnsi="Palatino Linotype" w:cs="Arial"/>
        </w:rPr>
        <w:t xml:space="preserve">Carta poder de fecha treinta de enero de dos mil veintiuno, expedida </w:t>
      </w:r>
      <w:r w:rsidR="00276A41">
        <w:rPr>
          <w:rFonts w:ascii="Palatino Linotype" w:hAnsi="Palatino Linotype" w:cs="Arial"/>
        </w:rPr>
        <w:t xml:space="preserve">en términos amplios </w:t>
      </w:r>
      <w:r>
        <w:rPr>
          <w:rFonts w:ascii="Palatino Linotype" w:hAnsi="Palatino Linotype" w:cs="Arial"/>
        </w:rPr>
        <w:t xml:space="preserve">a favor del </w:t>
      </w:r>
      <w:r>
        <w:rPr>
          <w:rFonts w:ascii="Palatino Linotype" w:hAnsi="Palatino Linotype" w:cs="Arial"/>
          <w:b/>
        </w:rPr>
        <w:t xml:space="preserve">Recurrente, </w:t>
      </w:r>
      <w:r w:rsidR="00276A41">
        <w:rPr>
          <w:rFonts w:ascii="Palatino Linotype" w:hAnsi="Palatino Linotype" w:cs="Arial"/>
        </w:rPr>
        <w:t xml:space="preserve">a efecto de solicitar información pública y ejercer derechos de acceso, rectificación, cancelación y oposición de datos personales, signada por </w:t>
      </w:r>
      <w:r w:rsidR="00276A41">
        <w:rPr>
          <w:rFonts w:ascii="Palatino Linotype" w:hAnsi="Palatino Linotype" w:cs="Arial"/>
          <w:b/>
        </w:rPr>
        <w:t xml:space="preserve">El Recurrente, </w:t>
      </w:r>
      <w:r w:rsidR="00276A41">
        <w:rPr>
          <w:rFonts w:ascii="Palatino Linotype" w:hAnsi="Palatino Linotype" w:cs="Arial"/>
        </w:rPr>
        <w:t xml:space="preserve">el otorgante y dos testigos. </w:t>
      </w:r>
    </w:p>
    <w:p w14:paraId="6F1A34EE" w14:textId="67E6D5C3" w:rsidR="00276A41" w:rsidRDefault="00276A41" w:rsidP="0026799B">
      <w:pPr>
        <w:pStyle w:val="Prrafodelista"/>
        <w:numPr>
          <w:ilvl w:val="0"/>
          <w:numId w:val="36"/>
        </w:numPr>
        <w:spacing w:line="360" w:lineRule="auto"/>
        <w:jc w:val="both"/>
        <w:rPr>
          <w:rFonts w:ascii="Palatino Linotype" w:hAnsi="Palatino Linotype" w:cs="Arial"/>
        </w:rPr>
      </w:pPr>
      <w:r>
        <w:rPr>
          <w:rFonts w:ascii="Palatino Linotype" w:hAnsi="Palatino Linotype" w:cs="Arial"/>
        </w:rPr>
        <w:t xml:space="preserve">Credenciales para votar expedidas por el Instituto Nacional Electoral (antes Instituto Electoral Federal), a favor del </w:t>
      </w:r>
      <w:r>
        <w:rPr>
          <w:rFonts w:ascii="Palatino Linotype" w:hAnsi="Palatino Linotype" w:cs="Arial"/>
          <w:b/>
        </w:rPr>
        <w:t xml:space="preserve">Recurrente, </w:t>
      </w:r>
      <w:r>
        <w:rPr>
          <w:rFonts w:ascii="Palatino Linotype" w:hAnsi="Palatino Linotype" w:cs="Arial"/>
        </w:rPr>
        <w:t xml:space="preserve">otorgante, así como dos testigos. </w:t>
      </w:r>
    </w:p>
    <w:p w14:paraId="5A701238" w14:textId="77777777" w:rsidR="00717B2B" w:rsidRPr="0094651B" w:rsidRDefault="00717B2B" w:rsidP="00717B2B">
      <w:pPr>
        <w:spacing w:before="240" w:after="240"/>
        <w:ind w:right="51"/>
        <w:jc w:val="both"/>
        <w:rPr>
          <w:rFonts w:ascii="Palatino Linotype" w:hAnsi="Palatino Linotype" w:cs="Arial"/>
        </w:rPr>
      </w:pPr>
      <w:r w:rsidRPr="0094651B">
        <w:rPr>
          <w:rFonts w:ascii="Palatino Linotype" w:hAnsi="Palatino Linotype" w:cs="Arial"/>
          <w:b/>
        </w:rPr>
        <w:t>MODALIDAD DE ACCESO:</w:t>
      </w:r>
      <w:r w:rsidRPr="0094651B">
        <w:rPr>
          <w:rFonts w:ascii="Palatino Linotype" w:hAnsi="Palatino Linotype" w:cs="Arial"/>
        </w:rPr>
        <w:t xml:space="preserve"> A través de</w:t>
      </w:r>
      <w:r>
        <w:rPr>
          <w:rFonts w:ascii="Palatino Linotype" w:hAnsi="Palatino Linotype" w:cs="Arial"/>
        </w:rPr>
        <w:t xml:space="preserve"> copias certificadas (con costo)</w:t>
      </w:r>
    </w:p>
    <w:p w14:paraId="1877C484" w14:textId="77777777" w:rsidR="00717B2B" w:rsidRDefault="00717B2B" w:rsidP="00717B2B">
      <w:pPr>
        <w:spacing w:before="240" w:after="240" w:line="360" w:lineRule="auto"/>
        <w:ind w:right="334"/>
        <w:jc w:val="both"/>
        <w:rPr>
          <w:rFonts w:ascii="Palatino Linotype" w:hAnsi="Palatino Linotype" w:cs="Arial"/>
          <w:b/>
        </w:rPr>
      </w:pPr>
    </w:p>
    <w:p w14:paraId="3FA4955D" w14:textId="77777777" w:rsidR="00276A41" w:rsidRPr="00441692" w:rsidRDefault="00276A41" w:rsidP="00276A41">
      <w:pPr>
        <w:spacing w:before="240" w:line="360" w:lineRule="auto"/>
        <w:jc w:val="both"/>
        <w:rPr>
          <w:rFonts w:ascii="Palatino Linotype" w:hAnsi="Palatino Linotype" w:cs="Arial"/>
          <w:b/>
          <w:sz w:val="28"/>
          <w:szCs w:val="20"/>
        </w:rPr>
      </w:pPr>
      <w:r w:rsidRPr="00441692">
        <w:rPr>
          <w:rFonts w:ascii="Palatino Linotype" w:hAnsi="Palatino Linotype" w:cs="Arial"/>
          <w:b/>
          <w:sz w:val="28"/>
        </w:rPr>
        <w:t xml:space="preserve">SEGUNDO. </w:t>
      </w:r>
      <w:r w:rsidRPr="00441692">
        <w:rPr>
          <w:rFonts w:ascii="Palatino Linotype" w:hAnsi="Palatino Linotype" w:cs="Arial"/>
          <w:b/>
          <w:sz w:val="28"/>
          <w:szCs w:val="20"/>
        </w:rPr>
        <w:t>De la prórroga del Sujeto Obligado.</w:t>
      </w:r>
    </w:p>
    <w:p w14:paraId="72C8B81B" w14:textId="0E43FD07" w:rsidR="006D0B60" w:rsidRPr="006D0B60" w:rsidRDefault="00276A41" w:rsidP="00276A41">
      <w:pPr>
        <w:spacing w:before="240" w:line="360" w:lineRule="auto"/>
        <w:jc w:val="both"/>
        <w:rPr>
          <w:rFonts w:ascii="Palatino Linotype" w:hAnsi="Palatino Linotype" w:cs="Arial"/>
          <w:sz w:val="24"/>
          <w:szCs w:val="24"/>
        </w:rPr>
      </w:pPr>
      <w:r w:rsidRPr="00441692">
        <w:rPr>
          <w:rFonts w:ascii="Palatino Linotype" w:hAnsi="Palatino Linotype" w:cs="Arial"/>
          <w:sz w:val="24"/>
          <w:szCs w:val="24"/>
        </w:rPr>
        <w:t>De las constancias que obra</w:t>
      </w:r>
      <w:r w:rsidR="0005728E">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el</w:t>
      </w:r>
      <w:r w:rsidRPr="00441692">
        <w:rPr>
          <w:rFonts w:ascii="Palatino Linotype" w:hAnsi="Palatino Linotype" w:cs="Arial"/>
          <w:sz w:val="24"/>
          <w:szCs w:val="24"/>
        </w:rPr>
        <w:t xml:space="preserve"> expediente electrónico del </w:t>
      </w:r>
      <w:r w:rsidR="006D0B60">
        <w:rPr>
          <w:rFonts w:ascii="Palatino Linotype" w:hAnsi="Palatino Linotype" w:cs="Arial"/>
          <w:b/>
          <w:sz w:val="24"/>
          <w:szCs w:val="24"/>
        </w:rPr>
        <w:t>SARCOEM</w:t>
      </w:r>
      <w:r w:rsidRPr="00441692">
        <w:rPr>
          <w:rFonts w:ascii="Palatino Linotype" w:hAnsi="Palatino Linotype" w:cs="Arial"/>
          <w:b/>
          <w:sz w:val="24"/>
          <w:szCs w:val="24"/>
        </w:rPr>
        <w:t xml:space="preserve"> </w:t>
      </w:r>
      <w:r w:rsidRPr="00441692">
        <w:rPr>
          <w:rFonts w:ascii="Palatino Linotype" w:hAnsi="Palatino Linotype" w:cs="Arial"/>
          <w:sz w:val="24"/>
          <w:szCs w:val="24"/>
        </w:rPr>
        <w:t>correspondientes a la</w:t>
      </w:r>
      <w:r>
        <w:rPr>
          <w:rFonts w:ascii="Palatino Linotype" w:hAnsi="Palatino Linotype" w:cs="Arial"/>
          <w:sz w:val="24"/>
          <w:szCs w:val="24"/>
        </w:rPr>
        <w:t xml:space="preserve"> solicitud de </w:t>
      </w:r>
      <w:r w:rsidR="006D0B60">
        <w:rPr>
          <w:rFonts w:ascii="Palatino Linotype" w:hAnsi="Palatino Linotype" w:cs="Arial"/>
          <w:sz w:val="24"/>
          <w:szCs w:val="24"/>
        </w:rPr>
        <w:t xml:space="preserve">acceso a datos personales </w:t>
      </w:r>
      <w:r w:rsidR="006D0B60" w:rsidRPr="006D0B60">
        <w:rPr>
          <w:rFonts w:ascii="Palatino Linotype" w:hAnsi="Palatino Linotype" w:cs="Arial"/>
          <w:b/>
          <w:sz w:val="24"/>
          <w:szCs w:val="24"/>
        </w:rPr>
        <w:t>000</w:t>
      </w:r>
      <w:r w:rsidR="006D0B60">
        <w:rPr>
          <w:rFonts w:ascii="Palatino Linotype" w:hAnsi="Palatino Linotype" w:cs="Arial"/>
          <w:b/>
          <w:sz w:val="24"/>
          <w:szCs w:val="24"/>
        </w:rPr>
        <w:t xml:space="preserve">02/DIFEM/AD/2021, </w:t>
      </w:r>
      <w:r w:rsidR="006D0B60">
        <w:rPr>
          <w:rFonts w:ascii="Palatino Linotype" w:hAnsi="Palatino Linotype" w:cs="Arial"/>
          <w:sz w:val="24"/>
          <w:szCs w:val="24"/>
        </w:rPr>
        <w:t xml:space="preserve">se advierte que en fecha ocho de abril de dos mil veintiuno, </w:t>
      </w:r>
      <w:r w:rsidR="006D0B60">
        <w:rPr>
          <w:rFonts w:ascii="Palatino Linotype" w:hAnsi="Palatino Linotype" w:cs="Arial"/>
          <w:b/>
          <w:sz w:val="24"/>
          <w:szCs w:val="24"/>
        </w:rPr>
        <w:t xml:space="preserve">El Sujeto Obligado </w:t>
      </w:r>
      <w:r w:rsidR="006D0B60">
        <w:rPr>
          <w:rFonts w:ascii="Palatino Linotype" w:hAnsi="Palatino Linotype" w:cs="Arial"/>
          <w:sz w:val="24"/>
          <w:szCs w:val="24"/>
        </w:rPr>
        <w:t xml:space="preserve">solicitó prórroga de cinco días para recabar la información solicitada y dar cumplimiento a lo requerido por </w:t>
      </w:r>
      <w:r w:rsidR="006D0B60">
        <w:rPr>
          <w:rFonts w:ascii="Palatino Linotype" w:hAnsi="Palatino Linotype" w:cs="Arial"/>
          <w:b/>
          <w:sz w:val="24"/>
          <w:szCs w:val="24"/>
        </w:rPr>
        <w:t xml:space="preserve">El Recurrente, </w:t>
      </w:r>
      <w:r w:rsidR="006D0B60">
        <w:rPr>
          <w:rFonts w:ascii="Palatino Linotype" w:hAnsi="Palatino Linotype" w:cs="Arial"/>
          <w:sz w:val="24"/>
          <w:szCs w:val="24"/>
        </w:rPr>
        <w:t xml:space="preserve">advirtiendo que dicha prórroga no cumple con lo </w:t>
      </w:r>
      <w:r w:rsidR="006D0B60">
        <w:rPr>
          <w:rFonts w:ascii="Palatino Linotype" w:hAnsi="Palatino Linotype" w:cs="Arial"/>
          <w:sz w:val="24"/>
          <w:szCs w:val="24"/>
        </w:rPr>
        <w:lastRenderedPageBreak/>
        <w:t xml:space="preserve">establecido en el artículo 108 de la Ley de Protección de Datos Personales en Posesión de Sujetos Obligados del Estado de México y Municipios. </w:t>
      </w:r>
    </w:p>
    <w:p w14:paraId="0DE78ABE" w14:textId="77777777" w:rsidR="006D0B60" w:rsidRDefault="006D0B60" w:rsidP="00276A41">
      <w:pPr>
        <w:spacing w:before="240" w:line="360" w:lineRule="auto"/>
        <w:jc w:val="both"/>
        <w:rPr>
          <w:rFonts w:ascii="Palatino Linotype" w:hAnsi="Palatino Linotype" w:cs="Arial"/>
          <w:sz w:val="24"/>
          <w:szCs w:val="24"/>
        </w:rPr>
      </w:pPr>
    </w:p>
    <w:p w14:paraId="1DECE5B2" w14:textId="77777777" w:rsidR="00717B2B" w:rsidRDefault="00717B2B" w:rsidP="00717B2B">
      <w:pPr>
        <w:spacing w:before="240" w:line="360" w:lineRule="auto"/>
        <w:jc w:val="both"/>
        <w:rPr>
          <w:rFonts w:ascii="Palatino Linotype" w:hAnsi="Palatino Linotype" w:cs="Arial"/>
          <w:b/>
          <w:sz w:val="28"/>
        </w:rPr>
      </w:pPr>
      <w:r>
        <w:rPr>
          <w:rFonts w:ascii="Palatino Linotype" w:hAnsi="Palatino Linotype" w:cs="Arial"/>
          <w:b/>
          <w:sz w:val="28"/>
          <w:szCs w:val="20"/>
        </w:rPr>
        <w:t xml:space="preserve">TERCERO.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4690D72D" w14:textId="1F7A70F0" w:rsidR="006D0B60" w:rsidRDefault="00717B2B" w:rsidP="00717B2B">
      <w:pPr>
        <w:spacing w:line="360" w:lineRule="auto"/>
        <w:ind w:right="334"/>
        <w:jc w:val="both"/>
        <w:rPr>
          <w:rFonts w:ascii="Palatino Linotype" w:hAnsi="Palatino Linotype" w:cs="Arial"/>
        </w:rPr>
      </w:pPr>
      <w:r>
        <w:rPr>
          <w:rFonts w:ascii="Palatino Linotype" w:hAnsi="Palatino Linotype" w:cs="Arial"/>
        </w:rPr>
        <w:t xml:space="preserve">De las constancias del expediente electrónico del </w:t>
      </w:r>
      <w:r>
        <w:rPr>
          <w:rFonts w:ascii="Palatino Linotype" w:hAnsi="Palatino Linotype" w:cs="Arial"/>
          <w:b/>
        </w:rPr>
        <w:t xml:space="preserve">SARCOEM, </w:t>
      </w:r>
      <w:r>
        <w:rPr>
          <w:rFonts w:ascii="Palatino Linotype" w:hAnsi="Palatino Linotype" w:cs="Arial"/>
        </w:rPr>
        <w:t xml:space="preserve">se aprecia que el día </w:t>
      </w:r>
      <w:r w:rsidR="006D0B60">
        <w:rPr>
          <w:rFonts w:ascii="Palatino Linotype" w:hAnsi="Palatino Linotype" w:cs="Arial"/>
        </w:rPr>
        <w:t xml:space="preserve">quince de abril de dos mil veintiuno </w:t>
      </w:r>
      <w:r w:rsidR="006D0B60">
        <w:rPr>
          <w:rFonts w:ascii="Palatino Linotype" w:hAnsi="Palatino Linotype" w:cs="Arial"/>
          <w:b/>
        </w:rPr>
        <w:t xml:space="preserve">El Sujeto Obligado </w:t>
      </w:r>
      <w:r w:rsidR="006D0B60">
        <w:rPr>
          <w:rFonts w:ascii="Palatino Linotype" w:hAnsi="Palatino Linotype" w:cs="Arial"/>
        </w:rPr>
        <w:t xml:space="preserve">dio respuesta a la solicitud de acceso a datos personales </w:t>
      </w:r>
      <w:r w:rsidR="006D0B60">
        <w:rPr>
          <w:rFonts w:ascii="Palatino Linotype" w:hAnsi="Palatino Linotype" w:cs="Arial"/>
          <w:b/>
        </w:rPr>
        <w:t xml:space="preserve">00002/DIFEM/AD/2021, </w:t>
      </w:r>
      <w:r w:rsidR="006D0B60">
        <w:rPr>
          <w:rFonts w:ascii="Palatino Linotype" w:hAnsi="Palatino Linotype" w:cs="Arial"/>
        </w:rPr>
        <w:t xml:space="preserve">resultando de nuestro interés lo siguiente: </w:t>
      </w:r>
    </w:p>
    <w:p w14:paraId="6A82300E" w14:textId="6284B7B6" w:rsidR="006D0B60" w:rsidRPr="006D0B60" w:rsidRDefault="006D0B60" w:rsidP="006D0B60">
      <w:pPr>
        <w:pStyle w:val="INFOEM"/>
        <w:rPr>
          <w:b/>
        </w:rPr>
      </w:pPr>
      <w:r>
        <w:t>“</w:t>
      </w:r>
      <w:hyperlink r:id="rId10" w:history="1">
        <w:r w:rsidRPr="00897921">
          <w:rPr>
            <w:rStyle w:val="Hipervnculo"/>
          </w:rPr>
          <w:t>https://sfpya.edomexico.gob.mx/recaudacion</w:t>
        </w:r>
      </w:hyperlink>
      <w:r>
        <w:t xml:space="preserve">” </w:t>
      </w:r>
      <w:r>
        <w:rPr>
          <w:b/>
        </w:rPr>
        <w:t>[Sic]</w:t>
      </w:r>
    </w:p>
    <w:p w14:paraId="60C405B7" w14:textId="0ABBD77C" w:rsidR="000B2D41" w:rsidRDefault="00BD7DE0" w:rsidP="00717B2B">
      <w:pPr>
        <w:spacing w:line="360" w:lineRule="auto"/>
        <w:ind w:right="334"/>
        <w:jc w:val="both"/>
        <w:rPr>
          <w:rFonts w:ascii="Palatino Linotype" w:hAnsi="Palatino Linotype" w:cs="Arial"/>
        </w:rPr>
      </w:pPr>
      <w:r>
        <w:rPr>
          <w:rFonts w:ascii="Palatino Linotype" w:hAnsi="Palatino Linotype" w:cs="Arial"/>
          <w:noProof/>
          <w:lang w:eastAsia="es-MX"/>
        </w:rPr>
        <w:drawing>
          <wp:anchor distT="0" distB="0" distL="114300" distR="114300" simplePos="0" relativeHeight="251655164" behindDoc="0" locked="0" layoutInCell="1" allowOverlap="1" wp14:anchorId="14F42220" wp14:editId="64CA6B90">
            <wp:simplePos x="0" y="0"/>
            <wp:positionH relativeFrom="column">
              <wp:posOffset>-118745</wp:posOffset>
            </wp:positionH>
            <wp:positionV relativeFrom="paragraph">
              <wp:posOffset>831159</wp:posOffset>
            </wp:positionV>
            <wp:extent cx="5753100" cy="3344545"/>
            <wp:effectExtent l="19050" t="19050" r="19050" b="27305"/>
            <wp:wrapThrough wrapText="bothSides">
              <wp:wrapPolygon edited="0">
                <wp:start x="-72" y="-123"/>
                <wp:lineTo x="-72" y="21653"/>
                <wp:lineTo x="21600" y="21653"/>
                <wp:lineTo x="21600" y="-123"/>
                <wp:lineTo x="-72" y="-123"/>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344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B2D41">
        <w:rPr>
          <w:rFonts w:ascii="Palatino Linotype" w:hAnsi="Palatino Linotype" w:cs="Arial"/>
        </w:rPr>
        <w:t xml:space="preserve">Liga electrónica en cita que remite al Portal de Servicios del Contribuyente del Gobierno del Estado de México. </w:t>
      </w:r>
    </w:p>
    <w:p w14:paraId="621D4284" w14:textId="0DEB960A" w:rsidR="00717B2B" w:rsidRPr="0094651B" w:rsidRDefault="00717B2B" w:rsidP="00717B2B">
      <w:pPr>
        <w:spacing w:line="360" w:lineRule="auto"/>
        <w:jc w:val="both"/>
        <w:rPr>
          <w:rFonts w:ascii="Palatino Linotype" w:hAnsi="Palatino Linotype" w:cs="Arial"/>
          <w:b/>
          <w:sz w:val="28"/>
        </w:rPr>
      </w:pPr>
      <w:r>
        <w:rPr>
          <w:rFonts w:ascii="Palatino Linotype" w:hAnsi="Palatino Linotype" w:cs="Arial"/>
          <w:b/>
          <w:sz w:val="28"/>
        </w:rPr>
        <w:lastRenderedPageBreak/>
        <w:t>CUARTO</w:t>
      </w:r>
      <w:r w:rsidRPr="0094651B">
        <w:rPr>
          <w:rFonts w:ascii="Palatino Linotype" w:hAnsi="Palatino Linotype" w:cs="Arial"/>
          <w:b/>
          <w:sz w:val="28"/>
        </w:rPr>
        <w:t>. Del Recurso de Revisión.</w:t>
      </w:r>
    </w:p>
    <w:p w14:paraId="2305F840" w14:textId="03810F81" w:rsidR="00177A1B" w:rsidRPr="00177A1B" w:rsidRDefault="00717B2B" w:rsidP="00717B2B">
      <w:pPr>
        <w:spacing w:line="360" w:lineRule="auto"/>
        <w:jc w:val="both"/>
        <w:rPr>
          <w:rFonts w:ascii="Palatino Linotype" w:hAnsi="Palatino Linotype"/>
        </w:rPr>
      </w:pPr>
      <w:r>
        <w:rPr>
          <w:rFonts w:ascii="Palatino Linotype" w:hAnsi="Palatino Linotype"/>
        </w:rPr>
        <w:t xml:space="preserve">El </w:t>
      </w:r>
      <w:r w:rsidR="00177A1B">
        <w:rPr>
          <w:rFonts w:ascii="Palatino Linotype" w:hAnsi="Palatino Linotype"/>
        </w:rPr>
        <w:t xml:space="preserve">veintitrés de abril de dos mil veintiuno, </w:t>
      </w:r>
      <w:r w:rsidR="00177A1B">
        <w:rPr>
          <w:rFonts w:ascii="Palatino Linotype" w:hAnsi="Palatino Linotype"/>
          <w:b/>
        </w:rPr>
        <w:t xml:space="preserve">El Recurrente </w:t>
      </w:r>
      <w:r w:rsidR="00177A1B">
        <w:rPr>
          <w:rFonts w:ascii="Palatino Linotype" w:hAnsi="Palatino Linotype"/>
        </w:rPr>
        <w:t xml:space="preserve">interpuso el recurso de revisión al que se le asignó el número de expediente que al rubro se indica, señalando como acto y como razones o motivos de inconformidad los siguientes: </w:t>
      </w:r>
    </w:p>
    <w:p w14:paraId="2ED8E5CC" w14:textId="5F94DF3C" w:rsidR="00717B2B" w:rsidRPr="0094651B" w:rsidRDefault="00717B2B" w:rsidP="00717B2B">
      <w:pPr>
        <w:spacing w:line="360" w:lineRule="auto"/>
        <w:jc w:val="both"/>
        <w:rPr>
          <w:rFonts w:ascii="Palatino Linotype" w:hAnsi="Palatino Linotype" w:cs="Arial"/>
          <w:b/>
        </w:rPr>
      </w:pPr>
      <w:r w:rsidRPr="0094651B">
        <w:rPr>
          <w:rFonts w:ascii="Palatino Linotype" w:hAnsi="Palatino Linotype" w:cs="Arial"/>
          <w:b/>
        </w:rPr>
        <w:t>Acto Impugnado</w:t>
      </w:r>
    </w:p>
    <w:p w14:paraId="51F495AE" w14:textId="5FE72A29" w:rsidR="00717B2B" w:rsidRPr="00A1576E" w:rsidRDefault="00177A1B" w:rsidP="00177A1B">
      <w:pPr>
        <w:pStyle w:val="INFOEM"/>
        <w:rPr>
          <w:b/>
        </w:rPr>
      </w:pPr>
      <w:r>
        <w:t>“Falta de fundamentación y motivación. Costos de reproducción.</w:t>
      </w:r>
      <w:r w:rsidR="00717B2B" w:rsidRPr="00A1576E">
        <w:t xml:space="preserve">” </w:t>
      </w:r>
      <w:r w:rsidR="00717B2B" w:rsidRPr="00A1576E">
        <w:rPr>
          <w:b/>
        </w:rPr>
        <w:t>[Sic]</w:t>
      </w:r>
    </w:p>
    <w:p w14:paraId="2F1F147F" w14:textId="77777777" w:rsidR="00717B2B" w:rsidRDefault="00717B2B" w:rsidP="00717B2B">
      <w:pPr>
        <w:spacing w:line="360" w:lineRule="auto"/>
        <w:ind w:left="567"/>
        <w:jc w:val="both"/>
        <w:rPr>
          <w:rFonts w:ascii="Palatino Linotype" w:hAnsi="Palatino Linotype" w:cs="Arial"/>
          <w:b/>
          <w:i/>
        </w:rPr>
      </w:pPr>
    </w:p>
    <w:p w14:paraId="56620F45" w14:textId="77777777" w:rsidR="00717B2B" w:rsidRPr="0094651B" w:rsidRDefault="00717B2B" w:rsidP="00717B2B">
      <w:pPr>
        <w:spacing w:line="360" w:lineRule="auto"/>
        <w:jc w:val="both"/>
        <w:rPr>
          <w:rFonts w:ascii="Palatino Linotype" w:hAnsi="Palatino Linotype" w:cs="Arial"/>
          <w:b/>
        </w:rPr>
      </w:pPr>
      <w:r w:rsidRPr="0094651B">
        <w:rPr>
          <w:rFonts w:ascii="Palatino Linotype" w:hAnsi="Palatino Linotype" w:cs="Arial"/>
          <w:b/>
        </w:rPr>
        <w:t>Razones o motivos de inconformidad</w:t>
      </w:r>
    </w:p>
    <w:p w14:paraId="0AF0C0AE" w14:textId="22C5BBB1" w:rsidR="00717B2B" w:rsidRPr="00A1576E" w:rsidRDefault="00177A1B" w:rsidP="00177A1B">
      <w:pPr>
        <w:pStyle w:val="INFOEM"/>
        <w:rPr>
          <w:b/>
        </w:rPr>
      </w:pPr>
      <w:r>
        <w:t xml:space="preserve">“El sujeto obligado no fundamente ni motiva de ninguna manera la razón por la que la información solicitada tiene costo alguno. No es dable aceptar que el sujeto obligado pretenda subsanar dicha irregularidad rindiendo su informe justificado, irregularidad que incluso contraviene el principio de seguridad jurídica y el derecho fundamental a la legalidad, esto es, el motivar y fundar de manera correcta todo acto de autoridad. Aunado a lo anterior, el sujeto obligado sólo se limita a copiar el enlace a la página electrónica de servicios al contribuyente, </w:t>
      </w:r>
      <w:r w:rsidRPr="002C02B5">
        <w:rPr>
          <w:b/>
          <w:u w:val="single"/>
        </w:rPr>
        <w:t>sin embargo, no menciona cuántas hojas debo pagar, o incluso, el procedimiento a seguir para enterar el pago al sujeto obligado.</w:t>
      </w:r>
      <w:r>
        <w:t xml:space="preserve"> Por </w:t>
      </w:r>
      <w:proofErr w:type="spellStart"/>
      <w:r>
        <w:t>ultimo</w:t>
      </w:r>
      <w:proofErr w:type="spellEnd"/>
      <w:r>
        <w:t>, el sujeto obligado no asegura la existencia de la información requerida y aunque si bien es cierto que de la respuesta otorgada se desprende su existencia, aún de manera tácita, el sujeto obligado tiene el mandato constitucional de atender el principio de seguridad jurídica. En tales condiciones, solicito se dé vista al órgano de control, en vista de la negligente atención a la solicitud de acceso a datos personales.</w:t>
      </w:r>
      <w:r w:rsidR="00717B2B" w:rsidRPr="00A1576E">
        <w:t xml:space="preserve">” </w:t>
      </w:r>
      <w:r w:rsidR="00717B2B" w:rsidRPr="00A1576E">
        <w:rPr>
          <w:b/>
        </w:rPr>
        <w:t>[Sic]</w:t>
      </w:r>
    </w:p>
    <w:p w14:paraId="1F966EF0" w14:textId="77777777" w:rsidR="00717B2B" w:rsidRPr="0094651B" w:rsidRDefault="00717B2B" w:rsidP="00717B2B">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szCs w:val="28"/>
        </w:rPr>
        <w:lastRenderedPageBreak/>
        <w:t>QUINTO</w:t>
      </w:r>
      <w:r w:rsidRPr="0094651B">
        <w:rPr>
          <w:rFonts w:ascii="Palatino Linotype" w:hAnsi="Palatino Linotype" w:cs="Arial"/>
          <w:b/>
          <w:sz w:val="28"/>
          <w:szCs w:val="28"/>
        </w:rPr>
        <w:t>. Del turno del recurso de revisión.</w:t>
      </w:r>
    </w:p>
    <w:p w14:paraId="692AA516" w14:textId="221279CE" w:rsidR="00717B2B" w:rsidRDefault="00717B2B" w:rsidP="00717B2B">
      <w:pPr>
        <w:pStyle w:val="Prrafodelista"/>
        <w:spacing w:line="360" w:lineRule="auto"/>
        <w:ind w:left="0"/>
        <w:jc w:val="both"/>
        <w:rPr>
          <w:rFonts w:ascii="Palatino Linotype" w:hAnsi="Palatino Linotype" w:cs="Arial"/>
          <w:lang w:val="es-ES_tradnl"/>
        </w:rPr>
      </w:pPr>
      <w:r w:rsidRPr="0094651B">
        <w:rPr>
          <w:rFonts w:ascii="Palatino Linotype" w:hAnsi="Palatino Linotype" w:cs="Arial"/>
        </w:rPr>
        <w:t xml:space="preserve">En </w:t>
      </w:r>
      <w:r>
        <w:rPr>
          <w:rFonts w:ascii="Palatino Linotype" w:hAnsi="Palatino Linotype" w:cs="Arial"/>
        </w:rPr>
        <w:t>fecha</w:t>
      </w:r>
      <w:r w:rsidR="00177A1B">
        <w:rPr>
          <w:rFonts w:ascii="Palatino Linotype" w:hAnsi="Palatino Linotype" w:cs="Arial"/>
        </w:rPr>
        <w:t xml:space="preserve"> </w:t>
      </w:r>
      <w:r w:rsidR="00BD7DE0">
        <w:rPr>
          <w:rFonts w:ascii="Palatino Linotype" w:hAnsi="Palatino Linotype" w:cs="Arial"/>
        </w:rPr>
        <w:t>veintitrés</w:t>
      </w:r>
      <w:r w:rsidR="00177A1B">
        <w:rPr>
          <w:rFonts w:ascii="Palatino Linotype" w:hAnsi="Palatino Linotype" w:cs="Arial"/>
        </w:rPr>
        <w:t xml:space="preserve"> de abril de dos mil veintiuno, el recurso de que se trata se registró en el </w:t>
      </w:r>
      <w:r w:rsidR="00177A1B">
        <w:rPr>
          <w:rFonts w:ascii="Palatino Linotype" w:hAnsi="Palatino Linotype" w:cs="Arial"/>
          <w:b/>
        </w:rPr>
        <w:t xml:space="preserve">SARCOEM </w:t>
      </w:r>
      <w:r w:rsidR="00177A1B">
        <w:rPr>
          <w:rFonts w:ascii="Palatino Linotype" w:hAnsi="Palatino Linotype" w:cs="Arial"/>
        </w:rPr>
        <w:t xml:space="preserve">y fue </w:t>
      </w:r>
      <w:r w:rsidRPr="0094651B">
        <w:rPr>
          <w:rFonts w:ascii="Palatino Linotype" w:hAnsi="Palatino Linotype" w:cs="Arial"/>
          <w:lang w:val="es-ES_tradnl"/>
        </w:rPr>
        <w:t xml:space="preserve">turnado a la Comisionada Zulema Martínez Sánchez, a efecto de que decretara su admisión o desechamiento, ello en términos de los artículos 11 y 127, de la Ley de Protección de Datos Personales en Posesión de Sujetos Obligados del Estado de México y Municipios, en relación con el diverso 185, fracción I, de la </w:t>
      </w:r>
      <w:r w:rsidRPr="0094651B">
        <w:rPr>
          <w:rFonts w:ascii="Palatino Linotype" w:hAnsi="Palatino Linotype"/>
        </w:rPr>
        <w:t>Ley de Transparencia y Acceso a la Información Pública del Estado de México y Municipios, de aplicación supletoria a la citada Ley de Protección de Datos Personales por disposición de su artículo 11</w:t>
      </w:r>
      <w:r w:rsidRPr="0094651B">
        <w:rPr>
          <w:rFonts w:ascii="Palatino Linotype" w:hAnsi="Palatino Linotype" w:cs="Arial"/>
          <w:lang w:val="es-ES_tradnl"/>
        </w:rPr>
        <w:t>.</w:t>
      </w:r>
    </w:p>
    <w:p w14:paraId="240C1ACE" w14:textId="77777777" w:rsidR="00717B2B" w:rsidRDefault="00717B2B" w:rsidP="00717B2B">
      <w:pPr>
        <w:pStyle w:val="Prrafodelista"/>
        <w:spacing w:line="360" w:lineRule="auto"/>
        <w:ind w:left="0"/>
        <w:jc w:val="both"/>
        <w:rPr>
          <w:rFonts w:ascii="Palatino Linotype" w:hAnsi="Palatino Linotype" w:cs="Arial"/>
        </w:rPr>
      </w:pPr>
    </w:p>
    <w:p w14:paraId="16ACA752" w14:textId="77777777" w:rsidR="00717B2B" w:rsidRPr="0094651B" w:rsidRDefault="00717B2B" w:rsidP="00717B2B">
      <w:pPr>
        <w:pStyle w:val="Prrafodelista"/>
        <w:spacing w:line="360" w:lineRule="auto"/>
        <w:ind w:left="0"/>
        <w:jc w:val="both"/>
        <w:rPr>
          <w:rFonts w:ascii="Palatino Linotype" w:hAnsi="Palatino Linotype" w:cs="Arial"/>
          <w:b/>
          <w:sz w:val="28"/>
        </w:rPr>
      </w:pPr>
      <w:r>
        <w:rPr>
          <w:rFonts w:ascii="Palatino Linotype" w:hAnsi="Palatino Linotype" w:cs="Arial"/>
          <w:b/>
          <w:sz w:val="28"/>
        </w:rPr>
        <w:t>SEXTO</w:t>
      </w:r>
      <w:r w:rsidRPr="0094651B">
        <w:rPr>
          <w:rFonts w:ascii="Palatino Linotype" w:hAnsi="Palatino Linotype" w:cs="Arial"/>
          <w:b/>
          <w:sz w:val="28"/>
        </w:rPr>
        <w:t>. De la Admisión y la Etapa de Conciliación.</w:t>
      </w:r>
    </w:p>
    <w:p w14:paraId="789BB0A7" w14:textId="46C841C8" w:rsidR="00717B2B" w:rsidRPr="0094651B" w:rsidRDefault="00717B2B" w:rsidP="00717B2B">
      <w:pPr>
        <w:pStyle w:val="Prrafodelista"/>
        <w:spacing w:line="360" w:lineRule="auto"/>
        <w:ind w:left="0"/>
        <w:jc w:val="both"/>
        <w:rPr>
          <w:rFonts w:ascii="Palatino Linotype" w:hAnsi="Palatino Linotype" w:cs="Arial"/>
        </w:rPr>
      </w:pPr>
      <w:r w:rsidRPr="0094651B">
        <w:rPr>
          <w:rFonts w:ascii="Palatino Linotype" w:hAnsi="Palatino Linotype" w:cs="Arial"/>
        </w:rPr>
        <w:t xml:space="preserve">En fecha </w:t>
      </w:r>
      <w:r w:rsidR="00177A1B">
        <w:rPr>
          <w:rFonts w:ascii="Palatino Linotype" w:hAnsi="Palatino Linotype"/>
        </w:rPr>
        <w:t>veintinueve de abril de dos mil veintiuno</w:t>
      </w:r>
      <w:r w:rsidRPr="0094651B">
        <w:rPr>
          <w:rFonts w:ascii="Palatino Linotype" w:hAnsi="Palatino Linotype" w:cs="Arial"/>
        </w:rPr>
        <w:t>,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14:paraId="07D4FBE5" w14:textId="77777777" w:rsidR="00717B2B" w:rsidRPr="0094651B" w:rsidRDefault="00717B2B" w:rsidP="00717B2B">
      <w:pPr>
        <w:pStyle w:val="Sinespaciado"/>
      </w:pPr>
    </w:p>
    <w:p w14:paraId="10D0322C" w14:textId="1024B45B" w:rsidR="00717B2B" w:rsidRPr="006F68C6" w:rsidRDefault="00717B2B" w:rsidP="00717B2B">
      <w:pPr>
        <w:pStyle w:val="Prrafodelista"/>
        <w:spacing w:line="360" w:lineRule="auto"/>
        <w:ind w:left="0"/>
        <w:jc w:val="both"/>
        <w:rPr>
          <w:rFonts w:ascii="Palatino Linotype" w:hAnsi="Palatino Linotype" w:cs="Arial"/>
        </w:rPr>
      </w:pPr>
      <w:r w:rsidRPr="0094651B">
        <w:rPr>
          <w:rFonts w:ascii="Palatino Linotype" w:hAnsi="Palatino Linotype" w:cs="Arial"/>
        </w:rPr>
        <w:t xml:space="preserve">Asimismo, </w:t>
      </w:r>
      <w:r>
        <w:rPr>
          <w:rFonts w:ascii="Palatino Linotype" w:hAnsi="Palatino Linotype" w:cs="Arial"/>
        </w:rPr>
        <w:t xml:space="preserve">derivado del acuerdo de admisión de exhortación a la conciliación, es menester señalar que </w:t>
      </w:r>
      <w:r>
        <w:rPr>
          <w:rFonts w:ascii="Palatino Linotype" w:hAnsi="Palatino Linotype" w:cs="Arial"/>
          <w:b/>
        </w:rPr>
        <w:t xml:space="preserve">El Sujeto Obligado </w:t>
      </w:r>
      <w:r>
        <w:rPr>
          <w:rFonts w:ascii="Palatino Linotype" w:hAnsi="Palatino Linotype" w:cs="Arial"/>
        </w:rPr>
        <w:t xml:space="preserve">y </w:t>
      </w:r>
      <w:r w:rsidR="00177A1B">
        <w:rPr>
          <w:rFonts w:ascii="Palatino Linotype" w:hAnsi="Palatino Linotype" w:cs="Arial"/>
          <w:b/>
        </w:rPr>
        <w:t>El</w:t>
      </w:r>
      <w:r>
        <w:rPr>
          <w:rFonts w:ascii="Palatino Linotype" w:hAnsi="Palatino Linotype" w:cs="Arial"/>
          <w:b/>
        </w:rPr>
        <w:t xml:space="preserve"> Recurrente </w:t>
      </w:r>
      <w:r>
        <w:rPr>
          <w:rFonts w:ascii="Palatino Linotype" w:hAnsi="Palatino Linotype" w:cs="Arial"/>
        </w:rPr>
        <w:t xml:space="preserve">accedieron al procedimiento de conciliación, robustece lo anterior la siguiente imagen ilustrativa: </w:t>
      </w:r>
    </w:p>
    <w:p w14:paraId="1E217B62" w14:textId="39D7A68F" w:rsidR="00717B2B" w:rsidRDefault="00717B2B" w:rsidP="00717B2B">
      <w:pPr>
        <w:pStyle w:val="Prrafodelista"/>
        <w:spacing w:line="360" w:lineRule="auto"/>
        <w:ind w:left="0"/>
        <w:jc w:val="both"/>
        <w:rPr>
          <w:rFonts w:ascii="Palatino Linotype" w:hAnsi="Palatino Linotype" w:cs="Arial"/>
        </w:rPr>
      </w:pPr>
    </w:p>
    <w:p w14:paraId="78A67E52" w14:textId="77777777" w:rsidR="00717B2B" w:rsidRDefault="00717B2B"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8BE385" w14:textId="524C3572" w:rsidR="00177A1B" w:rsidRDefault="00FB0F72"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noProof/>
          <w:color w:val="000000"/>
          <w:sz w:val="24"/>
          <w:szCs w:val="24"/>
          <w:lang w:eastAsia="es-MX"/>
        </w:rPr>
        <w:lastRenderedPageBreak/>
        <w:drawing>
          <wp:inline distT="0" distB="0" distL="0" distR="0" wp14:anchorId="1474D049" wp14:editId="50AB471B">
            <wp:extent cx="5756910" cy="7176135"/>
            <wp:effectExtent l="19050" t="19050" r="15240" b="247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7176135"/>
                    </a:xfrm>
                    <a:prstGeom prst="rect">
                      <a:avLst/>
                    </a:prstGeom>
                    <a:noFill/>
                    <a:ln>
                      <a:solidFill>
                        <a:schemeClr val="tx1"/>
                      </a:solidFill>
                    </a:ln>
                  </pic:spPr>
                </pic:pic>
              </a:graphicData>
            </a:graphic>
          </wp:inline>
        </w:drawing>
      </w:r>
    </w:p>
    <w:p w14:paraId="7DA452DC" w14:textId="53932630" w:rsidR="00177A1B" w:rsidRDefault="00FB0F72" w:rsidP="0005728E">
      <w:pPr>
        <w:spacing w:before="240" w:line="360" w:lineRule="auto"/>
        <w:jc w:val="both"/>
        <w:rPr>
          <w:rFonts w:ascii="Palatino Linotype" w:hAnsi="Palatino Linotype" w:cs="Arial"/>
          <w:sz w:val="24"/>
          <w:szCs w:val="24"/>
        </w:rPr>
      </w:pPr>
      <w:r w:rsidRPr="00FB0F72">
        <w:rPr>
          <w:rFonts w:ascii="Palatino Linotype" w:eastAsia="Times New Roman" w:hAnsi="Palatino Linotype" w:cs="Arial"/>
          <w:color w:val="000000"/>
          <w:sz w:val="24"/>
          <w:szCs w:val="24"/>
          <w:lang w:eastAsia="es-MX"/>
        </w:rPr>
        <w:lastRenderedPageBreak/>
        <w:t xml:space="preserve">Posteriormente, el diecisiete de mayo de dos mil veintiuno, la Comisionada Ponente </w:t>
      </w:r>
      <w:r w:rsidRPr="00FB0F72">
        <w:rPr>
          <w:rFonts w:ascii="Palatino Linotype" w:hAnsi="Palatino Linotype" w:cs="Arial"/>
          <w:sz w:val="24"/>
          <w:szCs w:val="24"/>
        </w:rPr>
        <w:t xml:space="preserve">emitió el </w:t>
      </w:r>
      <w:r w:rsidRPr="00FB0F72">
        <w:rPr>
          <w:rFonts w:ascii="Palatino Linotype" w:hAnsi="Palatino Linotype" w:cs="Arial"/>
          <w:b/>
          <w:sz w:val="24"/>
          <w:szCs w:val="24"/>
        </w:rPr>
        <w:t xml:space="preserve">Acuerdo para señalar día, hora y lugar para la audiencia de la celebración de conciliación, </w:t>
      </w:r>
      <w:r w:rsidRPr="00FB0F72">
        <w:rPr>
          <w:rFonts w:ascii="Palatino Linotype" w:hAnsi="Palatino Linotype" w:cs="Arial"/>
          <w:sz w:val="24"/>
          <w:szCs w:val="24"/>
        </w:rPr>
        <w:t xml:space="preserve">en el cual se estableció la audiencia de conciliación el día viernes </w:t>
      </w:r>
      <w:r>
        <w:rPr>
          <w:rFonts w:ascii="Palatino Linotype" w:hAnsi="Palatino Linotype" w:cs="Arial"/>
          <w:sz w:val="24"/>
          <w:szCs w:val="24"/>
        </w:rPr>
        <w:t xml:space="preserve">(21) de mayo de dos mil veintiuno a las 10:30 horas, </w:t>
      </w:r>
      <w:r w:rsidR="00884FC4">
        <w:rPr>
          <w:rFonts w:ascii="Palatino Linotype" w:hAnsi="Palatino Linotype" w:cs="Arial"/>
          <w:sz w:val="24"/>
          <w:szCs w:val="24"/>
        </w:rPr>
        <w:t xml:space="preserve">la cual se desarrolló en la plataforma virtual ZOOM, de conformidad con la fracción II del artículo 132 de la Ley de Protección de Datos Personales en Posesión de Sujetos Obligados del Estado de México y Municipios. </w:t>
      </w:r>
    </w:p>
    <w:p w14:paraId="4F2CD6E1" w14:textId="1218D21B" w:rsidR="00884FC4" w:rsidRDefault="00884FC4" w:rsidP="0005728E">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este sentido, en la fecha y hora fijadas se celebró la conciliación respectiva, sirven de sustento las siguientes imágenes ilustrativas: </w:t>
      </w:r>
    </w:p>
    <w:p w14:paraId="7F561835" w14:textId="36409590" w:rsidR="00930FBA" w:rsidRDefault="00905AFA" w:rsidP="0005728E">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0288" behindDoc="0" locked="0" layoutInCell="1" allowOverlap="1" wp14:anchorId="66B682B6" wp14:editId="430C4E4A">
                <wp:simplePos x="0" y="0"/>
                <wp:positionH relativeFrom="column">
                  <wp:posOffset>-143157</wp:posOffset>
                </wp:positionH>
                <wp:positionV relativeFrom="paragraph">
                  <wp:posOffset>151412</wp:posOffset>
                </wp:positionV>
                <wp:extent cx="6299200" cy="4086578"/>
                <wp:effectExtent l="0" t="0" r="25400" b="28575"/>
                <wp:wrapNone/>
                <wp:docPr id="13" name="Conector recto 13"/>
                <wp:cNvGraphicFramePr/>
                <a:graphic xmlns:a="http://schemas.openxmlformats.org/drawingml/2006/main">
                  <a:graphicData uri="http://schemas.microsoft.com/office/word/2010/wordprocessingShape">
                    <wps:wsp>
                      <wps:cNvCnPr/>
                      <wps:spPr>
                        <a:xfrm>
                          <a:off x="0" y="0"/>
                          <a:ext cx="6299200" cy="40865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647BBD" id="Conector recto 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25pt,11.9pt" to="484.75pt,3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" strokecolor="#5b9bd5 [3204]" strokeweight=".5pt">
                <v:stroke joinstyle="miter"/>
              </v:line>
            </w:pict>
          </mc:Fallback>
        </mc:AlternateContent>
      </w:r>
    </w:p>
    <w:p w14:paraId="24EBAF9A" w14:textId="77777777" w:rsidR="00930FBA" w:rsidRDefault="00930FBA" w:rsidP="0005728E">
      <w:pPr>
        <w:spacing w:before="240" w:line="360" w:lineRule="auto"/>
        <w:jc w:val="both"/>
        <w:rPr>
          <w:rFonts w:ascii="Palatino Linotype" w:hAnsi="Palatino Linotype" w:cs="Arial"/>
          <w:sz w:val="24"/>
          <w:szCs w:val="24"/>
        </w:rPr>
      </w:pPr>
    </w:p>
    <w:p w14:paraId="00BC74A6" w14:textId="77777777" w:rsidR="00930FBA" w:rsidRDefault="00930FBA" w:rsidP="00F5285B">
      <w:pPr>
        <w:spacing w:before="240" w:line="360" w:lineRule="auto"/>
        <w:jc w:val="both"/>
        <w:rPr>
          <w:rFonts w:ascii="Palatino Linotype" w:hAnsi="Palatino Linotype" w:cs="Arial"/>
          <w:sz w:val="24"/>
          <w:szCs w:val="24"/>
        </w:rPr>
      </w:pPr>
    </w:p>
    <w:p w14:paraId="58D3C5A4" w14:textId="77777777" w:rsidR="00930FBA" w:rsidRDefault="00930FBA" w:rsidP="00F5285B">
      <w:pPr>
        <w:spacing w:before="240" w:line="360" w:lineRule="auto"/>
        <w:jc w:val="both"/>
        <w:rPr>
          <w:rFonts w:ascii="Palatino Linotype" w:hAnsi="Palatino Linotype" w:cs="Arial"/>
          <w:sz w:val="24"/>
          <w:szCs w:val="24"/>
        </w:rPr>
      </w:pPr>
    </w:p>
    <w:p w14:paraId="4F520D67" w14:textId="77777777" w:rsidR="00930FBA" w:rsidRDefault="00930FBA" w:rsidP="00F5285B">
      <w:pPr>
        <w:spacing w:before="240" w:line="360" w:lineRule="auto"/>
        <w:jc w:val="both"/>
        <w:rPr>
          <w:rFonts w:ascii="Palatino Linotype" w:hAnsi="Palatino Linotype" w:cs="Arial"/>
          <w:sz w:val="24"/>
          <w:szCs w:val="24"/>
        </w:rPr>
      </w:pPr>
    </w:p>
    <w:p w14:paraId="19D91225" w14:textId="77777777" w:rsidR="00930FBA" w:rsidRDefault="00930FBA" w:rsidP="00F5285B">
      <w:pPr>
        <w:spacing w:before="240" w:line="360" w:lineRule="auto"/>
        <w:jc w:val="both"/>
        <w:rPr>
          <w:rFonts w:ascii="Palatino Linotype" w:hAnsi="Palatino Linotype" w:cs="Arial"/>
          <w:sz w:val="24"/>
          <w:szCs w:val="24"/>
        </w:rPr>
      </w:pPr>
    </w:p>
    <w:p w14:paraId="3799D43B" w14:textId="77777777" w:rsidR="00930FBA" w:rsidRDefault="00930FBA" w:rsidP="00F5285B">
      <w:pPr>
        <w:spacing w:before="240" w:line="360" w:lineRule="auto"/>
        <w:jc w:val="both"/>
        <w:rPr>
          <w:rFonts w:ascii="Palatino Linotype" w:hAnsi="Palatino Linotype" w:cs="Arial"/>
          <w:sz w:val="24"/>
          <w:szCs w:val="24"/>
        </w:rPr>
      </w:pPr>
    </w:p>
    <w:p w14:paraId="236FBD84" w14:textId="77777777" w:rsidR="00930FBA" w:rsidRDefault="00930FBA" w:rsidP="00AE3CCC">
      <w:pPr>
        <w:shd w:val="clear" w:color="auto" w:fill="FFFFFF"/>
        <w:spacing w:before="240" w:line="360" w:lineRule="auto"/>
        <w:jc w:val="both"/>
        <w:rPr>
          <w:rFonts w:ascii="Palatino Linotype" w:hAnsi="Palatino Linotype" w:cs="Arial"/>
          <w:sz w:val="24"/>
          <w:szCs w:val="24"/>
        </w:rPr>
      </w:pPr>
    </w:p>
    <w:p w14:paraId="10C641E1" w14:textId="77777777" w:rsidR="00930FBA" w:rsidRDefault="00930FBA" w:rsidP="00AE3CCC">
      <w:pPr>
        <w:shd w:val="clear" w:color="auto" w:fill="FFFFFF"/>
        <w:spacing w:before="240" w:line="360" w:lineRule="auto"/>
        <w:jc w:val="both"/>
        <w:rPr>
          <w:rFonts w:ascii="Palatino Linotype" w:hAnsi="Palatino Linotype" w:cs="Arial"/>
          <w:sz w:val="24"/>
          <w:szCs w:val="24"/>
        </w:rPr>
      </w:pPr>
    </w:p>
    <w:p w14:paraId="20DA0ECF" w14:textId="6BC00411" w:rsidR="00930FBA" w:rsidRDefault="003C24B8" w:rsidP="00AE3CCC">
      <w:pPr>
        <w:shd w:val="clear" w:color="auto" w:fill="FFFFFF"/>
        <w:spacing w:before="240" w:line="360" w:lineRule="auto"/>
        <w:jc w:val="both"/>
        <w:rPr>
          <w:rFonts w:ascii="Palatino Linotype" w:hAnsi="Palatino Linotype" w:cs="Arial"/>
          <w:sz w:val="24"/>
          <w:szCs w:val="24"/>
        </w:rPr>
      </w:pPr>
      <w:r>
        <w:rPr>
          <w:rFonts w:ascii="Palatino Linotype" w:eastAsia="Times New Roman" w:hAnsi="Palatino Linotype" w:cs="Arial"/>
          <w:noProof/>
          <w:color w:val="000000"/>
          <w:sz w:val="24"/>
          <w:szCs w:val="24"/>
          <w:lang w:eastAsia="es-MX"/>
        </w:rPr>
        <w:lastRenderedPageBreak/>
        <w:drawing>
          <wp:inline distT="0" distB="0" distL="0" distR="0" wp14:anchorId="6422CD53" wp14:editId="03A05A76">
            <wp:extent cx="5724525" cy="71144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8569" cy="7119456"/>
                    </a:xfrm>
                    <a:prstGeom prst="rect">
                      <a:avLst/>
                    </a:prstGeom>
                    <a:noFill/>
                    <a:ln>
                      <a:noFill/>
                    </a:ln>
                  </pic:spPr>
                </pic:pic>
              </a:graphicData>
            </a:graphic>
          </wp:inline>
        </w:drawing>
      </w:r>
      <w:r w:rsidR="00905AFA" w:rsidRPr="00905AFA">
        <w:rPr>
          <w:rFonts w:ascii="Palatino Linotype" w:eastAsia="Times New Roman" w:hAnsi="Palatino Linotype" w:cs="Arial"/>
          <w:noProof/>
          <w:color w:val="000000"/>
          <w:sz w:val="24"/>
          <w:szCs w:val="24"/>
          <w:lang w:eastAsia="es-MX"/>
        </w:rPr>
        <w:t xml:space="preserve"> </w:t>
      </w:r>
    </w:p>
    <w:p w14:paraId="6876EC45" w14:textId="588D5F96" w:rsidR="00930FBA" w:rsidRDefault="003C24B8" w:rsidP="00AE3CCC">
      <w:pPr>
        <w:shd w:val="clear" w:color="auto" w:fill="FFFFFF"/>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3A6275EE" wp14:editId="2FDCB8CF">
            <wp:extent cx="5879057" cy="71247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4695" cy="7131533"/>
                    </a:xfrm>
                    <a:prstGeom prst="rect">
                      <a:avLst/>
                    </a:prstGeom>
                    <a:noFill/>
                    <a:ln>
                      <a:noFill/>
                    </a:ln>
                  </pic:spPr>
                </pic:pic>
              </a:graphicData>
            </a:graphic>
          </wp:inline>
        </w:drawing>
      </w:r>
      <w:r w:rsidR="00905AFA">
        <w:rPr>
          <w:rFonts w:ascii="Palatino Linotype" w:hAnsi="Palatino Linotype" w:cs="Arial"/>
          <w:noProof/>
          <w:sz w:val="24"/>
          <w:szCs w:val="24"/>
          <w:lang w:eastAsia="es-MX"/>
        </w:rPr>
        <w:t xml:space="preserve"> </w:t>
      </w:r>
    </w:p>
    <w:p w14:paraId="35530170" w14:textId="65983DD5" w:rsidR="00930FBA" w:rsidRDefault="003C24B8" w:rsidP="00AE3CCC">
      <w:pPr>
        <w:shd w:val="clear" w:color="auto" w:fill="FFFFFF"/>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4C07AD10" wp14:editId="57381BC3">
            <wp:extent cx="5772150" cy="7096906"/>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7303" cy="7103242"/>
                    </a:xfrm>
                    <a:prstGeom prst="rect">
                      <a:avLst/>
                    </a:prstGeom>
                    <a:noFill/>
                    <a:ln>
                      <a:noFill/>
                    </a:ln>
                  </pic:spPr>
                </pic:pic>
              </a:graphicData>
            </a:graphic>
          </wp:inline>
        </w:drawing>
      </w:r>
      <w:r w:rsidR="00905AFA">
        <w:rPr>
          <w:rFonts w:ascii="Palatino Linotype" w:hAnsi="Palatino Linotype" w:cs="Arial"/>
          <w:noProof/>
          <w:sz w:val="24"/>
          <w:szCs w:val="24"/>
          <w:lang w:eastAsia="es-MX"/>
        </w:rPr>
        <w:t xml:space="preserve"> </w:t>
      </w:r>
    </w:p>
    <w:p w14:paraId="1BDF722E" w14:textId="7DD2B45F" w:rsidR="00905AFA" w:rsidRDefault="00905AFA" w:rsidP="0005728E">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Luego entonces, al no desahogar la justificación de ausencia en términos del numeral 132, fracción III de la Ley de Protección de Datos Personales en Posesión de Sujetos Obligados del Estado de México y Municipios, se dio por concluida la etapa de concilia</w:t>
      </w:r>
      <w:r w:rsidR="002547B6">
        <w:rPr>
          <w:rFonts w:ascii="Palatino Linotype" w:hAnsi="Palatino Linotype" w:cs="Arial"/>
          <w:sz w:val="24"/>
          <w:szCs w:val="24"/>
        </w:rPr>
        <w:t xml:space="preserve">ción mediante acuerdo de fecha treinta y uno de mayo del presente. </w:t>
      </w:r>
    </w:p>
    <w:p w14:paraId="128205F6" w14:textId="77777777" w:rsidR="00905AFA" w:rsidRDefault="00905AFA" w:rsidP="0005728E">
      <w:pPr>
        <w:spacing w:before="240" w:line="360" w:lineRule="auto"/>
        <w:jc w:val="both"/>
        <w:rPr>
          <w:rFonts w:ascii="Palatino Linotype" w:hAnsi="Palatino Linotype" w:cs="Arial"/>
          <w:sz w:val="24"/>
          <w:szCs w:val="24"/>
        </w:rPr>
      </w:pPr>
    </w:p>
    <w:p w14:paraId="2995D397" w14:textId="5D868F11" w:rsidR="00905AFA" w:rsidRDefault="00905AFA" w:rsidP="00905AFA">
      <w:pPr>
        <w:pStyle w:val="Prrafodelista"/>
        <w:spacing w:line="360" w:lineRule="auto"/>
        <w:ind w:left="0"/>
        <w:jc w:val="both"/>
        <w:rPr>
          <w:rFonts w:ascii="Palatino Linotype" w:hAnsi="Palatino Linotype" w:cs="Arial"/>
          <w:b/>
          <w:sz w:val="28"/>
        </w:rPr>
      </w:pPr>
      <w:r>
        <w:rPr>
          <w:rFonts w:ascii="Palatino Linotype" w:hAnsi="Palatino Linotype" w:cs="Arial"/>
          <w:b/>
          <w:sz w:val="28"/>
        </w:rPr>
        <w:t>SÉPTIMO</w:t>
      </w:r>
      <w:r w:rsidRPr="0094651B">
        <w:rPr>
          <w:rFonts w:ascii="Palatino Linotype" w:hAnsi="Palatino Linotype" w:cs="Arial"/>
          <w:b/>
          <w:sz w:val="28"/>
        </w:rPr>
        <w:t>. De la etapa de instrucción.</w:t>
      </w:r>
    </w:p>
    <w:p w14:paraId="407B25A7" w14:textId="1B3249A3" w:rsidR="00905AFA" w:rsidRDefault="00905AFA" w:rsidP="00905AFA">
      <w:pPr>
        <w:pStyle w:val="Prrafodelista"/>
        <w:spacing w:line="360" w:lineRule="auto"/>
        <w:ind w:left="0"/>
        <w:jc w:val="both"/>
        <w:rPr>
          <w:rFonts w:ascii="Palatino Linotype" w:hAnsi="Palatino Linotype" w:cs="Arial"/>
          <w:lang w:val="es-ES_tradnl"/>
        </w:rPr>
      </w:pPr>
      <w:r>
        <w:rPr>
          <w:rFonts w:ascii="Palatino Linotype" w:hAnsi="Palatino Linotype" w:cs="Arial"/>
        </w:rPr>
        <w:t xml:space="preserve">Una vez abierta la etapa de manifestaciones y transcurrido el término legal referido, de las constancias que obran en el </w:t>
      </w:r>
      <w:r>
        <w:rPr>
          <w:rFonts w:ascii="Palatino Linotype" w:hAnsi="Palatino Linotype" w:cs="Arial"/>
          <w:b/>
        </w:rPr>
        <w:t xml:space="preserve">SARCOEM, </w:t>
      </w:r>
      <w:r w:rsidRPr="0094651B">
        <w:rPr>
          <w:rFonts w:ascii="Palatino Linotype" w:hAnsi="Palatino Linotype" w:cs="Arial"/>
        </w:rPr>
        <w:t>se advierte que el</w:t>
      </w:r>
      <w:r w:rsidRPr="0094651B">
        <w:rPr>
          <w:rFonts w:ascii="Palatino Linotype" w:hAnsi="Palatino Linotype" w:cs="Arial"/>
          <w:b/>
        </w:rPr>
        <w:t xml:space="preserve"> Sujeto Obligado</w:t>
      </w:r>
      <w:r w:rsidRPr="0094651B">
        <w:rPr>
          <w:rFonts w:ascii="Palatino Linotype" w:hAnsi="Palatino Linotype" w:cs="Arial"/>
        </w:rPr>
        <w:t>, en fecha</w:t>
      </w:r>
      <w:r>
        <w:rPr>
          <w:rFonts w:ascii="Palatino Linotype" w:hAnsi="Palatino Linotype" w:cs="Arial"/>
        </w:rPr>
        <w:t xml:space="preserve"> </w:t>
      </w:r>
      <w:r w:rsidR="00D97C53">
        <w:rPr>
          <w:rFonts w:ascii="Palatino Linotype" w:hAnsi="Palatino Linotype" w:cs="Arial"/>
        </w:rPr>
        <w:t xml:space="preserve">uno de junio de dos mil veintiuno, presentó su informe justificado a través del archivo electrónico denominado </w:t>
      </w:r>
      <w:r w:rsidR="00D97C53">
        <w:rPr>
          <w:rFonts w:ascii="Palatino Linotype" w:hAnsi="Palatino Linotype" w:cs="Arial"/>
          <w:b/>
        </w:rPr>
        <w:t xml:space="preserve">“2350_2021_IJ_ZMS.pdf”, </w:t>
      </w:r>
      <w:r w:rsidR="00D97C53" w:rsidRPr="0094651B">
        <w:rPr>
          <w:rFonts w:ascii="Palatino Linotype" w:hAnsi="Palatino Linotype" w:cs="Arial"/>
        </w:rPr>
        <w:t xml:space="preserve">por lo que con atención al artículo 185, fracción III, de la Ley de Transparencia local, </w:t>
      </w:r>
      <w:r w:rsidR="00D97C53" w:rsidRPr="0094651B">
        <w:rPr>
          <w:rFonts w:ascii="Palatino Linotype" w:hAnsi="Palatino Linotype"/>
          <w:lang w:eastAsia="es-ES_tradnl"/>
        </w:rPr>
        <w:t>de aplicación supletoria</w:t>
      </w:r>
      <w:r w:rsidR="00D97C53" w:rsidRPr="0094651B">
        <w:rPr>
          <w:rFonts w:ascii="Palatino Linotype" w:hAnsi="Palatino Linotype" w:cs="Arial"/>
        </w:rPr>
        <w:t xml:space="preserve"> a la ya citada Ley de Protección de Datos Personales en Posesión de Sujetos Obligados por disposición de su artículo 11</w:t>
      </w:r>
      <w:r w:rsidR="00D97C53" w:rsidRPr="0094651B">
        <w:rPr>
          <w:rFonts w:ascii="Palatino Linotype" w:hAnsi="Palatino Linotype" w:cs="Arial"/>
          <w:lang w:val="es-ES_tradnl"/>
        </w:rPr>
        <w:t>;</w:t>
      </w:r>
      <w:r w:rsidR="00D97C53">
        <w:rPr>
          <w:rFonts w:ascii="Palatino Linotype" w:hAnsi="Palatino Linotype" w:cs="Arial"/>
          <w:lang w:val="es-ES_tradnl"/>
        </w:rPr>
        <w:t xml:space="preserve"> se puso a la vista del </w:t>
      </w:r>
      <w:r w:rsidR="00D97C53">
        <w:rPr>
          <w:rFonts w:ascii="Palatino Linotype" w:hAnsi="Palatino Linotype" w:cs="Arial"/>
          <w:b/>
          <w:lang w:val="es-ES_tradnl"/>
        </w:rPr>
        <w:t xml:space="preserve">Recurrente </w:t>
      </w:r>
      <w:r w:rsidR="00D97C53">
        <w:rPr>
          <w:rFonts w:ascii="Palatino Linotype" w:hAnsi="Palatino Linotype" w:cs="Arial"/>
          <w:lang w:val="es-ES_tradnl"/>
        </w:rPr>
        <w:t xml:space="preserve">el día dos de junio del presente, </w:t>
      </w:r>
      <w:r w:rsidRPr="0094651B">
        <w:rPr>
          <w:rFonts w:ascii="Palatino Linotype" w:hAnsi="Palatino Linotype" w:cs="Arial"/>
        </w:rPr>
        <w:t>para que dentro del p</w:t>
      </w:r>
      <w:r>
        <w:rPr>
          <w:rFonts w:ascii="Palatino Linotype" w:hAnsi="Palatino Linotype" w:cs="Arial"/>
        </w:rPr>
        <w:t>l</w:t>
      </w:r>
      <w:r w:rsidRPr="0094651B">
        <w:rPr>
          <w:rFonts w:ascii="Palatino Linotype" w:hAnsi="Palatino Linotype" w:cs="Arial"/>
        </w:rPr>
        <w:t xml:space="preserve">azo de tres días manifestara lo que a su derecho convenga; asimismo, </w:t>
      </w:r>
      <w:r w:rsidRPr="0094651B">
        <w:rPr>
          <w:rFonts w:ascii="Palatino Linotype" w:hAnsi="Palatino Linotype" w:cs="Arial"/>
          <w:lang w:val="es-ES_tradnl"/>
        </w:rPr>
        <w:t xml:space="preserve">se advierte que </w:t>
      </w:r>
      <w:r w:rsidR="00D97C53">
        <w:rPr>
          <w:rFonts w:ascii="Palatino Linotype" w:hAnsi="Palatino Linotype" w:cs="Arial"/>
          <w:b/>
          <w:lang w:val="es-ES_tradnl"/>
        </w:rPr>
        <w:t>El</w:t>
      </w:r>
      <w:r w:rsidRPr="0094651B">
        <w:rPr>
          <w:rFonts w:ascii="Palatino Linotype" w:hAnsi="Palatino Linotype" w:cs="Arial"/>
          <w:b/>
          <w:lang w:val="es-ES_tradnl"/>
        </w:rPr>
        <w:t xml:space="preserve"> Recurrente</w:t>
      </w:r>
      <w:r w:rsidRPr="0094651B">
        <w:rPr>
          <w:rFonts w:ascii="Palatino Linotype" w:hAnsi="Palatino Linotype" w:cs="Arial"/>
          <w:lang w:val="es-ES_tradnl"/>
        </w:rPr>
        <w:t xml:space="preserve"> no formuló manifestación alguna, ni alegatos; ni exhibió, en ese momento, prueba alguna</w:t>
      </w:r>
      <w:r>
        <w:rPr>
          <w:rFonts w:ascii="Palatino Linotype" w:hAnsi="Palatino Linotype" w:cs="Arial"/>
          <w:lang w:val="es-ES_tradnl"/>
        </w:rPr>
        <w:t>.</w:t>
      </w:r>
    </w:p>
    <w:p w14:paraId="4F604CA3" w14:textId="77777777" w:rsidR="00905AFA" w:rsidRDefault="00905AFA" w:rsidP="00905AFA">
      <w:pPr>
        <w:spacing w:line="360" w:lineRule="auto"/>
        <w:jc w:val="both"/>
        <w:rPr>
          <w:rFonts w:ascii="Palatino Linotype" w:hAnsi="Palatino Linotype" w:cs="Arial"/>
        </w:rPr>
      </w:pPr>
    </w:p>
    <w:p w14:paraId="3C68E24E" w14:textId="46A37541" w:rsidR="00905AFA" w:rsidRDefault="00905AFA" w:rsidP="00905AFA">
      <w:pPr>
        <w:pStyle w:val="Sinespaciado"/>
        <w:spacing w:line="360" w:lineRule="auto"/>
        <w:jc w:val="both"/>
        <w:rPr>
          <w:rFonts w:ascii="Palatino Linotype" w:hAnsi="Palatino Linotype"/>
        </w:rPr>
      </w:pPr>
      <w:r w:rsidRPr="0094651B">
        <w:rPr>
          <w:rFonts w:ascii="Palatino Linotype" w:hAnsi="Palatino Linotype"/>
        </w:rPr>
        <w:t xml:space="preserve">Por lo anterior, en </w:t>
      </w:r>
      <w:r w:rsidRPr="00C57CA6">
        <w:rPr>
          <w:rFonts w:ascii="Palatino Linotype" w:hAnsi="Palatino Linotype"/>
        </w:rPr>
        <w:t xml:space="preserve">fecha </w:t>
      </w:r>
      <w:r w:rsidR="00D97C53">
        <w:rPr>
          <w:rFonts w:ascii="Palatino Linotype" w:hAnsi="Palatino Linotype"/>
        </w:rPr>
        <w:t>once de junio de dos mil veintiuno</w:t>
      </w:r>
      <w:r w:rsidRPr="00C57CA6">
        <w:rPr>
          <w:rFonts w:ascii="Palatino Linotype" w:hAnsi="Palatino Linotype"/>
        </w:rPr>
        <w:t>, mediante</w:t>
      </w:r>
      <w:r w:rsidRPr="0094651B">
        <w:rPr>
          <w:rFonts w:ascii="Palatino Linotype" w:hAnsi="Palatino Linotype"/>
        </w:rPr>
        <w:t xml:space="preserve"> acuerdo de la </w:t>
      </w:r>
      <w:r w:rsidRPr="0094651B">
        <w:rPr>
          <w:rFonts w:ascii="Palatino Linotype" w:hAnsi="Palatino Linotype"/>
          <w:b/>
        </w:rPr>
        <w:t>Comisionada Zulema Martínez Sánchez</w:t>
      </w:r>
      <w:r w:rsidRPr="0094651B">
        <w:rPr>
          <w:rFonts w:ascii="Palatino Linotype" w:hAnsi="Palatino Linotype"/>
        </w:rPr>
        <w:t xml:space="preserve">, una vez transcurrido el plazo otorgado a las partes para que manifestaran lo que a su derecho conviniera, ofrecieran pruebas que estimaran convenientes y rindieran alegatos, se decretó el cierre de instrucción, en </w:t>
      </w:r>
      <w:r w:rsidRPr="0094651B">
        <w:rPr>
          <w:rFonts w:ascii="Palatino Linotype" w:hAnsi="Palatino Linotype"/>
        </w:rPr>
        <w:lastRenderedPageBreak/>
        <w:t>términos del artículo 185, Fracción VI, de la Ley de Transparencia y Acceso a la Información Pública del Estado de México y Municipios.</w:t>
      </w:r>
    </w:p>
    <w:p w14:paraId="286484C8" w14:textId="77777777" w:rsidR="00D52C9E" w:rsidRDefault="00D52C9E" w:rsidP="00D52C9E">
      <w:pPr>
        <w:spacing w:before="240" w:line="360" w:lineRule="auto"/>
        <w:jc w:val="both"/>
        <w:rPr>
          <w:rFonts w:ascii="Palatino Linotype" w:hAnsi="Palatino Linotype" w:cs="Arial"/>
          <w:b/>
          <w:sz w:val="28"/>
        </w:rPr>
      </w:pPr>
    </w:p>
    <w:p w14:paraId="4BBECC97" w14:textId="06D15989" w:rsidR="00D52C9E" w:rsidRDefault="00D52C9E" w:rsidP="00D52C9E">
      <w:pPr>
        <w:spacing w:before="240" w:line="360" w:lineRule="auto"/>
        <w:jc w:val="both"/>
        <w:rPr>
          <w:rFonts w:ascii="Palatino Linotype" w:hAnsi="Palatino Linotype" w:cs="Arial"/>
          <w:b/>
          <w:sz w:val="28"/>
          <w:szCs w:val="28"/>
        </w:rPr>
      </w:pPr>
      <w:r>
        <w:rPr>
          <w:rFonts w:ascii="Palatino Linotype" w:hAnsi="Palatino Linotype" w:cs="Arial"/>
          <w:b/>
          <w:sz w:val="28"/>
        </w:rPr>
        <w:t>OCTAVO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 xml:space="preserve">Del </w:t>
      </w:r>
      <w:r>
        <w:rPr>
          <w:rFonts w:ascii="Palatino Linotype" w:hAnsi="Palatino Linotype" w:cs="Arial"/>
          <w:b/>
          <w:sz w:val="28"/>
          <w:szCs w:val="28"/>
        </w:rPr>
        <w:t xml:space="preserve">desistimiento </w:t>
      </w:r>
      <w:r w:rsidRPr="00523CF0">
        <w:rPr>
          <w:rFonts w:ascii="Palatino Linotype" w:hAnsi="Palatino Linotype" w:cs="Arial"/>
          <w:b/>
          <w:sz w:val="28"/>
          <w:szCs w:val="28"/>
        </w:rPr>
        <w:t>del recurso de revisión.</w:t>
      </w:r>
    </w:p>
    <w:p w14:paraId="3346C659" w14:textId="2C34F72A" w:rsidR="00D52C9E" w:rsidRDefault="00D52C9E" w:rsidP="00D52C9E">
      <w:pPr>
        <w:spacing w:before="240" w:after="240" w:line="360" w:lineRule="auto"/>
        <w:jc w:val="both"/>
        <w:rPr>
          <w:rFonts w:ascii="Palatino Linotype" w:hAnsi="Palatino Linotype"/>
          <w:sz w:val="24"/>
          <w:szCs w:val="24"/>
        </w:rPr>
      </w:pPr>
      <w:r>
        <w:rPr>
          <w:rFonts w:ascii="Palatino Linotype" w:hAnsi="Palatino Linotype"/>
          <w:sz w:val="24"/>
          <w:szCs w:val="24"/>
        </w:rPr>
        <w:t xml:space="preserve">El día once de junio </w:t>
      </w:r>
      <w:r w:rsidR="00986697">
        <w:rPr>
          <w:rFonts w:ascii="Palatino Linotype" w:hAnsi="Palatino Linotype"/>
          <w:sz w:val="24"/>
          <w:szCs w:val="24"/>
        </w:rPr>
        <w:t xml:space="preserve">de dos mil veintiuno, en el detalle de seguimiento de la solicitud, se aprecia que el hoy </w:t>
      </w:r>
      <w:r w:rsidR="00986697">
        <w:rPr>
          <w:rFonts w:ascii="Palatino Linotype" w:hAnsi="Palatino Linotype"/>
          <w:b/>
          <w:sz w:val="24"/>
          <w:szCs w:val="24"/>
        </w:rPr>
        <w:t xml:space="preserve">Recurrente, </w:t>
      </w:r>
      <w:r w:rsidR="00986697">
        <w:rPr>
          <w:rFonts w:ascii="Palatino Linotype" w:hAnsi="Palatino Linotype"/>
          <w:sz w:val="24"/>
          <w:szCs w:val="24"/>
        </w:rPr>
        <w:t xml:space="preserve">se desistió del recurso de revisión que nos ocupa, expresando lo siguiente: </w:t>
      </w:r>
    </w:p>
    <w:p w14:paraId="6CD46BB5" w14:textId="471C6120" w:rsidR="00986697" w:rsidRPr="00986697" w:rsidRDefault="00986697" w:rsidP="00986697">
      <w:pPr>
        <w:pStyle w:val="INFOEM"/>
        <w:rPr>
          <w:b/>
          <w:sz w:val="24"/>
          <w:szCs w:val="24"/>
        </w:rPr>
      </w:pPr>
      <w:r>
        <w:t xml:space="preserve">“El sujeto obligado ha subsanado las irregularidades que fueron el sustento para la presentación del recurso de revisión que nos ocupa.” </w:t>
      </w:r>
      <w:r>
        <w:rPr>
          <w:b/>
        </w:rPr>
        <w:t xml:space="preserve">[Sic] </w:t>
      </w:r>
    </w:p>
    <w:p w14:paraId="430804D5" w14:textId="77777777" w:rsidR="00D97C53" w:rsidRDefault="00D97C53" w:rsidP="00986697">
      <w:pPr>
        <w:spacing w:before="240" w:line="360" w:lineRule="auto"/>
        <w:jc w:val="both"/>
        <w:rPr>
          <w:rFonts w:ascii="Palatino Linotype" w:hAnsi="Palatino Linotype" w:cs="Arial"/>
          <w:sz w:val="24"/>
          <w:szCs w:val="24"/>
        </w:rPr>
      </w:pPr>
    </w:p>
    <w:p w14:paraId="7CE727E9" w14:textId="77777777" w:rsidR="00D65FA9" w:rsidRPr="006F48D9" w:rsidRDefault="00D65FA9" w:rsidP="00986697">
      <w:pPr>
        <w:spacing w:line="360" w:lineRule="auto"/>
        <w:jc w:val="center"/>
        <w:rPr>
          <w:rFonts w:ascii="Palatino Linotype" w:hAnsi="Palatino Linotype" w:cs="Arial"/>
          <w:b/>
          <w:sz w:val="28"/>
        </w:rPr>
      </w:pPr>
      <w:r w:rsidRPr="006F48D9">
        <w:rPr>
          <w:rFonts w:ascii="Palatino Linotype" w:hAnsi="Palatino Linotype" w:cs="Arial"/>
          <w:b/>
          <w:sz w:val="28"/>
        </w:rPr>
        <w:t>C O N S I D E R A N D O</w:t>
      </w:r>
    </w:p>
    <w:p w14:paraId="4AF317B8" w14:textId="77777777" w:rsidR="00D65FA9" w:rsidRPr="006F48D9" w:rsidRDefault="00D65FA9" w:rsidP="00D65FA9">
      <w:pPr>
        <w:spacing w:line="360" w:lineRule="auto"/>
        <w:jc w:val="both"/>
        <w:rPr>
          <w:rFonts w:ascii="Palatino Linotype" w:hAnsi="Palatino Linotype"/>
          <w:b/>
        </w:rPr>
      </w:pPr>
    </w:p>
    <w:p w14:paraId="6AE1D445" w14:textId="77777777" w:rsidR="00D65FA9" w:rsidRPr="006F48D9" w:rsidRDefault="00D65FA9" w:rsidP="00D65FA9">
      <w:pPr>
        <w:spacing w:line="360" w:lineRule="auto"/>
        <w:jc w:val="both"/>
        <w:rPr>
          <w:rFonts w:ascii="Palatino Linotype" w:hAnsi="Palatino Linotype"/>
          <w:sz w:val="28"/>
        </w:rPr>
      </w:pPr>
      <w:r w:rsidRPr="006F48D9">
        <w:rPr>
          <w:rFonts w:ascii="Palatino Linotype" w:hAnsi="Palatino Linotype"/>
          <w:b/>
          <w:sz w:val="28"/>
        </w:rPr>
        <w:t>PRIMERO.</w:t>
      </w:r>
      <w:r w:rsidRPr="006F48D9">
        <w:rPr>
          <w:rFonts w:ascii="Palatino Linotype" w:hAnsi="Palatino Linotype"/>
          <w:sz w:val="28"/>
        </w:rPr>
        <w:t xml:space="preserve"> </w:t>
      </w:r>
      <w:r w:rsidRPr="006F48D9">
        <w:rPr>
          <w:rFonts w:ascii="Palatino Linotype" w:hAnsi="Palatino Linotype"/>
          <w:b/>
          <w:sz w:val="28"/>
          <w:szCs w:val="26"/>
        </w:rPr>
        <w:t xml:space="preserve">De la </w:t>
      </w:r>
      <w:r w:rsidRPr="006F48D9">
        <w:rPr>
          <w:rFonts w:ascii="Palatino Linotype" w:hAnsi="Palatino Linotype"/>
          <w:b/>
          <w:sz w:val="28"/>
        </w:rPr>
        <w:t>Competencia</w:t>
      </w:r>
      <w:r w:rsidRPr="006F48D9">
        <w:rPr>
          <w:rFonts w:ascii="Palatino Linotype" w:hAnsi="Palatino Linotype"/>
          <w:sz w:val="28"/>
        </w:rPr>
        <w:t xml:space="preserve">. </w:t>
      </w:r>
    </w:p>
    <w:p w14:paraId="74994084" w14:textId="77777777" w:rsidR="00D65FA9" w:rsidRPr="0005728E" w:rsidRDefault="00D65FA9" w:rsidP="00D65FA9">
      <w:pPr>
        <w:spacing w:line="360" w:lineRule="auto"/>
        <w:jc w:val="both"/>
        <w:rPr>
          <w:rFonts w:ascii="Palatino Linotype" w:hAnsi="Palatino Linotype" w:cs="Arial"/>
          <w:sz w:val="24"/>
          <w:szCs w:val="24"/>
        </w:rPr>
      </w:pPr>
      <w:r w:rsidRPr="0005728E">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de conformidad con los artículos 6, apartado A, fracciones II, III y  IV y 16, primer párrafo de la Constitución Política de los Estados Unidos Mexicanos; 5, párrafos vigésimo segundo, vigésimo tercero y vigésimo cuarto, fracciones IV y V, de la Constitución Política del Estado Libre y Soberano de México; </w:t>
      </w:r>
      <w:r w:rsidRPr="0005728E">
        <w:rPr>
          <w:rFonts w:ascii="Palatino Linotype" w:hAnsi="Palatino Linotype"/>
          <w:sz w:val="24"/>
          <w:szCs w:val="24"/>
        </w:rPr>
        <w:lastRenderedPageBreak/>
        <w:t xml:space="preserve">concatenado con los artículos 1, 81, 82 fracciones I y III, 119, 127, 128 y 129, de la Ley de Protección de Datos Personales en Posesión de Sujetos Obligados del Estado de México y Municipios; 1, 2, fracción II, 13, 29, </w:t>
      </w:r>
      <w:r w:rsidRPr="0005728E">
        <w:rPr>
          <w:rFonts w:ascii="Palatino Linotype" w:hAnsi="Palatino Linotype" w:cs="Arial"/>
          <w:sz w:val="24"/>
          <w:szCs w:val="24"/>
        </w:rPr>
        <w:t>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14:paraId="43EE3BE6" w14:textId="77777777" w:rsidR="00D65FA9" w:rsidRPr="0005728E" w:rsidRDefault="00D65FA9" w:rsidP="00D65FA9">
      <w:pPr>
        <w:spacing w:line="360" w:lineRule="auto"/>
        <w:jc w:val="both"/>
        <w:rPr>
          <w:rFonts w:ascii="Palatino Linotype" w:hAnsi="Palatino Linotype" w:cs="Arial"/>
          <w:sz w:val="24"/>
          <w:szCs w:val="24"/>
        </w:rPr>
      </w:pPr>
      <w:r w:rsidRPr="0005728E">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57CC737" w14:textId="77777777" w:rsidR="00D65FA9" w:rsidRPr="00763A84" w:rsidRDefault="00D65FA9" w:rsidP="00D65FA9">
      <w:pPr>
        <w:spacing w:line="360" w:lineRule="auto"/>
        <w:jc w:val="both"/>
        <w:rPr>
          <w:rFonts w:ascii="Palatino Linotype" w:hAnsi="Palatino Linotype" w:cs="Arial"/>
        </w:rPr>
      </w:pPr>
    </w:p>
    <w:p w14:paraId="3EF34898" w14:textId="77777777" w:rsidR="00D65FA9" w:rsidRPr="006F48D9" w:rsidRDefault="00D65FA9" w:rsidP="00D65FA9">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6F48D9">
        <w:rPr>
          <w:rFonts w:ascii="Palatino Linotype" w:hAnsi="Palatino Linotype"/>
          <w:b/>
          <w:sz w:val="28"/>
          <w:szCs w:val="28"/>
        </w:rPr>
        <w:t>SEGUNDO</w:t>
      </w:r>
      <w:r w:rsidRPr="006F48D9">
        <w:rPr>
          <w:rFonts w:ascii="Palatino Linotype" w:hAnsi="Palatino Linotype" w:cs="Arial"/>
          <w:b/>
          <w:sz w:val="28"/>
          <w:szCs w:val="28"/>
        </w:rPr>
        <w:t>. Sobre los alcances del recurso de revisión.</w:t>
      </w:r>
    </w:p>
    <w:p w14:paraId="1634D13A" w14:textId="77777777" w:rsidR="00D65FA9" w:rsidRPr="006F48D9" w:rsidRDefault="00D65FA9" w:rsidP="00D65FA9">
      <w:pPr>
        <w:pStyle w:val="Prrafodelista"/>
        <w:widowControl w:val="0"/>
        <w:autoSpaceDE w:val="0"/>
        <w:autoSpaceDN w:val="0"/>
        <w:adjustRightInd w:val="0"/>
        <w:spacing w:line="360" w:lineRule="auto"/>
        <w:ind w:left="0"/>
        <w:jc w:val="both"/>
        <w:rPr>
          <w:rFonts w:ascii="Palatino Linotype" w:hAnsi="Palatino Linotype" w:cs="Arial"/>
        </w:rPr>
      </w:pPr>
      <w:r w:rsidRPr="006F48D9">
        <w:rPr>
          <w:rFonts w:ascii="Palatino Linotype" w:hAnsi="Palatino Linotype" w:cs="Arial"/>
        </w:rPr>
        <w:t xml:space="preserve">El </w:t>
      </w:r>
      <w:r w:rsidRPr="006F48D9">
        <w:rPr>
          <w:rFonts w:ascii="Palatino Linotype" w:hAnsi="Palatino Linotype"/>
        </w:rPr>
        <w:t>recurso</w:t>
      </w:r>
      <w:r w:rsidRPr="006F48D9">
        <w:rPr>
          <w:rFonts w:ascii="Palatino Linotype" w:hAnsi="Palatino Linotype" w:cs="Arial"/>
        </w:rPr>
        <w:t xml:space="preserve"> de revisión fue interpuesto dentro del plazo de quince días hábiles, contados a partir del día hábil siguiente a la fecha de notificación de la respuesta, tal y como lo prevé el artículo 128, de la Ley de Protección de Datos Personales en Posesión de </w:t>
      </w:r>
      <w:r w:rsidRPr="006F48D9">
        <w:rPr>
          <w:rFonts w:ascii="Palatino Linotype" w:hAnsi="Palatino Linotype" w:cs="Arial"/>
        </w:rPr>
        <w:lastRenderedPageBreak/>
        <w:t>Sujetos Obligados del Estado de México y Municipios, que establece:</w:t>
      </w:r>
    </w:p>
    <w:p w14:paraId="7EE292BB" w14:textId="77777777" w:rsidR="00D65FA9" w:rsidRPr="006F48D9" w:rsidRDefault="00D65FA9" w:rsidP="000C5BDA">
      <w:pPr>
        <w:pStyle w:val="INFOEM"/>
      </w:pPr>
      <w:r w:rsidRPr="006F48D9">
        <w:t>“</w:t>
      </w:r>
      <w:r w:rsidRPr="006F48D9">
        <w:rPr>
          <w:b/>
        </w:rPr>
        <w:t xml:space="preserve">Artículo 128. </w:t>
      </w:r>
      <w:r w:rsidRPr="006F48D9">
        <w:rPr>
          <w:u w:val="single"/>
        </w:rPr>
        <w:t>El titular, por sí mismo o a través de su representante, podrán interponer un recurso de revisión ante el Instituto</w:t>
      </w:r>
      <w:r w:rsidRPr="006F48D9">
        <w:t xml:space="preserve"> o la Unidad de Transparencia del responsable que haya conocido de la solicitud para el ejercicio de los derechos ARCO, </w:t>
      </w:r>
      <w:r w:rsidRPr="006F48D9">
        <w:rPr>
          <w:b/>
          <w:u w:val="single"/>
        </w:rPr>
        <w:t>dentro de un plazo que no podrá exceder de quince días contados a partir del siguiente a la fecha de la notificación de la respuesta</w:t>
      </w:r>
      <w:r w:rsidRPr="006F48D9">
        <w:t xml:space="preserve">. </w:t>
      </w:r>
    </w:p>
    <w:p w14:paraId="622D472A" w14:textId="4F9668E0" w:rsidR="00D65FA9" w:rsidRPr="000C5BDA" w:rsidRDefault="00D65FA9" w:rsidP="000C5BDA">
      <w:pPr>
        <w:pStyle w:val="INFOEM"/>
        <w:rPr>
          <w:b/>
        </w:rPr>
      </w:pPr>
      <w:r w:rsidRPr="006F48D9">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r w:rsidR="000C5BDA">
        <w:t xml:space="preserve"> </w:t>
      </w:r>
      <w:r w:rsidR="000C5BDA">
        <w:rPr>
          <w:b/>
        </w:rPr>
        <w:t>[Sic]</w:t>
      </w:r>
    </w:p>
    <w:p w14:paraId="4968A7FB" w14:textId="77777777" w:rsidR="00D65FA9" w:rsidRPr="006F48D9" w:rsidRDefault="00D65FA9" w:rsidP="00D65FA9">
      <w:pPr>
        <w:widowControl w:val="0"/>
        <w:autoSpaceDE w:val="0"/>
        <w:autoSpaceDN w:val="0"/>
        <w:adjustRightInd w:val="0"/>
        <w:spacing w:line="360" w:lineRule="auto"/>
        <w:jc w:val="both"/>
        <w:rPr>
          <w:rFonts w:ascii="Palatino Linotype" w:hAnsi="Palatino Linotype" w:cs="Arial"/>
        </w:rPr>
      </w:pPr>
    </w:p>
    <w:p w14:paraId="4F011B94" w14:textId="51D61A2D" w:rsidR="00D65FA9" w:rsidRPr="0005728E" w:rsidRDefault="00D65FA9" w:rsidP="0005728E">
      <w:pPr>
        <w:widowControl w:val="0"/>
        <w:autoSpaceDE w:val="0"/>
        <w:autoSpaceDN w:val="0"/>
        <w:adjustRightInd w:val="0"/>
        <w:spacing w:line="360" w:lineRule="auto"/>
        <w:jc w:val="both"/>
        <w:rPr>
          <w:rFonts w:ascii="Palatino Linotype" w:hAnsi="Palatino Linotype" w:cs="Arial"/>
          <w:sz w:val="24"/>
          <w:szCs w:val="24"/>
        </w:rPr>
      </w:pPr>
      <w:r w:rsidRPr="0005728E">
        <w:rPr>
          <w:rFonts w:ascii="Palatino Linotype" w:hAnsi="Palatino Linotype" w:cs="Arial"/>
          <w:sz w:val="24"/>
          <w:szCs w:val="24"/>
        </w:rPr>
        <w:t xml:space="preserve">En esa tesitura, atendiendo a que </w:t>
      </w:r>
      <w:r w:rsidRPr="0005728E">
        <w:rPr>
          <w:rFonts w:ascii="Palatino Linotype" w:hAnsi="Palatino Linotype" w:cs="Arial"/>
          <w:b/>
          <w:sz w:val="24"/>
          <w:szCs w:val="24"/>
        </w:rPr>
        <w:t>El Sujeto Obligado</w:t>
      </w:r>
      <w:r w:rsidRPr="0005728E">
        <w:rPr>
          <w:rFonts w:ascii="Palatino Linotype" w:hAnsi="Palatino Linotype" w:cs="Arial"/>
          <w:sz w:val="24"/>
          <w:szCs w:val="24"/>
        </w:rPr>
        <w:t xml:space="preserve"> notificó la respuesta a la </w:t>
      </w:r>
      <w:r w:rsidRPr="0005728E">
        <w:rPr>
          <w:rFonts w:ascii="Palatino Linotype" w:hAnsi="Palatino Linotype"/>
          <w:sz w:val="24"/>
          <w:szCs w:val="24"/>
        </w:rPr>
        <w:t>solicitud de acceso a datos personales</w:t>
      </w:r>
      <w:r w:rsidRPr="0005728E">
        <w:rPr>
          <w:rFonts w:ascii="Palatino Linotype" w:hAnsi="Palatino Linotype" w:cs="Arial"/>
          <w:sz w:val="24"/>
          <w:szCs w:val="24"/>
        </w:rPr>
        <w:t xml:space="preserve"> el día</w:t>
      </w:r>
      <w:r w:rsidRPr="0005728E">
        <w:rPr>
          <w:rFonts w:ascii="Palatino Linotype" w:hAnsi="Palatino Linotype" w:cs="Arial"/>
          <w:b/>
          <w:sz w:val="24"/>
          <w:szCs w:val="24"/>
        </w:rPr>
        <w:t xml:space="preserve"> </w:t>
      </w:r>
      <w:r w:rsidR="000C5BDA" w:rsidRPr="0005728E">
        <w:rPr>
          <w:rFonts w:ascii="Palatino Linotype" w:hAnsi="Palatino Linotype" w:cs="Arial"/>
          <w:b/>
          <w:sz w:val="24"/>
          <w:szCs w:val="24"/>
        </w:rPr>
        <w:t>quince de abril</w:t>
      </w:r>
      <w:r w:rsidRPr="0005728E">
        <w:rPr>
          <w:rFonts w:ascii="Palatino Linotype" w:hAnsi="Palatino Linotype" w:cs="Arial"/>
          <w:b/>
          <w:sz w:val="24"/>
          <w:szCs w:val="24"/>
        </w:rPr>
        <w:t xml:space="preserve"> de dos mil veintiuno</w:t>
      </w:r>
      <w:r w:rsidRPr="0005728E">
        <w:rPr>
          <w:rFonts w:ascii="Palatino Linotype" w:hAnsi="Palatino Linotype" w:cs="Arial"/>
          <w:sz w:val="24"/>
          <w:szCs w:val="24"/>
        </w:rPr>
        <w:t xml:space="preserve">, el plazo de quince días hábiles previsto en el artículo 128, de la Ley de Protección de Datos Personales en Posesión de Sujetos Obligados del Estado de México y Municipios; en ese tenor, si el recurso de revisión que nos ocupa, se interpuso </w:t>
      </w:r>
      <w:r w:rsidR="000C5BDA" w:rsidRPr="0005728E">
        <w:rPr>
          <w:rFonts w:ascii="Palatino Linotype" w:hAnsi="Palatino Linotype" w:cs="Arial"/>
          <w:sz w:val="24"/>
          <w:szCs w:val="24"/>
        </w:rPr>
        <w:t>seis</w:t>
      </w:r>
      <w:r w:rsidRPr="0005728E">
        <w:rPr>
          <w:rFonts w:ascii="Palatino Linotype" w:hAnsi="Palatino Linotype" w:cs="Arial"/>
          <w:sz w:val="24"/>
          <w:szCs w:val="24"/>
        </w:rPr>
        <w:t xml:space="preserve"> días después</w:t>
      </w:r>
      <w:r w:rsidRPr="0005728E">
        <w:rPr>
          <w:rFonts w:ascii="Palatino Linotype" w:hAnsi="Palatino Linotype" w:cs="Arial"/>
          <w:b/>
          <w:sz w:val="24"/>
          <w:szCs w:val="24"/>
        </w:rPr>
        <w:t xml:space="preserve"> </w:t>
      </w:r>
      <w:r w:rsidRPr="0005728E">
        <w:rPr>
          <w:rFonts w:ascii="Palatino Linotype" w:hAnsi="Palatino Linotype" w:cs="Arial"/>
          <w:sz w:val="24"/>
          <w:szCs w:val="24"/>
        </w:rPr>
        <w:t>de la respuesta emitida por parte del</w:t>
      </w:r>
      <w:r w:rsidRPr="0005728E">
        <w:rPr>
          <w:rFonts w:ascii="Palatino Linotype" w:hAnsi="Palatino Linotype" w:cs="Arial"/>
          <w:b/>
          <w:sz w:val="24"/>
          <w:szCs w:val="24"/>
        </w:rPr>
        <w:t xml:space="preserve"> Sujeto Obligado</w:t>
      </w:r>
      <w:r w:rsidRPr="0005728E">
        <w:rPr>
          <w:rFonts w:ascii="Palatino Linotype" w:hAnsi="Palatino Linotype" w:cs="Arial"/>
          <w:sz w:val="24"/>
          <w:szCs w:val="24"/>
        </w:rPr>
        <w:t>, éste se encuentra dentro de los márgenes temporales previstos en el artículo antes mencionado.</w:t>
      </w:r>
    </w:p>
    <w:p w14:paraId="25AE4668" w14:textId="77777777" w:rsidR="00D97C53" w:rsidRDefault="00D97C53" w:rsidP="0005728E">
      <w:pPr>
        <w:spacing w:before="240" w:line="360" w:lineRule="auto"/>
        <w:jc w:val="both"/>
        <w:rPr>
          <w:rFonts w:ascii="Palatino Linotype" w:hAnsi="Palatino Linotype" w:cs="Arial"/>
          <w:sz w:val="24"/>
          <w:szCs w:val="24"/>
        </w:rPr>
      </w:pPr>
    </w:p>
    <w:p w14:paraId="2EAC05BC" w14:textId="77777777" w:rsidR="00D65FA9" w:rsidRDefault="00D65FA9" w:rsidP="0005728E">
      <w:pPr>
        <w:pStyle w:val="Prrafodelista"/>
        <w:widowControl w:val="0"/>
        <w:autoSpaceDE w:val="0"/>
        <w:autoSpaceDN w:val="0"/>
        <w:adjustRightInd w:val="0"/>
        <w:spacing w:line="360" w:lineRule="auto"/>
        <w:ind w:left="0"/>
        <w:jc w:val="both"/>
        <w:rPr>
          <w:rFonts w:ascii="Palatino Linotype" w:hAnsi="Palatino Linotype"/>
          <w:b/>
          <w:sz w:val="28"/>
          <w:szCs w:val="28"/>
        </w:rPr>
      </w:pPr>
      <w:r>
        <w:rPr>
          <w:rFonts w:ascii="Palatino Linotype" w:hAnsi="Palatino Linotype"/>
          <w:b/>
          <w:sz w:val="28"/>
          <w:szCs w:val="28"/>
        </w:rPr>
        <w:t xml:space="preserve">TERCERO. Del estudio de las causales de improcedencia y sobreseimiento. </w:t>
      </w:r>
    </w:p>
    <w:p w14:paraId="6912D2B0" w14:textId="77777777" w:rsidR="00D65FA9" w:rsidRDefault="00D65FA9" w:rsidP="00D65FA9">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En una aproximación inicial, vale la pena mencionar que el ejercicio de los derechos </w:t>
      </w:r>
      <w:r>
        <w:rPr>
          <w:rFonts w:ascii="Palatino Linotype" w:hAnsi="Palatino Linotype" w:cs="Arial"/>
          <w:b/>
        </w:rPr>
        <w:t xml:space="preserve">ARCO </w:t>
      </w:r>
      <w:r>
        <w:rPr>
          <w:rFonts w:ascii="Palatino Linotype" w:hAnsi="Palatino Linotype" w:cs="Arial"/>
        </w:rPr>
        <w:t xml:space="preserve">se encuentra regulado por el artículo 6 apartado A y 16 segundo párrafo de la Constitución de los Estados Unidos Mexicanos, el cual establece que: </w:t>
      </w:r>
    </w:p>
    <w:p w14:paraId="12299C48" w14:textId="77777777" w:rsidR="00D65FA9" w:rsidRDefault="00D65FA9" w:rsidP="00D65FA9">
      <w:pPr>
        <w:pStyle w:val="Prrafodelista"/>
        <w:widowControl w:val="0"/>
        <w:autoSpaceDE w:val="0"/>
        <w:autoSpaceDN w:val="0"/>
        <w:adjustRightInd w:val="0"/>
        <w:spacing w:before="240" w:after="160" w:line="360" w:lineRule="auto"/>
        <w:ind w:left="851" w:right="851"/>
        <w:jc w:val="both"/>
        <w:rPr>
          <w:rFonts w:ascii="Palatino Linotype" w:hAnsi="Palatino Linotype" w:cs="Arial"/>
          <w:b/>
          <w:i/>
          <w:sz w:val="22"/>
          <w:szCs w:val="22"/>
        </w:rPr>
      </w:pPr>
      <w:r w:rsidRPr="00046D33">
        <w:rPr>
          <w:rFonts w:ascii="Palatino Linotype" w:hAnsi="Palatino Linotype" w:cs="Arial"/>
          <w:i/>
          <w:sz w:val="22"/>
          <w:szCs w:val="22"/>
        </w:rPr>
        <w:t>“(…) Toda persona tiene derecho a la protección de sus datos personales</w:t>
      </w:r>
      <w:r w:rsidRPr="00DB67E4">
        <w:rPr>
          <w:rFonts w:ascii="Palatino Linotype" w:hAnsi="Palatino Linotype" w:cs="Arial"/>
          <w:b/>
          <w:i/>
          <w:sz w:val="22"/>
          <w:szCs w:val="22"/>
        </w:rPr>
        <w:t xml:space="preserve">, </w:t>
      </w:r>
      <w:r w:rsidRPr="00CE44DE">
        <w:rPr>
          <w:rFonts w:ascii="Palatino Linotype" w:hAnsi="Palatino Linotype" w:cs="Arial"/>
          <w:b/>
          <w:i/>
          <w:sz w:val="22"/>
          <w:szCs w:val="22"/>
          <w:u w:val="single"/>
        </w:rPr>
        <w:t>al acceso,</w:t>
      </w:r>
      <w:r w:rsidRPr="00046D33">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Pr="00046D33">
        <w:rPr>
          <w:rFonts w:ascii="Palatino Linotype" w:hAnsi="Palatino Linotype" w:cs="Arial"/>
          <w:b/>
          <w:i/>
          <w:sz w:val="22"/>
          <w:szCs w:val="22"/>
        </w:rPr>
        <w:t>[Sic]</w:t>
      </w:r>
    </w:p>
    <w:p w14:paraId="615D30AC" w14:textId="77777777" w:rsidR="00D65FA9" w:rsidRDefault="00D65FA9" w:rsidP="00D65FA9">
      <w:pPr>
        <w:pStyle w:val="Prrafodelista"/>
        <w:widowControl w:val="0"/>
        <w:autoSpaceDE w:val="0"/>
        <w:autoSpaceDN w:val="0"/>
        <w:adjustRightInd w:val="0"/>
        <w:spacing w:before="240" w:after="160" w:line="360" w:lineRule="auto"/>
        <w:ind w:left="0" w:right="51"/>
        <w:jc w:val="both"/>
        <w:rPr>
          <w:rFonts w:ascii="Palatino Linotype" w:hAnsi="Palatino Linotype" w:cs="Arial"/>
        </w:rPr>
      </w:pPr>
      <w:r w:rsidRPr="007E08AB">
        <w:rPr>
          <w:rFonts w:ascii="Palatino Linotype" w:hAnsi="Palatino Linotype" w:cs="Arial"/>
        </w:rPr>
        <w:t xml:space="preserve">En este sentido, </w:t>
      </w:r>
      <w:r>
        <w:rPr>
          <w:rFonts w:ascii="Palatino Linotype" w:hAnsi="Palatino Linotype" w:cs="Arial"/>
        </w:rPr>
        <w:t xml:space="preserve">dichas prerrogativas se encuentran invariablemente ligadas a los principios de licitud, finalidad, lealtad, consentimiento, calidad, proporcionalidad, información y responsabilidad. </w:t>
      </w:r>
    </w:p>
    <w:p w14:paraId="4F21315E" w14:textId="77777777" w:rsidR="00D65FA9" w:rsidRDefault="00D65FA9" w:rsidP="00D65FA9">
      <w:pPr>
        <w:pStyle w:val="Prrafodelista"/>
        <w:widowControl w:val="0"/>
        <w:autoSpaceDE w:val="0"/>
        <w:autoSpaceDN w:val="0"/>
        <w:adjustRightInd w:val="0"/>
        <w:spacing w:before="240" w:after="160" w:line="360" w:lineRule="auto"/>
        <w:ind w:left="0" w:right="51"/>
        <w:jc w:val="both"/>
        <w:rPr>
          <w:rFonts w:ascii="Palatino Linotype" w:hAnsi="Palatino Linotype" w:cs="Arial"/>
        </w:rPr>
      </w:pPr>
      <w:r>
        <w:rPr>
          <w:rFonts w:ascii="Palatino Linotype" w:hAnsi="Palatino Linotype" w:cs="Arial"/>
        </w:rPr>
        <w:t xml:space="preserve">En relación a las causales de improcedencia, el artículo 138 de la Ley de Protección de Datos Personales en Posesión de Sujetos Obligados del Estado de México y Municipios, contempla las siguientes causales: </w:t>
      </w:r>
    </w:p>
    <w:p w14:paraId="476FB8CB" w14:textId="77777777" w:rsidR="00D65FA9" w:rsidRPr="007E08AB" w:rsidRDefault="00D65FA9" w:rsidP="00D65FA9">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“Artículo 138. El recurso de revisión podrá ser desechado por improcedente cuando: </w:t>
      </w:r>
    </w:p>
    <w:p w14:paraId="24110ED4" w14:textId="77777777" w:rsidR="00D65FA9" w:rsidRPr="007E08AB" w:rsidRDefault="00D65FA9" w:rsidP="00D65FA9">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 I. Sea extemporáneo por haber transcurrido el plazo establecido en el artículo 128 de la presente Ley. </w:t>
      </w:r>
    </w:p>
    <w:p w14:paraId="3D728EA4" w14:textId="77777777" w:rsidR="00D65FA9" w:rsidRPr="00113497" w:rsidRDefault="00D65FA9" w:rsidP="00D65FA9">
      <w:pPr>
        <w:widowControl w:val="0"/>
        <w:autoSpaceDE w:val="0"/>
        <w:autoSpaceDN w:val="0"/>
        <w:adjustRightInd w:val="0"/>
        <w:spacing w:before="240" w:line="360" w:lineRule="auto"/>
        <w:ind w:left="851" w:right="851"/>
        <w:jc w:val="both"/>
        <w:rPr>
          <w:rFonts w:ascii="Palatino Linotype" w:hAnsi="Palatino Linotype" w:cs="Arial"/>
          <w:i/>
        </w:rPr>
      </w:pPr>
      <w:r w:rsidRPr="00113497">
        <w:rPr>
          <w:rFonts w:ascii="Palatino Linotype" w:hAnsi="Palatino Linotype" w:cs="Arial"/>
          <w:i/>
        </w:rPr>
        <w:t xml:space="preserve"> II. El titular o su representante no acrediten debidamente su identidad y personalidad de este último. </w:t>
      </w:r>
    </w:p>
    <w:p w14:paraId="6ED7092F" w14:textId="77777777" w:rsidR="00D65FA9" w:rsidRPr="007E08AB" w:rsidRDefault="00D65FA9" w:rsidP="00D65FA9">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 III. El Instituto haya resuelto anteriormente en definitiva sobre la materia del </w:t>
      </w:r>
      <w:r w:rsidRPr="007E08AB">
        <w:rPr>
          <w:rFonts w:ascii="Palatino Linotype" w:hAnsi="Palatino Linotype" w:cs="Arial"/>
          <w:i/>
        </w:rPr>
        <w:lastRenderedPageBreak/>
        <w:t xml:space="preserve">mismo. </w:t>
      </w:r>
    </w:p>
    <w:p w14:paraId="4A884796" w14:textId="77777777" w:rsidR="00D65FA9" w:rsidRPr="007E08AB" w:rsidRDefault="00D65FA9" w:rsidP="00D65FA9">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 IV. No se actualice alguna de las causales del recurso de revisión previstas en el artículo 129 de la presente Ley. </w:t>
      </w:r>
    </w:p>
    <w:p w14:paraId="692F148A" w14:textId="77777777" w:rsidR="00D65FA9" w:rsidRPr="007E08AB" w:rsidRDefault="00D65FA9" w:rsidP="00D65FA9">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 V. Se esté tramitando ante los tribunales competentes algún recurso o medio de defensa interpuesto por el recurrente, o en su caso, por el tercero interesado, en contra del acto recurrido ante el Instituto. </w:t>
      </w:r>
    </w:p>
    <w:p w14:paraId="4E33E42C" w14:textId="77777777" w:rsidR="00D65FA9" w:rsidRPr="007E08AB" w:rsidRDefault="00D65FA9" w:rsidP="00D65FA9">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 VI. El recurrente modifique o amplíe su petición en el recurso de revisión, únicamente respecto de los nuevos contenidos.  </w:t>
      </w:r>
    </w:p>
    <w:p w14:paraId="37C5575C" w14:textId="77777777" w:rsidR="00D65FA9" w:rsidRPr="007E08AB" w:rsidRDefault="00D65FA9" w:rsidP="00D65FA9">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VII. El recurrente no acredite interés jurídico. </w:t>
      </w:r>
    </w:p>
    <w:p w14:paraId="28B52310" w14:textId="77777777" w:rsidR="00D65FA9" w:rsidRDefault="00D65FA9" w:rsidP="00D65FA9">
      <w:pPr>
        <w:widowControl w:val="0"/>
        <w:autoSpaceDE w:val="0"/>
        <w:autoSpaceDN w:val="0"/>
        <w:adjustRightInd w:val="0"/>
        <w:spacing w:before="240" w:line="360" w:lineRule="auto"/>
        <w:ind w:left="851" w:right="851"/>
        <w:jc w:val="both"/>
        <w:rPr>
          <w:rFonts w:ascii="Palatino Linotype" w:hAnsi="Palatino Linotype" w:cs="Arial"/>
          <w:b/>
          <w:i/>
        </w:rPr>
      </w:pPr>
      <w:r w:rsidRPr="007E08AB">
        <w:rPr>
          <w:rFonts w:ascii="Palatino Linotype" w:hAnsi="Palatino Linotype" w:cs="Arial"/>
          <w:i/>
        </w:rPr>
        <w:t xml:space="preserve"> El desechamiento no implica la preclusión del derecho del titular para interponer ante el Instituto un nuevo recurso de revisión.”</w:t>
      </w:r>
      <w:r>
        <w:rPr>
          <w:rFonts w:ascii="Palatino Linotype" w:hAnsi="Palatino Linotype" w:cs="Arial"/>
          <w:b/>
          <w:i/>
        </w:rPr>
        <w:t>[Sic]</w:t>
      </w:r>
    </w:p>
    <w:p w14:paraId="1DB7247D" w14:textId="77777777" w:rsidR="000C5BDA" w:rsidRDefault="000C5BDA" w:rsidP="00D65FA9">
      <w:pPr>
        <w:widowControl w:val="0"/>
        <w:autoSpaceDE w:val="0"/>
        <w:autoSpaceDN w:val="0"/>
        <w:adjustRightInd w:val="0"/>
        <w:spacing w:before="240" w:line="360" w:lineRule="auto"/>
        <w:ind w:right="51"/>
        <w:jc w:val="both"/>
        <w:rPr>
          <w:rFonts w:ascii="Palatino Linotype" w:hAnsi="Palatino Linotype"/>
          <w:lang w:eastAsia="es-MX"/>
        </w:rPr>
      </w:pPr>
    </w:p>
    <w:p w14:paraId="003EC02C" w14:textId="742004D5" w:rsidR="00D65FA9" w:rsidRPr="00750A92" w:rsidRDefault="00D65FA9" w:rsidP="00D65FA9">
      <w:pPr>
        <w:widowControl w:val="0"/>
        <w:autoSpaceDE w:val="0"/>
        <w:autoSpaceDN w:val="0"/>
        <w:adjustRightInd w:val="0"/>
        <w:spacing w:before="240" w:line="360" w:lineRule="auto"/>
        <w:ind w:right="51"/>
        <w:jc w:val="both"/>
        <w:rPr>
          <w:rFonts w:ascii="Palatino Linotype" w:hAnsi="Palatino Linotype"/>
          <w:sz w:val="24"/>
          <w:szCs w:val="24"/>
        </w:rPr>
      </w:pPr>
      <w:r w:rsidRPr="00750A92">
        <w:rPr>
          <w:rFonts w:ascii="Palatino Linotype" w:hAnsi="Palatino Linotype"/>
          <w:sz w:val="24"/>
          <w:szCs w:val="24"/>
          <w:lang w:eastAsia="es-MX"/>
        </w:rPr>
        <w:t xml:space="preserve">Con base en lo establecido en el precepto de referencia, resulta oportuno señalar que a la fecha que se resuelve no se actualiza ninguna  de las causales de improcedencia; ya que, </w:t>
      </w:r>
      <w:r w:rsidR="002C02B5">
        <w:rPr>
          <w:rFonts w:ascii="Palatino Linotype" w:hAnsi="Palatino Linotype"/>
          <w:b/>
          <w:sz w:val="24"/>
          <w:szCs w:val="24"/>
          <w:lang w:eastAsia="es-MX"/>
        </w:rPr>
        <w:t>El</w:t>
      </w:r>
      <w:r w:rsidRPr="00750A92">
        <w:rPr>
          <w:rFonts w:ascii="Palatino Linotype" w:hAnsi="Palatino Linotype"/>
          <w:b/>
          <w:sz w:val="24"/>
          <w:szCs w:val="24"/>
          <w:lang w:eastAsia="es-MX"/>
        </w:rPr>
        <w:t xml:space="preserve"> Recurrente </w:t>
      </w:r>
      <w:r w:rsidRPr="00750A92">
        <w:rPr>
          <w:rFonts w:ascii="Palatino Linotype" w:hAnsi="Palatino Linotype"/>
          <w:sz w:val="24"/>
          <w:szCs w:val="24"/>
          <w:lang w:eastAsia="es-MX"/>
        </w:rPr>
        <w:t xml:space="preserve">presentó su recurso dentro del término de quince días otorgado por la Ley; no se tiene conocimiento de que el Instituto o, en su caso, los Organismos garantes hayan resuelto en definitiva sobre la materia del mismo; </w:t>
      </w:r>
      <w:r w:rsidRPr="00750A92">
        <w:rPr>
          <w:rFonts w:ascii="Palatino Linotype" w:hAnsi="Palatino Linotype"/>
          <w:sz w:val="24"/>
          <w:szCs w:val="24"/>
        </w:rPr>
        <w:t xml:space="preserve">no se tiene conocimiento de que se esté tramitando ante los tribunales competentes algún recurso o medio de defensa interpuesto por </w:t>
      </w:r>
      <w:r w:rsidR="002C02B5">
        <w:rPr>
          <w:rFonts w:ascii="Palatino Linotype" w:hAnsi="Palatino Linotype"/>
          <w:b/>
          <w:sz w:val="24"/>
          <w:szCs w:val="24"/>
        </w:rPr>
        <w:t>El</w:t>
      </w:r>
      <w:r w:rsidRPr="00750A92">
        <w:rPr>
          <w:rFonts w:ascii="Palatino Linotype" w:hAnsi="Palatino Linotype"/>
          <w:b/>
          <w:sz w:val="24"/>
          <w:szCs w:val="24"/>
        </w:rPr>
        <w:t xml:space="preserve"> Recurrente,</w:t>
      </w:r>
      <w:r w:rsidRPr="00750A92">
        <w:rPr>
          <w:rFonts w:ascii="Palatino Linotype" w:hAnsi="Palatino Linotype"/>
          <w:sz w:val="24"/>
          <w:szCs w:val="24"/>
        </w:rPr>
        <w:t xml:space="preserve"> o en su caso, por el tercero interesado, en contra del acto recurrido ante el Instituto o los Organismos garantes, el particular no amplió su solicitud a través de su medio de  impugnación. </w:t>
      </w:r>
    </w:p>
    <w:p w14:paraId="5556D897" w14:textId="2F842C37" w:rsidR="00D65FA9" w:rsidRPr="00750A92" w:rsidRDefault="00D65FA9" w:rsidP="000C5BDA">
      <w:pPr>
        <w:spacing w:before="240" w:line="360" w:lineRule="auto"/>
        <w:jc w:val="both"/>
        <w:rPr>
          <w:rFonts w:ascii="Palatino Linotype" w:hAnsi="Palatino Linotype"/>
          <w:sz w:val="24"/>
          <w:szCs w:val="24"/>
          <w:lang w:eastAsia="es-MX"/>
        </w:rPr>
      </w:pPr>
      <w:r w:rsidRPr="00750A92">
        <w:rPr>
          <w:rFonts w:ascii="Palatino Linotype" w:hAnsi="Palatino Linotype"/>
          <w:sz w:val="24"/>
          <w:szCs w:val="24"/>
          <w:lang w:eastAsia="es-MX"/>
        </w:rPr>
        <w:lastRenderedPageBreak/>
        <w:t xml:space="preserve">Por otra parte, especial mención requiere el contexto para ejercer los derechos </w:t>
      </w:r>
      <w:r w:rsidRPr="00750A92">
        <w:rPr>
          <w:rFonts w:ascii="Palatino Linotype" w:hAnsi="Palatino Linotype"/>
          <w:b/>
          <w:sz w:val="24"/>
          <w:szCs w:val="24"/>
          <w:lang w:eastAsia="es-MX"/>
        </w:rPr>
        <w:t xml:space="preserve">ARCO </w:t>
      </w:r>
      <w:r w:rsidRPr="00750A92">
        <w:rPr>
          <w:rFonts w:ascii="Palatino Linotype" w:hAnsi="Palatino Linotype"/>
          <w:sz w:val="24"/>
          <w:szCs w:val="24"/>
          <w:lang w:eastAsia="es-MX"/>
        </w:rPr>
        <w:t xml:space="preserve">tratándose de </w:t>
      </w:r>
      <w:r w:rsidR="00DF2E3E" w:rsidRPr="00750A92">
        <w:rPr>
          <w:rFonts w:ascii="Palatino Linotype" w:hAnsi="Palatino Linotype"/>
          <w:sz w:val="24"/>
          <w:szCs w:val="24"/>
          <w:lang w:eastAsia="es-MX"/>
        </w:rPr>
        <w:t xml:space="preserve">representantes legales, supuesto normativo estipulado en </w:t>
      </w:r>
      <w:r w:rsidR="00AF19F7" w:rsidRPr="00750A92">
        <w:rPr>
          <w:rFonts w:ascii="Palatino Linotype" w:hAnsi="Palatino Linotype"/>
          <w:sz w:val="24"/>
          <w:szCs w:val="24"/>
          <w:lang w:eastAsia="es-MX"/>
        </w:rPr>
        <w:t xml:space="preserve">los artículos 106 y 121 </w:t>
      </w:r>
      <w:r w:rsidR="00DF2E3E" w:rsidRPr="00750A92">
        <w:rPr>
          <w:rFonts w:ascii="Palatino Linotype" w:hAnsi="Palatino Linotype"/>
          <w:sz w:val="24"/>
          <w:szCs w:val="24"/>
          <w:lang w:eastAsia="es-MX"/>
        </w:rPr>
        <w:t xml:space="preserve">de la </w:t>
      </w:r>
      <w:r w:rsidRPr="00750A92">
        <w:rPr>
          <w:rFonts w:ascii="Palatino Linotype" w:hAnsi="Palatino Linotype"/>
          <w:sz w:val="24"/>
          <w:szCs w:val="24"/>
          <w:lang w:eastAsia="es-MX"/>
        </w:rPr>
        <w:t xml:space="preserve">Ley de Protección de Datos Personales en Posesión de Sujetos Obligados del Estado de México y Municipios, normatividad invocada que a la literalidad dispone: </w:t>
      </w:r>
    </w:p>
    <w:p w14:paraId="7FBFFF6E" w14:textId="77777777" w:rsidR="00D65FA9" w:rsidRDefault="00D65FA9" w:rsidP="00D65FA9">
      <w:pPr>
        <w:widowControl w:val="0"/>
        <w:autoSpaceDE w:val="0"/>
        <w:autoSpaceDN w:val="0"/>
        <w:adjustRightInd w:val="0"/>
        <w:spacing w:before="240" w:line="360" w:lineRule="auto"/>
        <w:ind w:left="851" w:right="851"/>
        <w:jc w:val="both"/>
        <w:rPr>
          <w:rFonts w:ascii="Palatino Linotype" w:hAnsi="Palatino Linotype"/>
          <w:b/>
          <w:i/>
          <w:lang w:eastAsia="es-MX"/>
        </w:rPr>
      </w:pPr>
      <w:r w:rsidRPr="00CE44DE">
        <w:rPr>
          <w:rFonts w:ascii="Palatino Linotype" w:hAnsi="Palatino Linotype"/>
          <w:b/>
          <w:i/>
          <w:lang w:eastAsia="es-MX"/>
        </w:rPr>
        <w:t>“Legitimación para Ejercer los Derechos ARCO</w:t>
      </w:r>
    </w:p>
    <w:p w14:paraId="2147D60C" w14:textId="7845DCAC" w:rsidR="00D65FA9" w:rsidRPr="00DF2E3E" w:rsidRDefault="00DF2E3E" w:rsidP="00DF2E3E">
      <w:pPr>
        <w:pStyle w:val="INFOEM"/>
        <w:rPr>
          <w:lang w:eastAsia="es-MX"/>
        </w:rPr>
      </w:pPr>
      <w:r w:rsidRPr="00DF2E3E">
        <w:t>Artículo 106. La recepción y trámite de las solicitudes para el ejercicio de los derechos ARCO, de portabilidad de los datos y limitación del tratamiento, se sujetará al procedimiento establecido en el presente Título y demás disposiciones que resulten aplicables en la materia.</w:t>
      </w:r>
      <w:r w:rsidRPr="00DF2E3E">
        <w:rPr>
          <w:lang w:eastAsia="es-MX"/>
        </w:rPr>
        <w:t xml:space="preserve"> </w:t>
      </w:r>
    </w:p>
    <w:p w14:paraId="4503F5E3" w14:textId="5FFDDAA6" w:rsidR="00D65FA9" w:rsidRDefault="00D65FA9" w:rsidP="00AF19F7">
      <w:pPr>
        <w:pStyle w:val="INFOEM"/>
        <w:rPr>
          <w:b/>
          <w:u w:val="single"/>
        </w:rPr>
      </w:pPr>
      <w:r w:rsidRPr="00AF19F7">
        <w:rPr>
          <w:b/>
          <w:u w:val="single"/>
          <w:lang w:eastAsia="es-MX"/>
        </w:rPr>
        <w:t xml:space="preserve"> </w:t>
      </w:r>
      <w:r w:rsidR="00AF19F7" w:rsidRPr="00AF19F7">
        <w:rPr>
          <w:b/>
          <w:u w:val="single"/>
        </w:rPr>
        <w:t>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w:t>
      </w:r>
      <w:r w:rsidR="00AF19F7">
        <w:rPr>
          <w:b/>
          <w:u w:val="single"/>
        </w:rPr>
        <w:t>.</w:t>
      </w:r>
    </w:p>
    <w:p w14:paraId="2B2FB34A" w14:textId="17979D79" w:rsidR="00AF19F7" w:rsidRDefault="00AF19F7" w:rsidP="00AF19F7">
      <w:pPr>
        <w:pStyle w:val="INFOEM"/>
      </w:pPr>
      <w:r>
        <w:t>(…)</w:t>
      </w:r>
    </w:p>
    <w:p w14:paraId="18626EFE" w14:textId="77777777" w:rsidR="00AF19F7" w:rsidRDefault="00AF19F7" w:rsidP="00AF19F7">
      <w:pPr>
        <w:pStyle w:val="INFOEM"/>
      </w:pPr>
      <w:r w:rsidRPr="00AF19F7">
        <w:rPr>
          <w:b/>
          <w:u w:val="single"/>
        </w:rPr>
        <w:t>Formas para acreditar personalidad en representación</w:t>
      </w:r>
      <w:r>
        <w:t xml:space="preserve"> </w:t>
      </w:r>
    </w:p>
    <w:p w14:paraId="2E80EDB8" w14:textId="1348C9DD" w:rsidR="00AF19F7" w:rsidRDefault="00AF19F7" w:rsidP="00AF19F7">
      <w:pPr>
        <w:pStyle w:val="INFOEM"/>
      </w:pPr>
      <w:r>
        <w:t>Artículo 121. Cuando el titular actúe a través de un representante, éste deberá acreditar su personalidad en los términos siguientes:</w:t>
      </w:r>
    </w:p>
    <w:p w14:paraId="6FC3C1A3" w14:textId="77777777" w:rsidR="00AF19F7" w:rsidRPr="00AF19F7" w:rsidRDefault="00AF19F7" w:rsidP="00AF19F7">
      <w:pPr>
        <w:pStyle w:val="INFOEM"/>
        <w:rPr>
          <w:b/>
          <w:u w:val="single"/>
        </w:rPr>
      </w:pPr>
      <w:r w:rsidRPr="00AF19F7">
        <w:rPr>
          <w:b/>
          <w:u w:val="single"/>
        </w:rPr>
        <w:lastRenderedPageBreak/>
        <w:t xml:space="preserve">I. Si se trata de una persona física, a través de carta poder simple suscrita ante dos testigos anexando copia de las identificaciones de los suscriptores o instrumento público o declaración en comparecencia personal del titular y del representante ante el Instituto. </w:t>
      </w:r>
    </w:p>
    <w:p w14:paraId="6A74D09D" w14:textId="43E87AE8" w:rsidR="00AF19F7" w:rsidRPr="00AF19F7" w:rsidRDefault="00AF19F7" w:rsidP="00AF19F7">
      <w:pPr>
        <w:pStyle w:val="INFOEM"/>
      </w:pPr>
      <w:r>
        <w:t>II. Si se trata de una persona jurídica colectiva, a través de instrumento público.</w:t>
      </w:r>
    </w:p>
    <w:p w14:paraId="7CA0F732" w14:textId="77777777" w:rsidR="00AF19F7" w:rsidRDefault="00AF19F7"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p>
    <w:p w14:paraId="43FCD8EF" w14:textId="77777777" w:rsidR="00D65FA9" w:rsidRPr="007D69F7" w:rsidRDefault="00D65FA9"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r>
        <w:rPr>
          <w:rFonts w:ascii="Palatino Linotype" w:hAnsi="Palatino Linotype" w:cs="Arial"/>
        </w:rPr>
        <w:t>D</w:t>
      </w:r>
      <w:r w:rsidRPr="007D69F7">
        <w:rPr>
          <w:rFonts w:ascii="Palatino Linotype" w:hAnsi="Palatino Linotype" w:cs="Arial"/>
        </w:rPr>
        <w:t>isposiciones que, en principio, resultan de aplicación estricta para la tramitación del procedimiento que forma parte de las garantías primarias del derecho a la protección de datos personales, como lo es la atención de solicitudes de derechos ARCO, concepto que en términos de lo dispuesto por el artículo 4, fracción XIII de la Ley de Protección de Datos Personales en Posesión de Sujetos Obligados del Estado de México y Municipios es relativo a los derechos de acceso, rectificación, cancelación y oposición al tratamiento de datos personales.</w:t>
      </w:r>
    </w:p>
    <w:p w14:paraId="561B3000" w14:textId="77777777" w:rsidR="00D65FA9" w:rsidRPr="007D69F7" w:rsidRDefault="00D65FA9"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r w:rsidRPr="007D69F7">
        <w:rPr>
          <w:rFonts w:ascii="Palatino Linotype" w:hAnsi="Palatino Linotype" w:cs="Arial"/>
        </w:rPr>
        <w:t xml:space="preserve">Ordenamiento al cual se encuentran sujetos los titulares de las unidades de transparencia de los </w:t>
      </w:r>
      <w:r w:rsidRPr="00CE44DE">
        <w:rPr>
          <w:rFonts w:ascii="Palatino Linotype" w:hAnsi="Palatino Linotype" w:cs="Arial"/>
          <w:b/>
        </w:rPr>
        <w:t>Sujetos Obligados,</w:t>
      </w:r>
      <w:r w:rsidRPr="007D69F7">
        <w:rPr>
          <w:rFonts w:ascii="Palatino Linotype" w:hAnsi="Palatino Linotype" w:cs="Arial"/>
        </w:rPr>
        <w:t xml:space="preserve"> en ejercicio de la atribución prevista por el artículo 90, fracción II de la Ley de Protección de Datos Personales en Posesión de Sujetos Obligados del Estado de México y Municipios, y en cumplimiento del deber de confidencialidad, establecido en el diverso artículo 40 de la Ley en mención, </w:t>
      </w:r>
      <w:r w:rsidRPr="00CE44DE">
        <w:rPr>
          <w:rFonts w:ascii="Palatino Linotype" w:hAnsi="Palatino Linotype" w:cs="Arial"/>
          <w:b/>
          <w:u w:val="single"/>
        </w:rPr>
        <w:t>que implica que la información no se pondrá a disposición, ni se revelará a individuos, entidades o procesos no autorizados, y que en el caso particular requiere de manera inexorable que el acceso de datos concernientes a personas fallecidas se lleve a cabo, únicamente a favor de quien cuente con un interés jurídico</w:t>
      </w:r>
      <w:r w:rsidRPr="00CE44DE">
        <w:rPr>
          <w:rFonts w:ascii="Palatino Linotype" w:hAnsi="Palatino Linotype" w:cs="Arial"/>
          <w:b/>
        </w:rPr>
        <w:t xml:space="preserve">, </w:t>
      </w:r>
      <w:r w:rsidRPr="007D69F7">
        <w:rPr>
          <w:rFonts w:ascii="Palatino Linotype" w:hAnsi="Palatino Linotype" w:cs="Arial"/>
        </w:rPr>
        <w:t xml:space="preserve">para lo cual la Ley </w:t>
      </w:r>
      <w:r w:rsidRPr="007D69F7">
        <w:rPr>
          <w:rFonts w:ascii="Palatino Linotype" w:hAnsi="Palatino Linotype" w:cs="Arial"/>
        </w:rPr>
        <w:lastRenderedPageBreak/>
        <w:t>reconoce expresamente ese interés jurídico sobre quienes el titular de los derechos hubiere expresado fehacientemente su voluntad en tal sentido, incluyendo la cláusula testamentaria o que exista un mandato judicial para dicho efecto.</w:t>
      </w:r>
    </w:p>
    <w:p w14:paraId="7E5BA04D" w14:textId="15E7E5B6" w:rsidR="008822BE" w:rsidRDefault="00D65FA9"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lang w:eastAsia="es-MX"/>
        </w:rPr>
      </w:pPr>
      <w:r w:rsidRPr="007D69F7">
        <w:rPr>
          <w:rFonts w:ascii="Palatino Linotype" w:hAnsi="Palatino Linotype" w:cs="Arial"/>
        </w:rPr>
        <w:t xml:space="preserve">En consecuencia, el ejercicio de derechos ARCO respecto de </w:t>
      </w:r>
      <w:r w:rsidR="0036460D">
        <w:rPr>
          <w:rFonts w:ascii="Palatino Linotype" w:hAnsi="Palatino Linotype" w:cs="Arial"/>
        </w:rPr>
        <w:t xml:space="preserve">representantes legales </w:t>
      </w:r>
      <w:r w:rsidRPr="007D69F7">
        <w:rPr>
          <w:rFonts w:ascii="Palatino Linotype" w:hAnsi="Palatino Linotype" w:cs="Arial"/>
        </w:rPr>
        <w:t xml:space="preserve"> únicamente podrá llevarse a cabo por quienes cuenten con interés jurídico, por lo cual </w:t>
      </w:r>
      <w:r w:rsidRPr="007D69F7">
        <w:rPr>
          <w:rFonts w:ascii="Palatino Linotype" w:hAnsi="Palatino Linotype"/>
          <w:color w:val="000000"/>
          <w:lang w:eastAsia="es-MX"/>
        </w:rPr>
        <w:t xml:space="preserve">conviene señalar lo estipulado </w:t>
      </w:r>
      <w:r>
        <w:rPr>
          <w:rFonts w:ascii="Palatino Linotype" w:hAnsi="Palatino Linotype"/>
          <w:color w:val="000000"/>
          <w:lang w:eastAsia="es-MX"/>
        </w:rPr>
        <w:t xml:space="preserve">por </w:t>
      </w:r>
      <w:r w:rsidRPr="007D69F7">
        <w:rPr>
          <w:rFonts w:ascii="Palatino Linotype" w:hAnsi="Palatino Linotype" w:cs="Arial"/>
        </w:rPr>
        <w:t>el Poder Judicial de la Federación a través</w:t>
      </w:r>
      <w:r>
        <w:rPr>
          <w:rFonts w:ascii="Palatino Linotype" w:hAnsi="Palatino Linotype" w:cs="Arial"/>
        </w:rPr>
        <w:t xml:space="preserve"> de las Tesis y Jurisprudencias con</w:t>
      </w:r>
      <w:r w:rsidRPr="007D69F7">
        <w:rPr>
          <w:rFonts w:ascii="Palatino Linotype" w:hAnsi="Palatino Linotype" w:cs="Arial"/>
        </w:rPr>
        <w:t xml:space="preserve"> </w:t>
      </w:r>
      <w:r w:rsidRPr="007D69F7">
        <w:rPr>
          <w:rFonts w:ascii="Palatino Linotype" w:hAnsi="Palatino Linotype" w:cs="Arial"/>
          <w:lang w:eastAsia="es-MX"/>
        </w:rPr>
        <w:t>números de registro 181719, 170500 de la Novena y Décima Épocas, sustentadas por el Segundo Tribunal Colegiado en Materia Civil del Segundo Circuito, y por la Primera y Segunda Salas de la Suprema Corte de Justicia de la Nación</w:t>
      </w:r>
      <w:r w:rsidRPr="007D69F7">
        <w:rPr>
          <w:rStyle w:val="Refdenotaalpie"/>
          <w:rFonts w:ascii="Palatino Linotype" w:hAnsi="Palatino Linotype"/>
          <w:lang w:eastAsia="es-MX"/>
        </w:rPr>
        <w:footnoteReference w:id="1"/>
      </w:r>
      <w:r w:rsidRPr="007D69F7">
        <w:rPr>
          <w:rFonts w:ascii="Palatino Linotype" w:hAnsi="Palatino Linotype" w:cs="Arial"/>
          <w:lang w:eastAsia="es-MX"/>
        </w:rPr>
        <w:t>, se han pronunciado en cuanto al intereses jurídico en los términos siguientes:</w:t>
      </w:r>
    </w:p>
    <w:p w14:paraId="5585E6E3" w14:textId="77777777" w:rsidR="00D65FA9" w:rsidRDefault="00D65FA9" w:rsidP="00D65FA9">
      <w:pPr>
        <w:spacing w:before="240" w:line="360" w:lineRule="auto"/>
        <w:ind w:left="851" w:right="851"/>
        <w:jc w:val="center"/>
        <w:rPr>
          <w:rFonts w:ascii="Palatino Linotype" w:hAnsi="Palatino Linotype" w:cs="Bookman Old Style"/>
          <w:i/>
        </w:rPr>
      </w:pPr>
      <w:r w:rsidRPr="007D69F7">
        <w:rPr>
          <w:rFonts w:ascii="Palatino Linotype" w:hAnsi="Palatino Linotype" w:cs="Bookman Old Style"/>
          <w:i/>
        </w:rPr>
        <w:t>“</w:t>
      </w:r>
      <w:r w:rsidRPr="007D69F7">
        <w:rPr>
          <w:rFonts w:ascii="Palatino Linotype" w:hAnsi="Palatino Linotype" w:cs="Bookman Old Style"/>
          <w:b/>
          <w:i/>
          <w:u w:val="single"/>
        </w:rPr>
        <w:t>INTERÉS JURÍDICO, CONCEPTO DE</w:t>
      </w:r>
      <w:r w:rsidRPr="007D69F7">
        <w:rPr>
          <w:rFonts w:ascii="Palatino Linotype" w:hAnsi="Palatino Linotype" w:cs="Bookman Old Style"/>
          <w:i/>
        </w:rPr>
        <w:t>.</w:t>
      </w:r>
    </w:p>
    <w:p w14:paraId="0CF77D17" w14:textId="77777777" w:rsidR="00D65FA9" w:rsidRDefault="00D65FA9" w:rsidP="00D65FA9">
      <w:pPr>
        <w:spacing w:before="240" w:line="360" w:lineRule="auto"/>
        <w:ind w:left="851" w:right="851"/>
        <w:jc w:val="both"/>
        <w:rPr>
          <w:rFonts w:ascii="Palatino Linotype" w:hAnsi="Palatino Linotype" w:cs="Bookman Old Style"/>
          <w:i/>
        </w:rPr>
      </w:pPr>
      <w:r w:rsidRPr="007D69F7">
        <w:rPr>
          <w:rFonts w:ascii="Palatino Linotype" w:hAnsi="Palatino Linotype" w:cs="Bookman Old Style"/>
          <w:i/>
        </w:rPr>
        <w:t xml:space="preserve">Tratándose del juicio de garantías, </w:t>
      </w:r>
      <w:r w:rsidRPr="007D69F7">
        <w:rPr>
          <w:rFonts w:ascii="Palatino Linotype" w:hAnsi="Palatino Linotype" w:cs="Bookman Old Style"/>
          <w:b/>
          <w:i/>
          <w:u w:val="single"/>
        </w:rPr>
        <w:t>el interés jurídico</w:t>
      </w:r>
      <w:r w:rsidRPr="007D69F7">
        <w:rPr>
          <w:rFonts w:ascii="Palatino Linotype" w:hAnsi="Palatino Linotype" w:cs="Bookman Old Style"/>
          <w:i/>
        </w:rPr>
        <w:t xml:space="preserve"> como noción fundamental </w:t>
      </w:r>
      <w:r w:rsidRPr="007D69F7">
        <w:rPr>
          <w:rFonts w:ascii="Palatino Linotype" w:hAnsi="Palatino Linotype" w:cs="Bookman Old Style"/>
          <w:b/>
          <w:i/>
          <w:u w:val="single"/>
        </w:rPr>
        <w:t>lo constituye la existencia o actualización de un derecho subjetivo jurídicamente tutelado que puede afectarse</w:t>
      </w:r>
      <w:r w:rsidRPr="007D69F7">
        <w:rPr>
          <w:rFonts w:ascii="Palatino Linotype" w:hAnsi="Palatino Linotype" w:cs="Bookman Old Style"/>
          <w:i/>
        </w:rPr>
        <w:t xml:space="preserve">, ya sea por la violación de ese derecho, o bien, por el desconocimiento del mismo </w:t>
      </w:r>
      <w:r w:rsidRPr="007D69F7">
        <w:rPr>
          <w:rFonts w:ascii="Palatino Linotype" w:hAnsi="Palatino Linotype" w:cs="Bookman Old Style"/>
          <w:b/>
          <w:i/>
          <w:u w:val="single"/>
        </w:rPr>
        <w:t>por virtud de un acto de autoridad, de ahí que sólo el titular de algún derecho legítimamente protegible pueda acudir ante el órgano jurisdiccional</w:t>
      </w:r>
      <w:r w:rsidRPr="007D69F7">
        <w:rPr>
          <w:rFonts w:ascii="Palatino Linotype" w:hAnsi="Palatino Linotype" w:cs="Bookman Old Style"/>
          <w:i/>
        </w:rPr>
        <w:t xml:space="preserve"> de amparo en demanda de que cese esa situación </w:t>
      </w:r>
      <w:r w:rsidRPr="007D69F7">
        <w:rPr>
          <w:rFonts w:ascii="Palatino Linotype" w:hAnsi="Palatino Linotype" w:cs="Bookman Old Style"/>
          <w:i/>
          <w:u w:val="single"/>
        </w:rPr>
        <w:t>cuando se transgreda, por la actuación de cierta autoridad,</w:t>
      </w:r>
      <w:r w:rsidRPr="007D69F7">
        <w:rPr>
          <w:rFonts w:ascii="Palatino Linotype" w:hAnsi="Palatino Linotype" w:cs="Bookman Old Style"/>
          <w:i/>
        </w:rPr>
        <w:t xml:space="preserve"> determinada garantía.</w:t>
      </w:r>
    </w:p>
    <w:p w14:paraId="00DCD3A1" w14:textId="77777777" w:rsidR="00D65FA9" w:rsidRDefault="00D65FA9" w:rsidP="00D65FA9">
      <w:pPr>
        <w:spacing w:before="240" w:line="360" w:lineRule="auto"/>
        <w:ind w:left="851" w:right="851"/>
        <w:jc w:val="both"/>
        <w:rPr>
          <w:rFonts w:ascii="Palatino Linotype" w:hAnsi="Palatino Linotype" w:cs="Bookman Old Style"/>
          <w:i/>
        </w:rPr>
      </w:pPr>
      <w:r w:rsidRPr="007D69F7">
        <w:rPr>
          <w:rFonts w:ascii="Palatino Linotype" w:hAnsi="Palatino Linotype" w:cs="Bookman Old Style"/>
          <w:b/>
          <w:i/>
        </w:rPr>
        <w:lastRenderedPageBreak/>
        <w:t>INTERÉS JURÍDICO EN EL AMPARO. ELEMENTOS CONSTITUTIVOS</w:t>
      </w:r>
      <w:r w:rsidRPr="007D69F7">
        <w:rPr>
          <w:rFonts w:ascii="Palatino Linotype" w:hAnsi="Palatino Linotype" w:cs="Bookman Old Style"/>
          <w:i/>
        </w:rPr>
        <w:t xml:space="preserve">. </w:t>
      </w:r>
    </w:p>
    <w:p w14:paraId="32AF768B" w14:textId="77777777" w:rsidR="00D65FA9" w:rsidRPr="00C95997" w:rsidRDefault="00D65FA9" w:rsidP="00D65FA9">
      <w:pPr>
        <w:spacing w:before="240" w:line="360" w:lineRule="auto"/>
        <w:ind w:left="851" w:right="851"/>
        <w:jc w:val="both"/>
        <w:rPr>
          <w:rFonts w:ascii="Palatino Linotype" w:hAnsi="Palatino Linotype" w:cs="Bookman Old Style"/>
          <w:b/>
          <w:i/>
        </w:rPr>
      </w:pPr>
      <w:r w:rsidRPr="007D69F7">
        <w:rPr>
          <w:rFonts w:ascii="Palatino Linotype" w:hAnsi="Palatino Linotype" w:cs="Bookman Old Style"/>
          <w:b/>
          <w:i/>
          <w:u w:val="single"/>
        </w:rPr>
        <w:t>El artículo 4o. de la Ley de Amparo contempla, para la procedencia del juicio de garantías</w:t>
      </w:r>
      <w:r w:rsidRPr="007D69F7">
        <w:rPr>
          <w:rFonts w:ascii="Palatino Linotype" w:hAnsi="Palatino Linotype" w:cs="Bookman Old Style"/>
          <w:i/>
        </w:rPr>
        <w:t xml:space="preserve">, </w:t>
      </w:r>
      <w:r w:rsidRPr="007D69F7">
        <w:rPr>
          <w:rFonts w:ascii="Palatino Linotype" w:hAnsi="Palatino Linotype" w:cs="Bookman Old Style"/>
          <w:b/>
          <w:i/>
          <w:u w:val="single"/>
        </w:rPr>
        <w:t>que el acto reclamado cause un perjuicio a la persona física o moral que se estime afectada, lo que ocurre cuando ese acto lesiona sus intereses jurídicos</w:t>
      </w:r>
      <w:r w:rsidRPr="007D69F7">
        <w:rPr>
          <w:rFonts w:ascii="Palatino Linotype" w:hAnsi="Palatino Linotype" w:cs="Bookman Old Style"/>
          <w:i/>
        </w:rPr>
        <w:t xml:space="preserve">, en su persona o en su patrimonio, y que de manera concomitante es lo que provoca la génesis de la acción constitucional. Así, como </w:t>
      </w:r>
      <w:r w:rsidRPr="007D69F7">
        <w:rPr>
          <w:rFonts w:ascii="Palatino Linotype" w:hAnsi="Palatino Linotype" w:cs="Bookman Old Style"/>
          <w:b/>
          <w:i/>
          <w:u w:val="single"/>
        </w:rPr>
        <w:t>la tutela del derecho sólo comprende a bienes jurídicos reales y objetivos</w:t>
      </w:r>
      <w:r w:rsidRPr="007D69F7">
        <w:rPr>
          <w:rFonts w:ascii="Palatino Linotype" w:hAnsi="Palatino Linotype" w:cs="Bookman Old Style"/>
          <w:i/>
        </w:rPr>
        <w:t xml:space="preserve">, las afectaciones deben igualmente ser </w:t>
      </w:r>
      <w:r w:rsidRPr="007D69F7">
        <w:rPr>
          <w:rFonts w:ascii="Palatino Linotype" w:hAnsi="Palatino Linotype" w:cs="Bookman Old Style"/>
          <w:b/>
          <w:i/>
          <w:u w:val="single"/>
        </w:rPr>
        <w:t>susceptibles de apreciarse en forma objetiva</w:t>
      </w:r>
      <w:r w:rsidRPr="007D69F7">
        <w:rPr>
          <w:rFonts w:ascii="Palatino Linotype" w:hAnsi="Palatino Linotype" w:cs="Bookman Old Style"/>
          <w:i/>
        </w:rPr>
        <w:t xml:space="preserve"> para que puedan constituir un perjuicio, teniendo en cuenta que el interés jurídico debe acreditarse en forma fehaciente y no inferirse con base en presunciones; de modo que la naturaleza intrínseca de ese acto o ley reclamados es la que determina el perjuicio o afectación en la esfera normativa del particular, </w:t>
      </w:r>
      <w:r w:rsidRPr="007D69F7">
        <w:rPr>
          <w:rFonts w:ascii="Palatino Linotype" w:hAnsi="Palatino Linotype" w:cs="Bookman Old Style"/>
          <w:b/>
          <w:i/>
          <w:u w:val="single"/>
        </w:rPr>
        <w:t>sin que pueda hablarse entonces de agravio cuando los daños o perjuicios que una persona puede sufrir, no afecten real y efectivamente sus bienes jurídicamente amparados</w:t>
      </w:r>
      <w:r>
        <w:rPr>
          <w:rFonts w:ascii="Palatino Linotype" w:hAnsi="Palatino Linotype" w:cs="Bookman Old Style"/>
          <w:i/>
        </w:rPr>
        <w:t xml:space="preserve">” </w:t>
      </w:r>
      <w:r>
        <w:rPr>
          <w:rFonts w:ascii="Palatino Linotype" w:hAnsi="Palatino Linotype" w:cs="Bookman Old Style"/>
          <w:b/>
          <w:i/>
        </w:rPr>
        <w:t>[Sic]</w:t>
      </w:r>
    </w:p>
    <w:p w14:paraId="10638F09" w14:textId="77777777" w:rsidR="00D65FA9" w:rsidRDefault="00D65FA9" w:rsidP="00D65FA9">
      <w:pPr>
        <w:widowControl w:val="0"/>
        <w:autoSpaceDE w:val="0"/>
        <w:autoSpaceDN w:val="0"/>
        <w:adjustRightInd w:val="0"/>
        <w:spacing w:before="240" w:line="360" w:lineRule="auto"/>
        <w:ind w:right="51"/>
        <w:jc w:val="both"/>
        <w:rPr>
          <w:rFonts w:ascii="Palatino Linotype" w:hAnsi="Palatino Linotype" w:cs="Arial"/>
        </w:rPr>
      </w:pPr>
    </w:p>
    <w:p w14:paraId="567317C2" w14:textId="1A1A1E58" w:rsidR="00D65FA9" w:rsidRPr="007D69F7" w:rsidRDefault="00D65FA9" w:rsidP="00D65FA9">
      <w:pPr>
        <w:pStyle w:val="Prrafodelista"/>
        <w:widowControl w:val="0"/>
        <w:autoSpaceDE w:val="0"/>
        <w:autoSpaceDN w:val="0"/>
        <w:adjustRightInd w:val="0"/>
        <w:spacing w:after="240" w:line="360" w:lineRule="auto"/>
        <w:ind w:left="0" w:right="49"/>
        <w:jc w:val="both"/>
        <w:rPr>
          <w:rFonts w:ascii="Palatino Linotype" w:hAnsi="Palatino Linotype" w:cs="Arial"/>
          <w:i/>
        </w:rPr>
      </w:pPr>
      <w:r w:rsidRPr="007D69F7">
        <w:rPr>
          <w:rFonts w:ascii="Palatino Linotype" w:hAnsi="Palatino Linotype" w:cs="Arial"/>
        </w:rPr>
        <w:t xml:space="preserve">Precisado lo anterior, se advierte que </w:t>
      </w:r>
      <w:r w:rsidR="008822BE">
        <w:rPr>
          <w:rFonts w:ascii="Palatino Linotype" w:hAnsi="Palatino Linotype" w:cs="Arial"/>
          <w:b/>
        </w:rPr>
        <w:t>El</w:t>
      </w:r>
      <w:r>
        <w:rPr>
          <w:rFonts w:ascii="Palatino Linotype" w:hAnsi="Palatino Linotype" w:cs="Arial"/>
          <w:b/>
        </w:rPr>
        <w:t xml:space="preserve"> Recurrente</w:t>
      </w:r>
      <w:r w:rsidRPr="007D69F7">
        <w:rPr>
          <w:rFonts w:ascii="Palatino Linotype" w:hAnsi="Palatino Linotype" w:cs="Arial"/>
        </w:rPr>
        <w:t xml:space="preserve"> al realizar su solicitud de acceso a datos personales, exhibió ante el Sujeto Obligado documentos que pudieran reconocerle el interés jurídico </w:t>
      </w:r>
      <w:r>
        <w:rPr>
          <w:rFonts w:ascii="Palatino Linotype" w:hAnsi="Palatino Linotype" w:cs="Arial"/>
        </w:rPr>
        <w:t xml:space="preserve">y legitimo </w:t>
      </w:r>
      <w:r w:rsidRPr="007D69F7">
        <w:rPr>
          <w:rFonts w:ascii="Palatino Linotype" w:hAnsi="Palatino Linotype" w:cs="Arial"/>
        </w:rPr>
        <w:t xml:space="preserve">para ejercer los derechos </w:t>
      </w:r>
      <w:r w:rsidRPr="000C5BDA">
        <w:rPr>
          <w:rFonts w:ascii="Palatino Linotype" w:hAnsi="Palatino Linotype" w:cs="Arial"/>
          <w:b/>
        </w:rPr>
        <w:t>ARCO</w:t>
      </w:r>
      <w:r w:rsidRPr="007D69F7">
        <w:rPr>
          <w:rFonts w:ascii="Palatino Linotype" w:hAnsi="Palatino Linotype" w:cs="Arial"/>
        </w:rPr>
        <w:t xml:space="preserve"> a nombre y representación, </w:t>
      </w:r>
      <w:r w:rsidR="008822BE">
        <w:rPr>
          <w:rFonts w:ascii="Palatino Linotype" w:hAnsi="Palatino Linotype" w:cs="Arial"/>
        </w:rPr>
        <w:t xml:space="preserve">como el acta </w:t>
      </w:r>
      <w:r w:rsidR="000C5BDA">
        <w:rPr>
          <w:rFonts w:ascii="Palatino Linotype" w:hAnsi="Palatino Linotype" w:cs="Arial"/>
        </w:rPr>
        <w:t>poder</w:t>
      </w:r>
      <w:r w:rsidR="0010213B">
        <w:rPr>
          <w:rFonts w:ascii="Palatino Linotype" w:hAnsi="Palatino Linotype" w:cs="Arial"/>
        </w:rPr>
        <w:t xml:space="preserve"> firmada ante dos testigos</w:t>
      </w:r>
      <w:r w:rsidR="000C5BDA">
        <w:rPr>
          <w:rFonts w:ascii="Palatino Linotype" w:hAnsi="Palatino Linotype" w:cs="Arial"/>
        </w:rPr>
        <w:t xml:space="preserve">, así como credenciales para votar. </w:t>
      </w:r>
    </w:p>
    <w:p w14:paraId="3697EED6" w14:textId="06B3685F" w:rsidR="00D65FA9" w:rsidRPr="007D69F7" w:rsidRDefault="00D65FA9" w:rsidP="00D65FA9">
      <w:pPr>
        <w:pStyle w:val="Prrafodelista"/>
        <w:widowControl w:val="0"/>
        <w:autoSpaceDE w:val="0"/>
        <w:autoSpaceDN w:val="0"/>
        <w:adjustRightInd w:val="0"/>
        <w:spacing w:before="240" w:after="240" w:line="360" w:lineRule="auto"/>
        <w:ind w:left="0" w:right="49"/>
        <w:jc w:val="both"/>
        <w:rPr>
          <w:rFonts w:ascii="Palatino Linotype" w:hAnsi="Palatino Linotype"/>
        </w:rPr>
      </w:pPr>
      <w:r w:rsidRPr="007D69F7">
        <w:rPr>
          <w:rFonts w:ascii="Palatino Linotype" w:hAnsi="Palatino Linotype" w:cs="Arial"/>
        </w:rPr>
        <w:t xml:space="preserve">En ese orden de ideas, al presentar </w:t>
      </w:r>
      <w:r w:rsidR="008822BE">
        <w:rPr>
          <w:rFonts w:ascii="Palatino Linotype" w:hAnsi="Palatino Linotype" w:cs="Arial"/>
        </w:rPr>
        <w:t>las citadas documentales</w:t>
      </w:r>
      <w:r w:rsidRPr="007D69F7">
        <w:rPr>
          <w:rFonts w:ascii="Palatino Linotype" w:hAnsi="Palatino Linotype" w:cs="Arial"/>
        </w:rPr>
        <w:t xml:space="preserve"> cumple con el requisito señalado con anterioridad ya que acredita el interés legítimo, para lo cual sirve de </w:t>
      </w:r>
      <w:r w:rsidRPr="007D69F7">
        <w:rPr>
          <w:rFonts w:ascii="Palatino Linotype" w:hAnsi="Palatino Linotype" w:cs="Arial"/>
        </w:rPr>
        <w:lastRenderedPageBreak/>
        <w:t xml:space="preserve">sustento los </w:t>
      </w:r>
      <w:r w:rsidRPr="007D69F7">
        <w:rPr>
          <w:rFonts w:ascii="Palatino Linotype" w:hAnsi="Palatino Linotype"/>
        </w:rPr>
        <w:t xml:space="preserve">criterios relevantes que ha emitido nuestro máximo Tribunal Constitucional en cuanto al interés legítimo, a través de </w:t>
      </w:r>
      <w:r w:rsidRPr="007D69F7">
        <w:rPr>
          <w:rFonts w:ascii="Palatino Linotype" w:hAnsi="Palatino Linotype" w:cs="Arial"/>
          <w:lang w:eastAsia="es-MX"/>
        </w:rPr>
        <w:t xml:space="preserve">las Jurisprudencias y Tesis Aisladas con números de registro </w:t>
      </w:r>
      <w:r w:rsidRPr="002B32E1">
        <w:rPr>
          <w:rFonts w:ascii="Palatino Linotype" w:hAnsi="Palatino Linotype"/>
          <w:b/>
        </w:rPr>
        <w:t>185376, 185377, 2005078</w:t>
      </w:r>
      <w:r w:rsidRPr="007D69F7">
        <w:rPr>
          <w:rFonts w:ascii="Palatino Linotype" w:hAnsi="Palatino Linotype"/>
        </w:rPr>
        <w:t xml:space="preserve"> y </w:t>
      </w:r>
      <w:r w:rsidRPr="002B32E1">
        <w:rPr>
          <w:rFonts w:ascii="Palatino Linotype" w:hAnsi="Palatino Linotype"/>
          <w:b/>
        </w:rPr>
        <w:t>2003608</w:t>
      </w:r>
      <w:r>
        <w:rPr>
          <w:rFonts w:ascii="Palatino Linotype" w:hAnsi="Palatino Linotype"/>
        </w:rPr>
        <w:t xml:space="preserve"> </w:t>
      </w:r>
      <w:r w:rsidRPr="007D69F7">
        <w:rPr>
          <w:rFonts w:ascii="Palatino Linotype" w:hAnsi="Palatino Linotype"/>
        </w:rPr>
        <w:t xml:space="preserve">cuyos textos y sentidos literales </w:t>
      </w:r>
      <w:r>
        <w:rPr>
          <w:rFonts w:ascii="Palatino Linotype" w:hAnsi="Palatino Linotype"/>
        </w:rPr>
        <w:t xml:space="preserve">respectivos, </w:t>
      </w:r>
      <w:r w:rsidRPr="007D69F7">
        <w:rPr>
          <w:rFonts w:ascii="Palatino Linotype" w:hAnsi="Palatino Linotype"/>
        </w:rPr>
        <w:t>son los siguientes</w:t>
      </w:r>
      <w:r>
        <w:rPr>
          <w:rFonts w:ascii="Palatino Linotype" w:hAnsi="Palatino Linotype"/>
        </w:rPr>
        <w:t>:</w:t>
      </w:r>
    </w:p>
    <w:p w14:paraId="7DB24B40" w14:textId="77777777" w:rsidR="00D65FA9" w:rsidRDefault="00D65FA9" w:rsidP="00D65FA9">
      <w:pPr>
        <w:spacing w:before="240" w:line="360" w:lineRule="auto"/>
        <w:ind w:left="851" w:right="851"/>
        <w:jc w:val="both"/>
        <w:rPr>
          <w:rFonts w:ascii="Palatino Linotype" w:hAnsi="Palatino Linotype"/>
          <w:i/>
        </w:rPr>
      </w:pPr>
      <w:r w:rsidRPr="007D69F7">
        <w:rPr>
          <w:rFonts w:ascii="Palatino Linotype" w:hAnsi="Palatino Linotype"/>
          <w:i/>
        </w:rPr>
        <w:t>“</w:t>
      </w:r>
      <w:r w:rsidRPr="007D69F7">
        <w:rPr>
          <w:rFonts w:ascii="Palatino Linotype" w:hAnsi="Palatino Linotype"/>
          <w:b/>
          <w:i/>
        </w:rPr>
        <w:t>INTERÉS LEGÍTIMO, NOCIÓN DE, PARA LA PROCEDENCIA DEL JUICIO ANTE EL TRIBUNAL DE LO CONTENCIOSO ADMINISTRATIVO DEL DISTRITO FEDERAL</w:t>
      </w:r>
      <w:r w:rsidRPr="007D69F7">
        <w:rPr>
          <w:rFonts w:ascii="Palatino Linotype" w:hAnsi="Palatino Linotype"/>
          <w:i/>
        </w:rPr>
        <w:t>.</w:t>
      </w:r>
    </w:p>
    <w:p w14:paraId="3BFDC957" w14:textId="77777777" w:rsidR="00D65FA9" w:rsidRDefault="00D65FA9" w:rsidP="00D65FA9">
      <w:pPr>
        <w:spacing w:before="240" w:line="360" w:lineRule="auto"/>
        <w:ind w:left="851" w:right="851"/>
        <w:jc w:val="both"/>
        <w:rPr>
          <w:rFonts w:ascii="Palatino Linotype" w:hAnsi="Palatino Linotype"/>
          <w:b/>
          <w:i/>
        </w:rPr>
      </w:pPr>
      <w:r w:rsidRPr="007D69F7">
        <w:rPr>
          <w:rFonts w:ascii="Palatino Linotype" w:hAnsi="Palatino Linotype"/>
          <w:i/>
        </w:rPr>
        <w:t xml:space="preserve"> De acuerdo con los artículos 34 y 72, fracción V, de la Ley del Tribunal de lo Contencioso Administrativo del Distrito Federal, </w:t>
      </w:r>
      <w:r w:rsidRPr="007D69F7">
        <w:rPr>
          <w:rFonts w:ascii="Palatino Linotype" w:hAnsi="Palatino Linotype"/>
          <w:i/>
          <w:u w:val="single"/>
        </w:rPr>
        <w:t>para la procedencia del juicio administrativo basta con que el acto de autoridad impugnado afecte la esfera jurídica del actor, para que le asista un interés legítimo para demandar la nulidad de ese acto</w:t>
      </w:r>
      <w:r w:rsidRPr="007D69F7">
        <w:rPr>
          <w:rFonts w:ascii="Palatino Linotype" w:hAnsi="Palatino Linotype"/>
          <w:i/>
        </w:rPr>
        <w:t xml:space="preserve">, resultando intrascendente, para este propósito, que sea, o no, titular del respectivo derecho subjetivo, pues el interés que debe justificar el accionante no es el relativo a acreditar su pretensión, sino el que le asiste para iniciar la acción. </w:t>
      </w:r>
      <w:r w:rsidRPr="007D69F7">
        <w:rPr>
          <w:rFonts w:ascii="Palatino Linotype" w:hAnsi="Palatino Linotype"/>
          <w:b/>
          <w:i/>
          <w:u w:val="single"/>
        </w:rPr>
        <w:t>En efecto, tales preceptos aluden a la procedencia o improcedencia del juicio administrativo, a los presupuestos de admisibilidad de la acción ante el Tribunal de lo Contencioso Administrativo</w:t>
      </w:r>
      <w:r w:rsidRPr="007D69F7">
        <w:rPr>
          <w:rFonts w:ascii="Palatino Linotype" w:hAnsi="Palatino Linotype"/>
          <w:b/>
          <w:i/>
        </w:rPr>
        <w:t xml:space="preserve">; </w:t>
      </w:r>
      <w:r w:rsidRPr="007D69F7">
        <w:rPr>
          <w:rFonts w:ascii="Palatino Linotype" w:hAnsi="Palatino Linotype"/>
          <w:b/>
          <w:i/>
          <w:u w:val="single"/>
        </w:rPr>
        <w:t>así, lo que se plantea en dichos preceptos es una cuestión de legitimación para ejercer la acción, mas no el deber del actor de acreditar el derecho que alegue que le asiste, pues esto último es una cuestión que atañe al fondo del asunto.</w:t>
      </w:r>
      <w:r w:rsidRPr="007D69F7">
        <w:rPr>
          <w:rFonts w:ascii="Palatino Linotype" w:hAnsi="Palatino Linotype"/>
          <w:i/>
        </w:rPr>
        <w:t xml:space="preserve"> </w:t>
      </w:r>
      <w:r w:rsidRPr="007D69F7">
        <w:rPr>
          <w:rFonts w:ascii="Palatino Linotype" w:hAnsi="Palatino Linotype"/>
          <w:i/>
          <w:u w:val="single"/>
        </w:rPr>
        <w:t xml:space="preserve">De esta forma resulta procedente el juicio que intenten los particulares no sólo contra actos de la autoridad administrativa que afecten sus derechos subjetivos (interés jurídico), sino también y de manera más amplia, frente a violaciones que no lesionen propiamente intereses jurídicos, ya que basta una lesión objetiva a la esfera jurídica de la persona física o </w:t>
      </w:r>
      <w:r w:rsidRPr="007D69F7">
        <w:rPr>
          <w:rFonts w:ascii="Palatino Linotype" w:hAnsi="Palatino Linotype"/>
          <w:i/>
          <w:u w:val="single"/>
        </w:rPr>
        <w:lastRenderedPageBreak/>
        <w:t>moral derivada de su peculiar situación que tienen en el orden jurídico</w:t>
      </w:r>
      <w:r w:rsidRPr="007D69F7">
        <w:rPr>
          <w:rFonts w:ascii="Palatino Linotype" w:hAnsi="Palatino Linotype"/>
          <w:i/>
        </w:rPr>
        <w:t xml:space="preserve">, de donde se sigue que los preceptos de la ley analizada, </w:t>
      </w:r>
      <w:r w:rsidRPr="007D69F7">
        <w:rPr>
          <w:rFonts w:ascii="Palatino Linotype" w:hAnsi="Palatino Linotype"/>
          <w:b/>
          <w:i/>
        </w:rPr>
        <w:t>al requerir un interés legítimo como presupuesto de admisibilidad de la acción correspondiente, también comprende por mayoría de razón al referido interés jurídico, al resultar aquél de mayores alcances que éste.</w:t>
      </w:r>
    </w:p>
    <w:p w14:paraId="1221E873" w14:textId="77777777" w:rsidR="00D65FA9" w:rsidRPr="007D69F7" w:rsidRDefault="00D65FA9" w:rsidP="00D65FA9">
      <w:pPr>
        <w:spacing w:before="240" w:line="360" w:lineRule="auto"/>
        <w:ind w:left="851" w:right="851"/>
        <w:jc w:val="both"/>
        <w:rPr>
          <w:rFonts w:ascii="Palatino Linotype" w:hAnsi="Palatino Linotype"/>
          <w:i/>
          <w:sz w:val="16"/>
          <w:szCs w:val="16"/>
        </w:rPr>
      </w:pPr>
    </w:p>
    <w:p w14:paraId="39DF2F16" w14:textId="77777777" w:rsidR="00D65FA9" w:rsidRDefault="00D65FA9" w:rsidP="00D65FA9">
      <w:pPr>
        <w:spacing w:before="240" w:line="360" w:lineRule="auto"/>
        <w:ind w:left="851" w:right="851"/>
        <w:jc w:val="both"/>
        <w:rPr>
          <w:rFonts w:ascii="Palatino Linotype" w:hAnsi="Palatino Linotype"/>
          <w:i/>
        </w:rPr>
      </w:pPr>
      <w:r w:rsidRPr="007D69F7">
        <w:rPr>
          <w:rFonts w:ascii="Palatino Linotype" w:hAnsi="Palatino Linotype"/>
          <w:b/>
          <w:i/>
        </w:rPr>
        <w:t>INTERÉS LEGÍTIMO E INTERÉS JURÍDICO. AMBOS TÉRMINOS TIENEN DIFERENTE CONNOTACIÓN EN EL JUICIO CONTENCIOSO ADMINISTRATIVO</w:t>
      </w:r>
      <w:r w:rsidRPr="007D69F7">
        <w:rPr>
          <w:rFonts w:ascii="Palatino Linotype" w:hAnsi="Palatino Linotype"/>
          <w:i/>
        </w:rPr>
        <w:t xml:space="preserve">. </w:t>
      </w:r>
    </w:p>
    <w:p w14:paraId="421E3862" w14:textId="77777777" w:rsidR="00D65FA9" w:rsidRPr="007D69F7" w:rsidRDefault="00D65FA9" w:rsidP="00D65FA9">
      <w:pPr>
        <w:spacing w:before="240" w:line="360" w:lineRule="auto"/>
        <w:ind w:left="851" w:right="851"/>
        <w:jc w:val="both"/>
        <w:rPr>
          <w:rFonts w:ascii="Palatino Linotype" w:hAnsi="Palatino Linotype"/>
          <w:b/>
          <w:i/>
          <w:u w:val="single"/>
        </w:rPr>
      </w:pPr>
      <w:r w:rsidRPr="007D69F7">
        <w:rPr>
          <w:rFonts w:ascii="Palatino Linotype" w:hAnsi="Palatino Linotype"/>
          <w:i/>
        </w:rPr>
        <w:t xml:space="preserve">De los diversos procesos de reformas y adiciones a la abrogada Ley del Tribunal de lo Contencioso Administrativo del Distrito Federal, y del que dio lugar a la Ley en vigor, se desprende que el legislador ordinario en todo momento tuvo presente las diferencias existentes entre el interés jurídico y el legítimo, lo cual se evidencia aún más en las discusiones correspondientes a los procesos legislativos de mil novecientos ochenta y seis, y mil novecientos noventa y cinco. De hecho, </w:t>
      </w:r>
      <w:r w:rsidRPr="007D69F7">
        <w:rPr>
          <w:rFonts w:ascii="Palatino Linotype" w:hAnsi="Palatino Linotype"/>
          <w:b/>
          <w:i/>
          <w:u w:val="single"/>
        </w:rPr>
        <w:t>uno de los principales objetivos pretendidos con este último, fue precisamente permitir el acceso a la justicia administrativa a aquellos particulares afectados en su esfera jurídica por actos administrativos (interés legítimo), no obstante carecieran de la titularidad del derecho subjetivo respectivo (interés jurídico), con la finalidad clara de ampliar el número de gobernados que pudieran accesar al procedimiento en defensa de sus intereses</w:t>
      </w:r>
      <w:r w:rsidRPr="007D69F7">
        <w:rPr>
          <w:rFonts w:ascii="Palatino Linotype" w:hAnsi="Palatino Linotype"/>
          <w:i/>
        </w:rPr>
        <w:t xml:space="preserve">. Así, el interés jurídico tiene una connotación diversa a la del legítimo, pues mientras el primero requiere que se acredite la afectación a un derecho subjetivo, </w:t>
      </w:r>
      <w:r w:rsidRPr="007D69F7">
        <w:rPr>
          <w:rFonts w:ascii="Palatino Linotype" w:hAnsi="Palatino Linotype"/>
          <w:b/>
          <w:i/>
          <w:u w:val="single"/>
        </w:rPr>
        <w:t xml:space="preserve">el segundo supone únicamente la existencia de un interés cualificado respecto de la legalidad de los actos </w:t>
      </w:r>
      <w:r w:rsidRPr="007D69F7">
        <w:rPr>
          <w:rFonts w:ascii="Palatino Linotype" w:hAnsi="Palatino Linotype"/>
          <w:b/>
          <w:i/>
          <w:u w:val="single"/>
        </w:rPr>
        <w:lastRenderedPageBreak/>
        <w:t>impugnados, interés que proviene de la afectación a la esfera jurídica del individuo, ya sea directa o derivada de su situación particular respecto del orden jurídico.</w:t>
      </w:r>
    </w:p>
    <w:p w14:paraId="1C65D5D4" w14:textId="77777777" w:rsidR="00D65FA9" w:rsidRDefault="00D65FA9" w:rsidP="00D65FA9">
      <w:pPr>
        <w:spacing w:before="240" w:line="360" w:lineRule="auto"/>
        <w:ind w:left="851" w:right="851"/>
        <w:jc w:val="both"/>
        <w:rPr>
          <w:rFonts w:ascii="Palatino Linotype" w:hAnsi="Palatino Linotype"/>
          <w:b/>
          <w:i/>
        </w:rPr>
      </w:pPr>
    </w:p>
    <w:p w14:paraId="09C8F1C6" w14:textId="77777777" w:rsidR="00D65FA9" w:rsidRPr="007D69F7" w:rsidRDefault="00D65FA9" w:rsidP="00D65FA9">
      <w:pPr>
        <w:spacing w:before="240" w:line="360" w:lineRule="auto"/>
        <w:ind w:left="851" w:right="851"/>
        <w:jc w:val="both"/>
        <w:rPr>
          <w:rFonts w:ascii="Palatino Linotype" w:hAnsi="Palatino Linotype"/>
          <w:i/>
        </w:rPr>
      </w:pPr>
      <w:r w:rsidRPr="007D69F7">
        <w:rPr>
          <w:rFonts w:ascii="Palatino Linotype" w:hAnsi="Palatino Linotype"/>
          <w:b/>
          <w:i/>
        </w:rPr>
        <w:t xml:space="preserve">INTERÉS LEGÍTIMO EN EL AMPARO. SU ORIGEN Y CARACTERÍSTICAS. </w:t>
      </w:r>
      <w:r w:rsidRPr="007D69F7">
        <w:rPr>
          <w:rFonts w:ascii="Palatino Linotype" w:hAnsi="Palatino Linotype"/>
          <w:b/>
          <w:i/>
          <w:u w:val="single"/>
        </w:rPr>
        <w:t>El interés legítimo tiene su origen en las llamadas normas de acción</w:t>
      </w:r>
      <w:r w:rsidRPr="007D69F7">
        <w:rPr>
          <w:rFonts w:ascii="Palatino Linotype" w:hAnsi="Palatino Linotype"/>
          <w:i/>
        </w:rPr>
        <w:t xml:space="preserve">, las cuales regulan lo relativo a la organización, contenido y procedimientos que han de regir la actividad administrativa, y </w:t>
      </w:r>
      <w:r w:rsidRPr="007D69F7">
        <w:rPr>
          <w:rFonts w:ascii="Palatino Linotype" w:hAnsi="Palatino Linotype"/>
          <w:i/>
          <w:u w:val="single"/>
        </w:rPr>
        <w:t>constituyen una serie de obligaciones a cargo de la administración pública, sin establecer derechos subjetivos, pues al versar sobre la legalidad de actos administrativos o de gobierno, se emiten con el fin de garantizar intereses generales y no particulares.</w:t>
      </w:r>
      <w:r w:rsidRPr="007D69F7">
        <w:rPr>
          <w:rFonts w:ascii="Palatino Linotype" w:hAnsi="Palatino Linotype"/>
          <w:i/>
        </w:rPr>
        <w:t xml:space="preserve"> En ese contexto, por </w:t>
      </w:r>
      <w:r w:rsidRPr="007D69F7">
        <w:rPr>
          <w:rFonts w:ascii="Palatino Linotype" w:hAnsi="Palatino Linotype"/>
          <w:b/>
          <w:i/>
          <w:u w:val="single"/>
        </w:rPr>
        <w:t>el actuar de la administración, un determinado sujeto de derecho puede llegar a tener una ventaja en relación con los demás, o bien, sufrir un daño</w:t>
      </w:r>
      <w:r w:rsidRPr="007D69F7">
        <w:rPr>
          <w:rFonts w:ascii="Palatino Linotype" w:hAnsi="Palatino Linotype"/>
          <w:i/>
        </w:rPr>
        <w:t xml:space="preserve">; en este caso, los particulares únicamente se aprovechan de la necesidad de que se observen las normas dictadas en interés colectivo, por lo que a través y como consecuencia de esa observancia resultan ocasionalmente protegidos sus intereses. </w:t>
      </w:r>
      <w:r w:rsidRPr="007D69F7">
        <w:rPr>
          <w:rFonts w:ascii="Palatino Linotype" w:hAnsi="Palatino Linotype"/>
          <w:b/>
          <w:i/>
          <w:u w:val="single"/>
        </w:rPr>
        <w:t>Así, el interés legítimo tutela al gobernado cuyo sustento no se encuentra en un derecho subjetivo otorgado por la normativa, sino en un interés cualificado que de hecho pueda tener respecto de la legalidad de determinados actos de autoridad.</w:t>
      </w:r>
      <w:r w:rsidRPr="007D69F7">
        <w:rPr>
          <w:rFonts w:ascii="Palatino Linotype" w:hAnsi="Palatino Linotype"/>
          <w:i/>
        </w:rPr>
        <w:t xml:space="preserve"> Por tanto, el quejoso debe acreditar que se encuentra en esa especial situación que afecta su esfera jurídica con el acatamiento de las llamadas normas de acción, a fin de demostrar su legitimación para instar la acción de amparo.</w:t>
      </w:r>
    </w:p>
    <w:p w14:paraId="7CEFDE8A" w14:textId="77777777" w:rsidR="00D65FA9" w:rsidRPr="007D69F7" w:rsidRDefault="00D65FA9" w:rsidP="00D65FA9">
      <w:pPr>
        <w:spacing w:before="240" w:line="360" w:lineRule="auto"/>
        <w:ind w:left="851" w:right="851"/>
        <w:jc w:val="both"/>
        <w:rPr>
          <w:rFonts w:ascii="Palatino Linotype" w:hAnsi="Palatino Linotype"/>
          <w:i/>
        </w:rPr>
      </w:pPr>
    </w:p>
    <w:p w14:paraId="19395B62" w14:textId="77777777" w:rsidR="00D65FA9" w:rsidRDefault="00D65FA9" w:rsidP="00D65FA9">
      <w:pPr>
        <w:spacing w:before="240" w:line="360" w:lineRule="auto"/>
        <w:ind w:left="851" w:right="851"/>
        <w:jc w:val="both"/>
        <w:rPr>
          <w:rFonts w:ascii="Palatino Linotype" w:hAnsi="Palatino Linotype"/>
          <w:i/>
        </w:rPr>
      </w:pPr>
      <w:r w:rsidRPr="002C02B5">
        <w:rPr>
          <w:rFonts w:ascii="Palatino Linotype" w:hAnsi="Palatino Linotype"/>
          <w:b/>
          <w:i/>
        </w:rPr>
        <w:lastRenderedPageBreak/>
        <w:t>INTERÉS JURÍDICO</w:t>
      </w:r>
      <w:r w:rsidRPr="007D69F7">
        <w:rPr>
          <w:rFonts w:ascii="Palatino Linotype" w:hAnsi="Palatino Linotype"/>
          <w:b/>
          <w:i/>
        </w:rPr>
        <w:t xml:space="preserve"> E </w:t>
      </w:r>
      <w:r w:rsidRPr="007D69F7">
        <w:rPr>
          <w:rFonts w:ascii="Palatino Linotype" w:hAnsi="Palatino Linotype"/>
          <w:b/>
          <w:i/>
          <w:u w:val="single"/>
        </w:rPr>
        <w:t>INTERÉS LEGÍTIMO</w:t>
      </w:r>
      <w:r w:rsidRPr="007D69F7">
        <w:rPr>
          <w:rFonts w:ascii="Palatino Linotype" w:hAnsi="Palatino Linotype"/>
          <w:b/>
          <w:i/>
        </w:rPr>
        <w:t xml:space="preserve"> PARA EFECTOS DE LA PROCEDENCIA DEL JUICIO DE AMPARO CONFORME AL ARTÍCULO 107, FRACCIÓN I, DE LA CONSTITUCIÓN FEDERAL, VIGENTE A PARTIR DEL 4 DE OCTUBRE DE 2011. SUS DIFERENCIAS.</w:t>
      </w:r>
      <w:r w:rsidRPr="007D69F7">
        <w:rPr>
          <w:rFonts w:ascii="Palatino Linotype" w:hAnsi="Palatino Linotype"/>
          <w:i/>
        </w:rPr>
        <w:t xml:space="preserve"> </w:t>
      </w:r>
    </w:p>
    <w:p w14:paraId="48736CD5" w14:textId="77777777" w:rsidR="00D65FA9" w:rsidRPr="007D69F7" w:rsidRDefault="00D65FA9" w:rsidP="00D65FA9">
      <w:pPr>
        <w:spacing w:before="240" w:line="360" w:lineRule="auto"/>
        <w:ind w:left="851" w:right="851"/>
        <w:jc w:val="both"/>
        <w:rPr>
          <w:rFonts w:ascii="Palatino Linotype" w:hAnsi="Palatino Linotype"/>
          <w:i/>
        </w:rPr>
      </w:pPr>
      <w:r w:rsidRPr="007D69F7">
        <w:rPr>
          <w:rFonts w:ascii="Palatino Linotype" w:hAnsi="Palatino Linotype"/>
          <w:i/>
        </w:rPr>
        <w:t xml:space="preserve">Conforme al artículo 107, fracciones I y II, de la Constitución Política de los Estados Unidos Mexicanos, vigente a partir del 4 de octubre de 2011, el juicio de amparo podrá promoverse por la parte que resienta el agravio causado por el acto reclamado (interés jurídico) </w:t>
      </w:r>
      <w:r w:rsidRPr="007D69F7">
        <w:rPr>
          <w:rFonts w:ascii="Palatino Linotype" w:hAnsi="Palatino Linotype"/>
          <w:b/>
          <w:i/>
          <w:u w:val="single"/>
        </w:rPr>
        <w:t>o, en su caso, por aquella que tenga un interés cualificado respecto de la constitucionalidad de los actos reclamados (interés legítimo),</w:t>
      </w:r>
      <w:r w:rsidRPr="007D69F7">
        <w:rPr>
          <w:rFonts w:ascii="Palatino Linotype" w:hAnsi="Palatino Linotype"/>
          <w:i/>
        </w:rPr>
        <w:t xml:space="preserve"> el </w:t>
      </w:r>
      <w:r w:rsidRPr="007D69F7">
        <w:rPr>
          <w:rFonts w:ascii="Palatino Linotype" w:hAnsi="Palatino Linotype"/>
          <w:b/>
          <w:i/>
          <w:u w:val="single"/>
        </w:rPr>
        <w:t>cual proviene de la afectación a su esfera jurídica</w:t>
      </w:r>
      <w:r w:rsidRPr="007D69F7">
        <w:rPr>
          <w:rFonts w:ascii="Palatino Linotype" w:hAnsi="Palatino Linotype"/>
          <w:i/>
        </w:rPr>
        <w:t>, ya sea directa o derivada de su situación particular respecto del orden jurídico, para que la sentencia que se dicte sólo la proteja a ella, en cumplimiento del principio conocido como de relatividad o particularidad de las sentencias. …”</w:t>
      </w:r>
    </w:p>
    <w:p w14:paraId="0F2303FE" w14:textId="77777777" w:rsidR="00D65FA9" w:rsidRDefault="00D65FA9"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p>
    <w:p w14:paraId="4D5CEE3B" w14:textId="2FE4C773" w:rsidR="00D65FA9" w:rsidRPr="00EC30CE" w:rsidRDefault="00D65FA9"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i/>
        </w:rPr>
      </w:pPr>
      <w:r w:rsidRPr="007D69F7">
        <w:rPr>
          <w:rFonts w:ascii="Palatino Linotype" w:hAnsi="Palatino Linotype" w:cs="Arial"/>
        </w:rPr>
        <w:t xml:space="preserve">Precisado lo anterior, se advierte </w:t>
      </w:r>
      <w:r>
        <w:rPr>
          <w:rFonts w:ascii="Palatino Linotype" w:hAnsi="Palatino Linotype" w:cs="Arial"/>
        </w:rPr>
        <w:t xml:space="preserve">que </w:t>
      </w:r>
      <w:r w:rsidR="000C5BDA">
        <w:rPr>
          <w:rFonts w:ascii="Palatino Linotype" w:hAnsi="Palatino Linotype" w:cs="Arial"/>
          <w:b/>
        </w:rPr>
        <w:t>El</w:t>
      </w:r>
      <w:r>
        <w:rPr>
          <w:rFonts w:ascii="Palatino Linotype" w:hAnsi="Palatino Linotype" w:cs="Arial"/>
          <w:b/>
        </w:rPr>
        <w:t xml:space="preserve"> Recurrente</w:t>
      </w:r>
      <w:r w:rsidRPr="007D69F7">
        <w:rPr>
          <w:rFonts w:ascii="Palatino Linotype" w:hAnsi="Palatino Linotype" w:cs="Arial"/>
        </w:rPr>
        <w:t xml:space="preserve"> acredita su interés legítimo al acceso a datos personales </w:t>
      </w:r>
      <w:r>
        <w:rPr>
          <w:rFonts w:ascii="Palatino Linotype" w:hAnsi="Palatino Linotype" w:cs="Arial"/>
        </w:rPr>
        <w:t>al dar cumplimiento a</w:t>
      </w:r>
      <w:r w:rsidRPr="007D69F7">
        <w:rPr>
          <w:rFonts w:ascii="Palatino Linotype" w:hAnsi="Palatino Linotype" w:cs="Arial"/>
          <w:lang w:val="es-ES_tradnl"/>
        </w:rPr>
        <w:t xml:space="preserve"> las formalidades previstas por la </w:t>
      </w:r>
      <w:r w:rsidRPr="007D69F7">
        <w:rPr>
          <w:rFonts w:ascii="Palatino Linotype" w:hAnsi="Palatino Linotype" w:cs="Arial"/>
        </w:rPr>
        <w:t>Ley de Protección de Datos Personales en Posesión de Sujetos Obligados del Estado de México y Municipios</w:t>
      </w:r>
      <w:r>
        <w:rPr>
          <w:rFonts w:ascii="Palatino Linotype" w:hAnsi="Palatino Linotype" w:cs="Arial"/>
          <w:lang w:val="es-ES_tradnl"/>
        </w:rPr>
        <w:t>.</w:t>
      </w:r>
    </w:p>
    <w:p w14:paraId="012C27CD" w14:textId="77777777" w:rsidR="00D65FA9" w:rsidRDefault="00D65FA9"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r w:rsidRPr="00300C48">
        <w:rPr>
          <w:rFonts w:ascii="Palatino Linotype" w:hAnsi="Palatino Linotype" w:cs="Arial"/>
        </w:rPr>
        <w:t xml:space="preserve">Una vez sentado lo anterior, </w:t>
      </w:r>
      <w:r>
        <w:rPr>
          <w:rFonts w:ascii="Palatino Linotype" w:hAnsi="Palatino Linotype" w:cs="Arial"/>
        </w:rPr>
        <w:t xml:space="preserve">resulta oportuno traer a colación los artículos 82 fracción XXVIII y 131 de la Ley de Protección de Datos Personales en Posesión de Sujetos Obligados del Estado de México y Municipios, normatividad invocada cuyo contenido literal es el siguiente: </w:t>
      </w:r>
    </w:p>
    <w:p w14:paraId="15FF9933" w14:textId="77777777" w:rsidR="00D65FA9" w:rsidRPr="000D4995" w:rsidRDefault="00D65FA9" w:rsidP="00D65FA9">
      <w:pPr>
        <w:pStyle w:val="Prrafodelista"/>
        <w:widowControl w:val="0"/>
        <w:autoSpaceDE w:val="0"/>
        <w:autoSpaceDN w:val="0"/>
        <w:adjustRightInd w:val="0"/>
        <w:spacing w:before="240" w:after="160" w:line="360" w:lineRule="auto"/>
        <w:ind w:left="851" w:right="851"/>
        <w:jc w:val="both"/>
        <w:rPr>
          <w:rFonts w:ascii="Palatino Linotype" w:hAnsi="Palatino Linotype"/>
          <w:b/>
          <w:i/>
          <w:sz w:val="22"/>
          <w:szCs w:val="22"/>
        </w:rPr>
      </w:pPr>
      <w:r w:rsidRPr="000D4995">
        <w:rPr>
          <w:rFonts w:ascii="Palatino Linotype" w:hAnsi="Palatino Linotype"/>
          <w:b/>
          <w:i/>
          <w:sz w:val="22"/>
          <w:szCs w:val="22"/>
        </w:rPr>
        <w:lastRenderedPageBreak/>
        <w:t xml:space="preserve">“Atribuciones del Instituto </w:t>
      </w:r>
    </w:p>
    <w:p w14:paraId="09A4F613" w14:textId="77777777" w:rsidR="00D65FA9" w:rsidRPr="000D4995" w:rsidRDefault="00D65FA9" w:rsidP="00D65FA9">
      <w:pPr>
        <w:pStyle w:val="Prrafodelista"/>
        <w:widowControl w:val="0"/>
        <w:autoSpaceDE w:val="0"/>
        <w:autoSpaceDN w:val="0"/>
        <w:adjustRightInd w:val="0"/>
        <w:spacing w:before="240" w:after="160" w:line="360" w:lineRule="auto"/>
        <w:ind w:left="851" w:right="851"/>
        <w:jc w:val="both"/>
        <w:rPr>
          <w:rFonts w:ascii="Palatino Linotype" w:hAnsi="Palatino Linotype"/>
          <w:i/>
          <w:sz w:val="22"/>
          <w:szCs w:val="22"/>
        </w:rPr>
      </w:pPr>
      <w:r w:rsidRPr="000D4995">
        <w:rPr>
          <w:rFonts w:ascii="Palatino Linotype" w:hAnsi="Palatino Linotype"/>
          <w:b/>
          <w:i/>
          <w:sz w:val="22"/>
          <w:szCs w:val="22"/>
        </w:rPr>
        <w:t>Artículo 82.</w:t>
      </w:r>
      <w:r w:rsidRPr="000D4995">
        <w:rPr>
          <w:rFonts w:ascii="Palatino Linotype" w:hAnsi="Palatino Linotype"/>
          <w:i/>
          <w:sz w:val="22"/>
          <w:szCs w:val="22"/>
        </w:rPr>
        <w:t xml:space="preserve"> El Instituto, además de las atribuciones encomendadas por la Ley de Transparencia y normatividad aplicable, tendrá las atribuciones siguientes:</w:t>
      </w:r>
    </w:p>
    <w:p w14:paraId="1880ECE4" w14:textId="77777777" w:rsidR="00D65FA9" w:rsidRPr="000D4995" w:rsidRDefault="00D65FA9" w:rsidP="00D65FA9">
      <w:pPr>
        <w:pStyle w:val="Prrafodelista"/>
        <w:widowControl w:val="0"/>
        <w:autoSpaceDE w:val="0"/>
        <w:autoSpaceDN w:val="0"/>
        <w:adjustRightInd w:val="0"/>
        <w:spacing w:before="240" w:after="160" w:line="360" w:lineRule="auto"/>
        <w:ind w:left="851" w:right="851"/>
        <w:jc w:val="both"/>
        <w:rPr>
          <w:rFonts w:ascii="Palatino Linotype" w:hAnsi="Palatino Linotype"/>
          <w:b/>
          <w:i/>
          <w:sz w:val="22"/>
          <w:szCs w:val="22"/>
        </w:rPr>
      </w:pPr>
      <w:r w:rsidRPr="000D4995">
        <w:rPr>
          <w:rFonts w:ascii="Palatino Linotype" w:hAnsi="Palatino Linotype"/>
          <w:b/>
          <w:i/>
          <w:sz w:val="22"/>
          <w:szCs w:val="22"/>
        </w:rPr>
        <w:t>(…)</w:t>
      </w:r>
    </w:p>
    <w:p w14:paraId="250CA894" w14:textId="77777777" w:rsidR="00D65FA9" w:rsidRPr="000D4995" w:rsidRDefault="00D65FA9" w:rsidP="00D65FA9">
      <w:pPr>
        <w:pStyle w:val="Prrafodelista"/>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0D4995">
        <w:rPr>
          <w:rFonts w:ascii="Palatino Linotype" w:hAnsi="Palatino Linotype"/>
          <w:b/>
          <w:i/>
          <w:sz w:val="22"/>
          <w:szCs w:val="22"/>
        </w:rPr>
        <w:t>XXVIII.</w:t>
      </w:r>
      <w:r w:rsidRPr="000D4995">
        <w:rPr>
          <w:rFonts w:ascii="Palatino Linotype" w:hAnsi="Palatino Linotype"/>
          <w:i/>
          <w:sz w:val="22"/>
          <w:szCs w:val="22"/>
        </w:rPr>
        <w:t xml:space="preserve"> Procurar la conciliación entre las autoridades y los titulares de los datos personales en cualquier momento del procedimiento del Recurso de Revisión y en su caso, verificar el cumplimiento del acuerdo respectivo.</w:t>
      </w:r>
    </w:p>
    <w:p w14:paraId="71AC0B5E" w14:textId="77777777" w:rsidR="00D65FA9" w:rsidRPr="000D4995" w:rsidRDefault="00D65FA9" w:rsidP="00D65FA9">
      <w:pPr>
        <w:pStyle w:val="Prrafodelista"/>
        <w:widowControl w:val="0"/>
        <w:autoSpaceDE w:val="0"/>
        <w:autoSpaceDN w:val="0"/>
        <w:adjustRightInd w:val="0"/>
        <w:spacing w:before="240" w:after="160" w:line="360" w:lineRule="auto"/>
        <w:ind w:left="851" w:right="851"/>
        <w:jc w:val="both"/>
        <w:rPr>
          <w:rFonts w:ascii="Palatino Linotype" w:hAnsi="Palatino Linotype"/>
          <w:b/>
          <w:i/>
          <w:sz w:val="22"/>
          <w:szCs w:val="22"/>
        </w:rPr>
      </w:pPr>
      <w:r w:rsidRPr="000D4995">
        <w:rPr>
          <w:rFonts w:ascii="Palatino Linotype" w:hAnsi="Palatino Linotype"/>
          <w:b/>
          <w:i/>
          <w:sz w:val="22"/>
          <w:szCs w:val="22"/>
        </w:rPr>
        <w:t xml:space="preserve">De la conciliación </w:t>
      </w:r>
    </w:p>
    <w:p w14:paraId="703D1649" w14:textId="77777777" w:rsidR="00D65FA9" w:rsidRPr="000D4995" w:rsidRDefault="00D65FA9" w:rsidP="00D65FA9">
      <w:pPr>
        <w:pStyle w:val="Prrafodelista"/>
        <w:widowControl w:val="0"/>
        <w:autoSpaceDE w:val="0"/>
        <w:autoSpaceDN w:val="0"/>
        <w:adjustRightInd w:val="0"/>
        <w:spacing w:before="240" w:after="160" w:line="360" w:lineRule="auto"/>
        <w:ind w:left="851" w:right="851"/>
        <w:jc w:val="both"/>
        <w:rPr>
          <w:rFonts w:ascii="Palatino Linotype" w:hAnsi="Palatino Linotype" w:cs="Arial"/>
          <w:b/>
          <w:i/>
          <w:sz w:val="22"/>
          <w:szCs w:val="22"/>
        </w:rPr>
      </w:pPr>
      <w:r w:rsidRPr="000D4995">
        <w:rPr>
          <w:rFonts w:ascii="Palatino Linotype" w:hAnsi="Palatino Linotype"/>
          <w:b/>
          <w:i/>
          <w:sz w:val="22"/>
          <w:szCs w:val="22"/>
        </w:rPr>
        <w:t>Artículo 131.</w:t>
      </w:r>
      <w:r w:rsidRPr="000D4995">
        <w:rPr>
          <w:rFonts w:ascii="Palatino Linotype" w:hAnsi="Palatino Linotype"/>
          <w:i/>
          <w:sz w:val="22"/>
          <w:szCs w:val="22"/>
        </w:rPr>
        <w:t xml:space="preserve"> Una vez admitido el recurso de revisión, el Instituto podrá buscar una conciliación entre el titular y el responsable. De llegar a un acuerdo, éste se hará constar por escrito y tendrá efectos vinculantes. El recurso de revisión quedará sin materia y el Instituto deberá verificar el cumplimiento del acuerdo respectivo.” </w:t>
      </w:r>
      <w:r w:rsidRPr="000D4995">
        <w:rPr>
          <w:rFonts w:ascii="Palatino Linotype" w:hAnsi="Palatino Linotype"/>
          <w:b/>
          <w:i/>
          <w:sz w:val="22"/>
          <w:szCs w:val="22"/>
        </w:rPr>
        <w:t>[Sic]</w:t>
      </w:r>
    </w:p>
    <w:p w14:paraId="2BB7B165" w14:textId="77777777" w:rsidR="008822BE" w:rsidRDefault="008822BE"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p>
    <w:p w14:paraId="728CDDC9" w14:textId="0873B482" w:rsidR="00D65FA9" w:rsidRPr="00300C48" w:rsidRDefault="00D65FA9"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r>
        <w:rPr>
          <w:rFonts w:ascii="Palatino Linotype" w:hAnsi="Palatino Linotype" w:cs="Arial"/>
        </w:rPr>
        <w:t xml:space="preserve">Derivado de lo anterior, </w:t>
      </w:r>
      <w:r w:rsidR="000B2D41">
        <w:rPr>
          <w:rFonts w:ascii="Palatino Linotype" w:hAnsi="Palatino Linotype" w:cs="Arial"/>
        </w:rPr>
        <w:t>con</w:t>
      </w:r>
      <w:r>
        <w:rPr>
          <w:rFonts w:ascii="Palatino Linotype" w:hAnsi="Palatino Linotype" w:cs="Arial"/>
        </w:rPr>
        <w:t xml:space="preserve"> referencia</w:t>
      </w:r>
      <w:r w:rsidRPr="00300C48">
        <w:rPr>
          <w:rFonts w:ascii="Palatino Linotype" w:hAnsi="Palatino Linotype" w:cs="Arial"/>
        </w:rPr>
        <w:t xml:space="preserve"> al procedimiento de conciliación, </w:t>
      </w:r>
      <w:r>
        <w:rPr>
          <w:rFonts w:ascii="Palatino Linotype" w:hAnsi="Palatino Linotype" w:cs="Arial"/>
        </w:rPr>
        <w:t>se precisan las siguientes consideraciones:</w:t>
      </w:r>
      <w:r w:rsidRPr="00300C48">
        <w:rPr>
          <w:rFonts w:ascii="Palatino Linotype" w:hAnsi="Palatino Linotype" w:cs="Arial"/>
        </w:rPr>
        <w:t xml:space="preserve"> </w:t>
      </w:r>
    </w:p>
    <w:p w14:paraId="319AF5C9" w14:textId="47F06E00" w:rsidR="00D65FA9" w:rsidRPr="00300C48" w:rsidRDefault="008822BE" w:rsidP="000B2D41">
      <w:pPr>
        <w:pStyle w:val="Prrafodelista"/>
        <w:widowControl w:val="0"/>
        <w:numPr>
          <w:ilvl w:val="0"/>
          <w:numId w:val="39"/>
        </w:numPr>
        <w:autoSpaceDE w:val="0"/>
        <w:autoSpaceDN w:val="0"/>
        <w:adjustRightInd w:val="0"/>
        <w:spacing w:before="240" w:after="240" w:line="360" w:lineRule="auto"/>
        <w:ind w:right="49"/>
        <w:jc w:val="both"/>
        <w:rPr>
          <w:rFonts w:ascii="Palatino Linotype" w:hAnsi="Palatino Linotype" w:cs="Arial"/>
        </w:rPr>
      </w:pPr>
      <w:r>
        <w:rPr>
          <w:rFonts w:ascii="Palatino Linotype" w:hAnsi="Palatino Linotype" w:cs="Arial"/>
        </w:rPr>
        <w:t xml:space="preserve">Que en el expediente electrónico del </w:t>
      </w:r>
      <w:r>
        <w:rPr>
          <w:rFonts w:ascii="Palatino Linotype" w:hAnsi="Palatino Linotype" w:cs="Arial"/>
          <w:b/>
        </w:rPr>
        <w:t xml:space="preserve">SARCOEM </w:t>
      </w:r>
      <w:r>
        <w:rPr>
          <w:rFonts w:ascii="Palatino Linotype" w:hAnsi="Palatino Linotype" w:cs="Arial"/>
        </w:rPr>
        <w:t xml:space="preserve">se advierte que las partes manifestaron su voluntad para celebrar la audiencia de conciliación. </w:t>
      </w:r>
    </w:p>
    <w:p w14:paraId="4388E8FE" w14:textId="0BD05E30" w:rsidR="00D65FA9" w:rsidRDefault="008822BE" w:rsidP="000B2D41">
      <w:pPr>
        <w:pStyle w:val="Prrafodelista"/>
        <w:widowControl w:val="0"/>
        <w:numPr>
          <w:ilvl w:val="0"/>
          <w:numId w:val="39"/>
        </w:numPr>
        <w:autoSpaceDE w:val="0"/>
        <w:autoSpaceDN w:val="0"/>
        <w:adjustRightInd w:val="0"/>
        <w:spacing w:before="240" w:after="240" w:line="360" w:lineRule="auto"/>
        <w:ind w:right="49"/>
        <w:jc w:val="both"/>
        <w:rPr>
          <w:rFonts w:ascii="Palatino Linotype" w:hAnsi="Palatino Linotype" w:cs="Arial"/>
        </w:rPr>
      </w:pPr>
      <w:r w:rsidRPr="009733FF">
        <w:rPr>
          <w:rFonts w:ascii="Palatino Linotype" w:hAnsi="Palatino Linotype" w:cs="Arial"/>
        </w:rPr>
        <w:t xml:space="preserve">Que mediante acuerdo de fecha </w:t>
      </w:r>
      <w:r w:rsidR="009733FF" w:rsidRPr="009733FF">
        <w:rPr>
          <w:rFonts w:ascii="Palatino Linotype" w:hAnsi="Palatino Linotype" w:cs="Arial"/>
          <w:color w:val="000000"/>
          <w:lang w:eastAsia="es-MX"/>
        </w:rPr>
        <w:t xml:space="preserve">diecisiete de mayo de dos mil veintiuno, la Comisionada Ponente </w:t>
      </w:r>
      <w:r w:rsidR="009733FF" w:rsidRPr="009733FF">
        <w:rPr>
          <w:rFonts w:ascii="Palatino Linotype" w:hAnsi="Palatino Linotype" w:cs="Arial"/>
        </w:rPr>
        <w:t xml:space="preserve">emitió el </w:t>
      </w:r>
      <w:r w:rsidR="009733FF" w:rsidRPr="009733FF">
        <w:rPr>
          <w:rFonts w:ascii="Palatino Linotype" w:hAnsi="Palatino Linotype" w:cs="Arial"/>
          <w:b/>
        </w:rPr>
        <w:t xml:space="preserve">Acuerdo para señalar día, hora y lugar para la audiencia de la celebración de conciliación, </w:t>
      </w:r>
      <w:r w:rsidR="009733FF" w:rsidRPr="009733FF">
        <w:rPr>
          <w:rFonts w:ascii="Palatino Linotype" w:hAnsi="Palatino Linotype" w:cs="Arial"/>
        </w:rPr>
        <w:t xml:space="preserve">en el cual se estableció la </w:t>
      </w:r>
      <w:r w:rsidR="009733FF" w:rsidRPr="009733FF">
        <w:rPr>
          <w:rFonts w:ascii="Palatino Linotype" w:hAnsi="Palatino Linotype" w:cs="Arial"/>
        </w:rPr>
        <w:lastRenderedPageBreak/>
        <w:t>audiencia de conciliación el día viernes (21) de mayo de dos mil veintiuno a las 10:30 horas</w:t>
      </w:r>
      <w:r w:rsidR="009733FF">
        <w:rPr>
          <w:rFonts w:ascii="Palatino Linotype" w:hAnsi="Palatino Linotype" w:cs="Arial"/>
        </w:rPr>
        <w:t>.</w:t>
      </w:r>
    </w:p>
    <w:p w14:paraId="53BA18B3" w14:textId="770ACCAA" w:rsidR="009733FF" w:rsidRDefault="009733FF" w:rsidP="000B2D41">
      <w:pPr>
        <w:pStyle w:val="Prrafodelista"/>
        <w:widowControl w:val="0"/>
        <w:numPr>
          <w:ilvl w:val="0"/>
          <w:numId w:val="39"/>
        </w:numPr>
        <w:autoSpaceDE w:val="0"/>
        <w:autoSpaceDN w:val="0"/>
        <w:adjustRightInd w:val="0"/>
        <w:spacing w:before="240" w:after="240" w:line="360" w:lineRule="auto"/>
        <w:ind w:right="49"/>
        <w:jc w:val="both"/>
        <w:rPr>
          <w:rFonts w:ascii="Palatino Linotype" w:hAnsi="Palatino Linotype" w:cs="Arial"/>
        </w:rPr>
      </w:pPr>
      <w:r>
        <w:rPr>
          <w:rFonts w:ascii="Palatino Linotype" w:hAnsi="Palatino Linotype" w:cs="Arial"/>
        </w:rPr>
        <w:t xml:space="preserve">Que la audiencia se conciliación fue celebrada en la fecha y hora fijados, sin embargo, no se contó con la asistencia del </w:t>
      </w:r>
      <w:r>
        <w:rPr>
          <w:rFonts w:ascii="Palatino Linotype" w:hAnsi="Palatino Linotype" w:cs="Arial"/>
          <w:b/>
        </w:rPr>
        <w:t xml:space="preserve">Recurrente, </w:t>
      </w:r>
      <w:r>
        <w:rPr>
          <w:rFonts w:ascii="Palatino Linotype" w:hAnsi="Palatino Linotype" w:cs="Arial"/>
        </w:rPr>
        <w:t xml:space="preserve">el cual fue prevenido con fundamento en el numeral </w:t>
      </w:r>
      <w:r w:rsidR="000B2D41">
        <w:rPr>
          <w:rFonts w:ascii="Palatino Linotype" w:hAnsi="Palatino Linotype" w:cs="Arial"/>
        </w:rPr>
        <w:t xml:space="preserve">132, fracción III de la Ley aplicable, asimismo, al no desahogar la justificación de audiencia se procedió a la apertura de </w:t>
      </w:r>
      <w:r w:rsidR="0010213B">
        <w:rPr>
          <w:rFonts w:ascii="Palatino Linotype" w:hAnsi="Palatino Linotype" w:cs="Arial"/>
        </w:rPr>
        <w:t xml:space="preserve">la etapa de </w:t>
      </w:r>
      <w:r w:rsidR="000B2D41">
        <w:rPr>
          <w:rFonts w:ascii="Palatino Linotype" w:hAnsi="Palatino Linotype" w:cs="Arial"/>
        </w:rPr>
        <w:t xml:space="preserve">manifestaciones. </w:t>
      </w:r>
    </w:p>
    <w:p w14:paraId="0FCE9AFE" w14:textId="77777777" w:rsidR="000B2D41" w:rsidRDefault="000B2D41" w:rsidP="000B2D41">
      <w:pPr>
        <w:widowControl w:val="0"/>
        <w:autoSpaceDE w:val="0"/>
        <w:autoSpaceDN w:val="0"/>
        <w:adjustRightInd w:val="0"/>
        <w:spacing w:before="240" w:after="240" w:line="360" w:lineRule="auto"/>
        <w:ind w:right="49"/>
        <w:jc w:val="both"/>
        <w:rPr>
          <w:rFonts w:ascii="Palatino Linotype" w:hAnsi="Palatino Linotype" w:cs="Arial"/>
        </w:rPr>
      </w:pPr>
    </w:p>
    <w:p w14:paraId="4E42CBE8" w14:textId="3B1792FB" w:rsidR="000B2D41" w:rsidRPr="0010213B" w:rsidRDefault="000B2D41" w:rsidP="000B2D41">
      <w:pPr>
        <w:widowControl w:val="0"/>
        <w:autoSpaceDE w:val="0"/>
        <w:autoSpaceDN w:val="0"/>
        <w:adjustRightInd w:val="0"/>
        <w:spacing w:before="240" w:after="240" w:line="360" w:lineRule="auto"/>
        <w:ind w:right="49"/>
        <w:jc w:val="both"/>
        <w:rPr>
          <w:rFonts w:ascii="Palatino Linotype" w:eastAsia="Times New Roman" w:hAnsi="Palatino Linotype" w:cs="Arial"/>
          <w:b/>
          <w:sz w:val="24"/>
          <w:szCs w:val="24"/>
          <w:lang w:val="es-ES" w:eastAsia="es-ES"/>
        </w:rPr>
      </w:pPr>
      <w:r w:rsidRPr="0010213B">
        <w:rPr>
          <w:rFonts w:ascii="Palatino Linotype" w:hAnsi="Palatino Linotype" w:cs="Arial"/>
          <w:sz w:val="24"/>
          <w:szCs w:val="24"/>
        </w:rPr>
        <w:t xml:space="preserve">En este orden de ideas, </w:t>
      </w:r>
      <w:r w:rsidRPr="0010213B">
        <w:rPr>
          <w:rFonts w:ascii="Palatino Linotype" w:hAnsi="Palatino Linotype" w:cs="Arial"/>
          <w:b/>
          <w:sz w:val="24"/>
          <w:szCs w:val="24"/>
        </w:rPr>
        <w:t xml:space="preserve">El Sujeto Obligado </w:t>
      </w:r>
      <w:r w:rsidRPr="0010213B">
        <w:rPr>
          <w:rFonts w:ascii="Palatino Linotype" w:hAnsi="Palatino Linotype" w:cs="Arial"/>
          <w:sz w:val="24"/>
          <w:szCs w:val="24"/>
        </w:rPr>
        <w:t>rindió su informe justificado, remitiendo en tiempo y forma la siguiente información:</w:t>
      </w:r>
      <w:r w:rsidRPr="0010213B">
        <w:rPr>
          <w:rFonts w:ascii="Palatino Linotype" w:eastAsia="Times New Roman" w:hAnsi="Palatino Linotype" w:cs="Arial"/>
          <w:b/>
          <w:sz w:val="24"/>
          <w:szCs w:val="24"/>
          <w:lang w:val="es-ES" w:eastAsia="es-ES"/>
        </w:rPr>
        <w:t xml:space="preserve"> </w:t>
      </w:r>
    </w:p>
    <w:p w14:paraId="7DBF9DD9" w14:textId="0AAB8CD2" w:rsidR="000B2D41" w:rsidRPr="000B2D41" w:rsidRDefault="000B2D41" w:rsidP="000B2D41">
      <w:pPr>
        <w:pStyle w:val="Prrafodelista"/>
        <w:widowControl w:val="0"/>
        <w:numPr>
          <w:ilvl w:val="0"/>
          <w:numId w:val="40"/>
        </w:numPr>
        <w:autoSpaceDE w:val="0"/>
        <w:autoSpaceDN w:val="0"/>
        <w:adjustRightInd w:val="0"/>
        <w:spacing w:before="240" w:after="240" w:line="360" w:lineRule="auto"/>
        <w:ind w:right="49"/>
        <w:jc w:val="both"/>
        <w:rPr>
          <w:rFonts w:ascii="Palatino Linotype" w:hAnsi="Palatino Linotype" w:cs="Arial"/>
          <w:b/>
        </w:rPr>
      </w:pPr>
      <w:r>
        <w:rPr>
          <w:rFonts w:ascii="Palatino Linotype" w:hAnsi="Palatino Linotype" w:cs="Arial"/>
          <w:b/>
        </w:rPr>
        <w:t>“</w:t>
      </w:r>
      <w:r w:rsidR="000C5BDA">
        <w:rPr>
          <w:rFonts w:ascii="Palatino Linotype" w:hAnsi="Palatino Linotype" w:cs="Arial"/>
          <w:b/>
        </w:rPr>
        <w:t xml:space="preserve">CUMPLIMIENTO A LA RESOLUCION0002350A (1) SARCOEM.doc”: </w:t>
      </w:r>
      <w:r w:rsidR="000C5BDA">
        <w:rPr>
          <w:rFonts w:ascii="Palatino Linotype" w:hAnsi="Palatino Linotype" w:cs="Arial"/>
        </w:rPr>
        <w:t xml:space="preserve">Informe justificado, en lo medular </w:t>
      </w:r>
      <w:r w:rsidR="000C5BDA">
        <w:rPr>
          <w:rFonts w:ascii="Palatino Linotype" w:hAnsi="Palatino Linotype" w:cs="Arial"/>
          <w:b/>
        </w:rPr>
        <w:t xml:space="preserve">El Sujeto Obligado </w:t>
      </w:r>
      <w:r w:rsidR="000C5BDA">
        <w:rPr>
          <w:rFonts w:ascii="Palatino Linotype" w:hAnsi="Palatino Linotype" w:cs="Arial"/>
        </w:rPr>
        <w:t xml:space="preserve">refiere que la información requerida consiste en 2 –dos- fojas, </w:t>
      </w:r>
      <w:r w:rsidR="00B57749">
        <w:rPr>
          <w:rFonts w:ascii="Palatino Linotype" w:hAnsi="Palatino Linotype" w:cs="Arial"/>
        </w:rPr>
        <w:t xml:space="preserve">asimismo, por un error involuntario en la respuesta primigenia no se notificó el procedimiento exacto y detallado para la expedición de las copias certificadas, no obstante lo hace del conocimiento del particular. </w:t>
      </w:r>
    </w:p>
    <w:p w14:paraId="058E937F" w14:textId="77777777" w:rsidR="0010213B" w:rsidRDefault="0010213B" w:rsidP="002C35A9">
      <w:pPr>
        <w:spacing w:line="360" w:lineRule="auto"/>
        <w:jc w:val="both"/>
        <w:rPr>
          <w:rFonts w:ascii="Palatino Linotype" w:hAnsi="Palatino Linotype" w:cs="Arial"/>
          <w:sz w:val="24"/>
          <w:szCs w:val="24"/>
        </w:rPr>
      </w:pPr>
    </w:p>
    <w:p w14:paraId="4FA58B31" w14:textId="77777777" w:rsidR="00986697" w:rsidRPr="00B42834" w:rsidRDefault="00986697" w:rsidP="00986697">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otra parte, </w:t>
      </w:r>
      <w:r w:rsidRPr="00B42834">
        <w:rPr>
          <w:rFonts w:ascii="Palatino Linotype" w:hAnsi="Palatino Linotype" w:cs="Arial"/>
          <w:sz w:val="24"/>
          <w:szCs w:val="24"/>
        </w:rPr>
        <w:t xml:space="preserve">para que se tenga por desistido bastará con que </w:t>
      </w:r>
      <w:r w:rsidRPr="00B42834">
        <w:rPr>
          <w:rFonts w:ascii="Palatino Linotype" w:hAnsi="Palatino Linotype" w:cs="Arial"/>
          <w:b/>
          <w:sz w:val="24"/>
          <w:szCs w:val="24"/>
        </w:rPr>
        <w:t>El Recurrente</w:t>
      </w:r>
      <w:r w:rsidRPr="00B42834">
        <w:rPr>
          <w:rFonts w:ascii="Palatino Linotype" w:hAnsi="Palatino Linotype" w:cs="Arial"/>
          <w:sz w:val="24"/>
          <w:szCs w:val="24"/>
        </w:rPr>
        <w:t xml:space="preserve"> expresamente se desista del recurso de revisión promovido, lo cual es a evidente que se actualiza en el presente asunto, tal y como se muestra en la siguiente imagen ilustrativa: </w:t>
      </w:r>
    </w:p>
    <w:p w14:paraId="342C8807" w14:textId="0DBE5D1F" w:rsidR="00986697" w:rsidRDefault="00A41C0C" w:rsidP="002C35A9">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713E39CF" wp14:editId="176A0233">
            <wp:extent cx="5667375" cy="376217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5952" cy="3767866"/>
                    </a:xfrm>
                    <a:prstGeom prst="rect">
                      <a:avLst/>
                    </a:prstGeom>
                    <a:noFill/>
                    <a:ln>
                      <a:noFill/>
                    </a:ln>
                  </pic:spPr>
                </pic:pic>
              </a:graphicData>
            </a:graphic>
          </wp:inline>
        </w:drawing>
      </w:r>
    </w:p>
    <w:p w14:paraId="4CE4ABB5" w14:textId="4985F671" w:rsidR="00986697" w:rsidRDefault="00986697" w:rsidP="002C35A9">
      <w:pPr>
        <w:spacing w:line="360" w:lineRule="auto"/>
        <w:jc w:val="both"/>
        <w:rPr>
          <w:rFonts w:ascii="Palatino Linotype" w:hAnsi="Palatino Linotype" w:cs="Arial"/>
          <w:sz w:val="24"/>
          <w:szCs w:val="24"/>
        </w:rPr>
      </w:pPr>
    </w:p>
    <w:p w14:paraId="7B9C1717" w14:textId="3C545A01" w:rsidR="00986697" w:rsidRDefault="00986697" w:rsidP="002C35A9">
      <w:pPr>
        <w:spacing w:line="360" w:lineRule="auto"/>
        <w:jc w:val="both"/>
        <w:rPr>
          <w:rFonts w:ascii="Palatino Linotype" w:hAnsi="Palatino Linotype" w:cs="Arial"/>
          <w:sz w:val="24"/>
          <w:szCs w:val="24"/>
        </w:rPr>
      </w:pPr>
      <w:r>
        <w:rPr>
          <w:rFonts w:ascii="Palatino Linotype" w:hAnsi="Palatino Linotype" w:cs="Arial"/>
          <w:sz w:val="24"/>
          <w:szCs w:val="24"/>
        </w:rPr>
        <w:t xml:space="preserve">Manifestando para tales efectos lo siguiente: </w:t>
      </w:r>
    </w:p>
    <w:p w14:paraId="58A0D6E4" w14:textId="77777777" w:rsidR="00986697" w:rsidRPr="00986697" w:rsidRDefault="00986697" w:rsidP="00986697">
      <w:pPr>
        <w:pStyle w:val="INFOEM"/>
        <w:rPr>
          <w:b/>
          <w:sz w:val="24"/>
          <w:szCs w:val="24"/>
        </w:rPr>
      </w:pPr>
      <w:r>
        <w:t xml:space="preserve">“El sujeto obligado ha subsanado las irregularidades que fueron el sustento para la presentación del recurso de revisión que nos ocupa.” </w:t>
      </w:r>
      <w:r>
        <w:rPr>
          <w:b/>
        </w:rPr>
        <w:t xml:space="preserve">[Sic] </w:t>
      </w:r>
    </w:p>
    <w:p w14:paraId="36AB83C0" w14:textId="77777777" w:rsidR="00986697" w:rsidRDefault="00986697" w:rsidP="002C35A9">
      <w:pPr>
        <w:spacing w:line="360" w:lineRule="auto"/>
        <w:jc w:val="both"/>
        <w:rPr>
          <w:rFonts w:ascii="Palatino Linotype" w:hAnsi="Palatino Linotype" w:cs="Arial"/>
          <w:sz w:val="24"/>
          <w:szCs w:val="24"/>
        </w:rPr>
      </w:pPr>
      <w:bookmarkStart w:id="0" w:name="_GoBack"/>
      <w:bookmarkEnd w:id="0"/>
    </w:p>
    <w:p w14:paraId="0174D57B" w14:textId="77777777" w:rsidR="00986697" w:rsidRDefault="00986697" w:rsidP="00986697">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En ese orden de ideas, se entiende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Recurrente</w:t>
      </w:r>
      <w:r w:rsidRPr="007E7B66">
        <w:rPr>
          <w:rFonts w:ascii="Palatino Linotype" w:hAnsi="Palatino Linotype" w:cs="Arial"/>
          <w:sz w:val="24"/>
          <w:szCs w:val="24"/>
        </w:rPr>
        <w:t>,</w:t>
      </w:r>
      <w:r>
        <w:rPr>
          <w:rFonts w:ascii="Palatino Linotype" w:hAnsi="Palatino Linotype" w:cs="Arial"/>
          <w:b/>
          <w:sz w:val="24"/>
          <w:szCs w:val="24"/>
        </w:rPr>
        <w:t xml:space="preserve"> </w:t>
      </w:r>
      <w:r>
        <w:rPr>
          <w:rFonts w:ascii="Palatino Linotype" w:hAnsi="Palatino Linotype" w:cs="Arial"/>
          <w:sz w:val="24"/>
          <w:szCs w:val="24"/>
        </w:rPr>
        <w:t xml:space="preserve">de propia voluntad, sin existir coacción o dolo, en ejercicio de sus derechos, se desiste del recurso en que se actúa, por lo que se procede a la valoración, respecto de si el desistimiento cumple con lo </w:t>
      </w:r>
      <w:r>
        <w:rPr>
          <w:rFonts w:ascii="Palatino Linotype" w:hAnsi="Palatino Linotype" w:cs="Arial"/>
          <w:sz w:val="24"/>
          <w:szCs w:val="24"/>
        </w:rPr>
        <w:lastRenderedPageBreak/>
        <w:t>establecido en la fracción</w:t>
      </w:r>
      <w:r w:rsidRPr="00B42834">
        <w:rPr>
          <w:rFonts w:ascii="Palatino Linotype" w:hAnsi="Palatino Linotype" w:cs="Arial"/>
          <w:b/>
          <w:sz w:val="24"/>
          <w:szCs w:val="24"/>
        </w:rPr>
        <w:t xml:space="preserve"> I</w:t>
      </w:r>
      <w:r>
        <w:rPr>
          <w:rFonts w:ascii="Palatino Linotype" w:hAnsi="Palatino Linotype" w:cs="Arial"/>
          <w:sz w:val="24"/>
          <w:szCs w:val="24"/>
        </w:rPr>
        <w:t xml:space="preserve"> del artículo </w:t>
      </w:r>
      <w:r w:rsidRPr="00B42834">
        <w:rPr>
          <w:rFonts w:ascii="Palatino Linotype" w:hAnsi="Palatino Linotype" w:cs="Arial"/>
          <w:b/>
          <w:sz w:val="24"/>
          <w:szCs w:val="24"/>
        </w:rPr>
        <w:t>192</w:t>
      </w:r>
      <w:r>
        <w:rPr>
          <w:rFonts w:ascii="Palatino Linotype" w:hAnsi="Palatino Linotype" w:cs="Arial"/>
          <w:sz w:val="24"/>
          <w:szCs w:val="24"/>
        </w:rPr>
        <w:t xml:space="preserve"> de la Ley de Transparencia y Acceso a la Información Pública del Estado de México y Municipios.</w:t>
      </w:r>
    </w:p>
    <w:p w14:paraId="7A2E851B" w14:textId="77777777" w:rsidR="00986697" w:rsidRDefault="00986697" w:rsidP="00986697">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En primer lugar, habrá que señalarse que el desistimiento, es la </w:t>
      </w:r>
      <w:r w:rsidRPr="00D9640C">
        <w:rPr>
          <w:rFonts w:ascii="Palatino Linotype" w:hAnsi="Palatino Linotype" w:cs="Arial"/>
          <w:sz w:val="24"/>
          <w:szCs w:val="24"/>
        </w:rPr>
        <w:t>terminación anormal de un proceso, por el que el actor manifiesta su voluntad de abandonar su pretensión</w:t>
      </w:r>
      <w:r>
        <w:rPr>
          <w:rFonts w:ascii="Palatino Linotype" w:hAnsi="Palatino Linotype" w:cs="Arial"/>
          <w:sz w:val="24"/>
          <w:szCs w:val="24"/>
        </w:rPr>
        <w:t xml:space="preserve">; lo que en el caso concreto, ha de entenderse como la renuncia que hace </w:t>
      </w:r>
      <w:r w:rsidRPr="00B42834">
        <w:rPr>
          <w:rFonts w:ascii="Palatino Linotype" w:hAnsi="Palatino Linotype" w:cs="Arial"/>
          <w:b/>
          <w:sz w:val="24"/>
          <w:szCs w:val="24"/>
        </w:rPr>
        <w:t>El</w:t>
      </w:r>
      <w:r>
        <w:rPr>
          <w:rFonts w:ascii="Palatino Linotype" w:hAnsi="Palatino Linotype" w:cs="Arial"/>
          <w:sz w:val="24"/>
          <w:szCs w:val="24"/>
        </w:rPr>
        <w:t xml:space="preserve"> </w:t>
      </w:r>
      <w:r w:rsidRPr="000A2F81">
        <w:rPr>
          <w:rFonts w:ascii="Palatino Linotype" w:hAnsi="Palatino Linotype" w:cs="Arial"/>
          <w:b/>
          <w:sz w:val="24"/>
          <w:szCs w:val="24"/>
        </w:rPr>
        <w:t>Recurrente</w:t>
      </w:r>
      <w:r>
        <w:rPr>
          <w:rFonts w:ascii="Palatino Linotype" w:hAnsi="Palatino Linotype" w:cs="Arial"/>
          <w:sz w:val="24"/>
          <w:szCs w:val="24"/>
        </w:rPr>
        <w:t xml:space="preserve"> a la pretensión procesal que dio origen al recurso, ocasionando la culminación del mismo. Se precisa que no existe momento procesal alguno para realizarlo, por lo que el mismo se podrá interponer en cualquier momento.</w:t>
      </w:r>
    </w:p>
    <w:p w14:paraId="65B54A34" w14:textId="0BC3E2D1" w:rsidR="00986697" w:rsidRPr="009639FB" w:rsidRDefault="00986697" w:rsidP="00986697">
      <w:pPr>
        <w:tabs>
          <w:tab w:val="left" w:pos="709"/>
        </w:tabs>
        <w:spacing w:before="240" w:after="240" w:line="360" w:lineRule="auto"/>
        <w:jc w:val="both"/>
        <w:rPr>
          <w:rFonts w:ascii="Palatino Linotype" w:hAnsi="Palatino Linotype" w:cs="Arial"/>
          <w:b/>
          <w:sz w:val="24"/>
          <w:szCs w:val="24"/>
        </w:rPr>
      </w:pPr>
      <w:r>
        <w:rPr>
          <w:rFonts w:ascii="Palatino Linotype" w:hAnsi="Palatino Linotype" w:cs="Arial"/>
          <w:sz w:val="24"/>
          <w:szCs w:val="24"/>
        </w:rPr>
        <w:t xml:space="preserve">En ese tenor de ideas, </w:t>
      </w:r>
      <w:r>
        <w:rPr>
          <w:rFonts w:ascii="Palatino Linotype" w:hAnsi="Palatino Linotype" w:cs="Arial"/>
          <w:b/>
          <w:sz w:val="24"/>
          <w:szCs w:val="24"/>
        </w:rPr>
        <w:t xml:space="preserve">El Recurrente </w:t>
      </w:r>
      <w:r>
        <w:rPr>
          <w:rFonts w:ascii="Palatino Linotype" w:hAnsi="Palatino Linotype" w:cs="Arial"/>
          <w:sz w:val="24"/>
          <w:szCs w:val="24"/>
        </w:rPr>
        <w:t>con la legitimación activa</w:t>
      </w:r>
      <w:r>
        <w:rPr>
          <w:rStyle w:val="Refdenotaalpie"/>
          <w:rFonts w:ascii="Palatino Linotype" w:hAnsi="Palatino Linotype" w:cs="Arial"/>
          <w:sz w:val="24"/>
          <w:szCs w:val="24"/>
        </w:rPr>
        <w:footnoteReference w:id="2"/>
      </w:r>
      <w:r>
        <w:rPr>
          <w:rFonts w:ascii="Palatino Linotype" w:hAnsi="Palatino Linotype" w:cs="Arial"/>
          <w:sz w:val="24"/>
          <w:szCs w:val="24"/>
        </w:rPr>
        <w:t xml:space="preserve"> que debidamente se tiene acreditada en autos, es la misma persona que realizó la solicitud de acceso a datos personales número </w:t>
      </w:r>
      <w:r>
        <w:rPr>
          <w:rFonts w:ascii="Palatino Linotype" w:hAnsi="Palatino Linotype" w:cs="Arial"/>
          <w:b/>
          <w:sz w:val="24"/>
          <w:szCs w:val="24"/>
        </w:rPr>
        <w:t xml:space="preserve">00002/DIFEM/AD/2021, </w:t>
      </w:r>
      <w:r>
        <w:rPr>
          <w:rFonts w:ascii="Palatino Linotype" w:hAnsi="Palatino Linotype" w:cs="Arial"/>
          <w:sz w:val="24"/>
          <w:szCs w:val="24"/>
        </w:rPr>
        <w:t xml:space="preserve">y quien, posteriormente interpuso el presente recurso de revisión número </w:t>
      </w:r>
      <w:r>
        <w:rPr>
          <w:rFonts w:ascii="Palatino Linotype" w:hAnsi="Palatino Linotype" w:cs="Arial"/>
          <w:b/>
          <w:sz w:val="24"/>
          <w:szCs w:val="24"/>
        </w:rPr>
        <w:t xml:space="preserve">02350/INFOEM/AD/RR/2021, </w:t>
      </w:r>
      <w:r>
        <w:rPr>
          <w:rFonts w:ascii="Palatino Linotype" w:hAnsi="Palatino Linotype" w:cs="Arial"/>
          <w:sz w:val="24"/>
          <w:szCs w:val="24"/>
        </w:rPr>
        <w:t xml:space="preserve">en contra de la respuesta otorgada; todo esto, de conformidad con las actuaciones que obran en el expediente electrónico del </w:t>
      </w:r>
      <w:r>
        <w:rPr>
          <w:rFonts w:ascii="Palatino Linotype" w:hAnsi="Palatino Linotype" w:cs="Arial"/>
          <w:b/>
          <w:sz w:val="24"/>
          <w:szCs w:val="24"/>
        </w:rPr>
        <w:t xml:space="preserve">SARCOEM. </w:t>
      </w:r>
    </w:p>
    <w:p w14:paraId="76EC99C2" w14:textId="77777777" w:rsidR="00986697" w:rsidRPr="0074371B" w:rsidRDefault="00986697" w:rsidP="00986697">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lo anterior, es dable enfatizar que la figura del </w:t>
      </w:r>
      <w:r w:rsidRPr="0074371B">
        <w:rPr>
          <w:rFonts w:ascii="Palatino Linotype" w:hAnsi="Palatino Linotype" w:cs="Arial"/>
          <w:b/>
          <w:sz w:val="24"/>
          <w:szCs w:val="24"/>
        </w:rPr>
        <w:t>desistimiento</w:t>
      </w:r>
      <w:r w:rsidRPr="000A2F81">
        <w:rPr>
          <w:rFonts w:ascii="Palatino Linotype" w:hAnsi="Palatino Linotype" w:cs="Arial"/>
          <w:sz w:val="24"/>
          <w:szCs w:val="24"/>
        </w:rPr>
        <w:t>,</w:t>
      </w:r>
      <w:r w:rsidRPr="0074371B">
        <w:rPr>
          <w:rFonts w:ascii="Palatino Linotype" w:hAnsi="Palatino Linotype" w:cs="Arial"/>
          <w:b/>
          <w:sz w:val="24"/>
          <w:szCs w:val="24"/>
        </w:rPr>
        <w:t xml:space="preserve"> </w:t>
      </w:r>
      <w:r>
        <w:rPr>
          <w:rFonts w:ascii="Palatino Linotype" w:hAnsi="Palatino Linotype" w:cs="Arial"/>
          <w:sz w:val="24"/>
          <w:szCs w:val="24"/>
        </w:rPr>
        <w:t xml:space="preserve">tiene como finalidad la interrupción y terminación del procedimiento sin entrar al estudio, derivado de la existencia de la renuncia del </w:t>
      </w:r>
      <w:r w:rsidRPr="00392022">
        <w:rPr>
          <w:rFonts w:ascii="Palatino Linotype" w:hAnsi="Palatino Linotype" w:cs="Arial"/>
          <w:b/>
          <w:sz w:val="24"/>
          <w:szCs w:val="24"/>
        </w:rPr>
        <w:t>Recurrente</w:t>
      </w:r>
      <w:r>
        <w:rPr>
          <w:rFonts w:ascii="Palatino Linotype" w:hAnsi="Palatino Linotype" w:cs="Arial"/>
          <w:sz w:val="24"/>
          <w:szCs w:val="24"/>
        </w:rPr>
        <w:t xml:space="preserve"> a la sustanciación y resolución del </w:t>
      </w:r>
      <w:r>
        <w:rPr>
          <w:rFonts w:ascii="Palatino Linotype" w:hAnsi="Palatino Linotype" w:cs="Arial"/>
          <w:sz w:val="24"/>
          <w:szCs w:val="24"/>
        </w:rPr>
        <w:lastRenderedPageBreak/>
        <w:t>procedimiento; por lo que, con efectos vinculantes a la presente Resolución, dicho desistimiento debe quedar firme.</w:t>
      </w:r>
    </w:p>
    <w:p w14:paraId="6DD3A4C1" w14:textId="77777777" w:rsidR="00986697" w:rsidRPr="008A6A6A" w:rsidRDefault="00986697" w:rsidP="00986697">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En consecuencia, al actualizarse lo estipulado en la fracción </w:t>
      </w:r>
      <w:r w:rsidRPr="00B42834">
        <w:rPr>
          <w:rFonts w:ascii="Palatino Linotype" w:hAnsi="Palatino Linotype" w:cs="Arial"/>
          <w:b/>
          <w:sz w:val="24"/>
          <w:szCs w:val="24"/>
        </w:rPr>
        <w:t>I</w:t>
      </w:r>
      <w:r>
        <w:rPr>
          <w:rFonts w:ascii="Palatino Linotype" w:hAnsi="Palatino Linotype" w:cs="Arial"/>
          <w:sz w:val="24"/>
          <w:szCs w:val="24"/>
        </w:rPr>
        <w:t xml:space="preserve"> del artículo </w:t>
      </w:r>
      <w:r w:rsidRPr="00B42834">
        <w:rPr>
          <w:rFonts w:ascii="Palatino Linotype" w:hAnsi="Palatino Linotype" w:cs="Arial"/>
          <w:b/>
          <w:sz w:val="24"/>
          <w:szCs w:val="24"/>
        </w:rPr>
        <w:t>192</w:t>
      </w:r>
      <w:r>
        <w:rPr>
          <w:rFonts w:ascii="Palatino Linotype" w:hAnsi="Palatino Linotype" w:cs="Arial"/>
          <w:sz w:val="24"/>
          <w:szCs w:val="24"/>
        </w:rPr>
        <w:t xml:space="preserve"> de la Ley de Transparencia y Acceso a la Información Pública del Estado de México y Municipios, lo procedente es </w:t>
      </w:r>
      <w:r w:rsidRPr="009639FB">
        <w:rPr>
          <w:rFonts w:ascii="Palatino Linotype" w:hAnsi="Palatino Linotype" w:cs="Arial"/>
          <w:b/>
          <w:sz w:val="24"/>
          <w:szCs w:val="24"/>
        </w:rPr>
        <w:t>SOBRESEER</w:t>
      </w:r>
      <w:r>
        <w:rPr>
          <w:rFonts w:ascii="Palatino Linotype" w:hAnsi="Palatino Linotype" w:cs="Arial"/>
          <w:sz w:val="24"/>
          <w:szCs w:val="24"/>
        </w:rPr>
        <w:t xml:space="preserve"> el recurso de revisión que atañe;</w:t>
      </w:r>
      <w:r w:rsidRPr="008A6A6A">
        <w:rPr>
          <w:rFonts w:ascii="Palatino Linotype" w:hAnsi="Palatino Linotype" w:cs="Arial"/>
          <w:sz w:val="24"/>
          <w:szCs w:val="24"/>
        </w:rPr>
        <w:t xml:space="preserve"> dado que</w:t>
      </w:r>
      <w:r>
        <w:rPr>
          <w:rFonts w:ascii="Palatino Linotype" w:hAnsi="Palatino Linotype" w:cs="Arial"/>
          <w:sz w:val="24"/>
          <w:szCs w:val="24"/>
        </w:rPr>
        <w:t>,</w:t>
      </w:r>
      <w:r w:rsidRPr="008A6A6A">
        <w:rPr>
          <w:rFonts w:ascii="Palatino Linotype" w:hAnsi="Palatino Linotype" w:cs="Arial"/>
          <w:sz w:val="24"/>
          <w:szCs w:val="24"/>
        </w:rPr>
        <w:t xml:space="preserve"> no es necesario estudiar si existió vulneración </w:t>
      </w:r>
      <w:r>
        <w:rPr>
          <w:rFonts w:ascii="Palatino Linotype" w:hAnsi="Palatino Linotype" w:cs="Arial"/>
          <w:sz w:val="24"/>
          <w:szCs w:val="24"/>
        </w:rPr>
        <w:t>al</w:t>
      </w:r>
      <w:r w:rsidRPr="008A6A6A">
        <w:rPr>
          <w:rFonts w:ascii="Palatino Linotype" w:hAnsi="Palatino Linotype" w:cs="Arial"/>
          <w:sz w:val="24"/>
          <w:szCs w:val="24"/>
        </w:rPr>
        <w:t xml:space="preserve"> derecho de acceso a la información pública, </w:t>
      </w:r>
      <w:r>
        <w:rPr>
          <w:rFonts w:ascii="Palatino Linotype" w:hAnsi="Palatino Linotype" w:cs="Arial"/>
          <w:sz w:val="24"/>
          <w:szCs w:val="24"/>
        </w:rPr>
        <w:t>en atención</w:t>
      </w:r>
      <w:r w:rsidRPr="008A6A6A">
        <w:rPr>
          <w:rFonts w:ascii="Palatino Linotype" w:hAnsi="Palatino Linotype" w:cs="Arial"/>
          <w:sz w:val="24"/>
          <w:szCs w:val="24"/>
        </w:rPr>
        <w:t xml:space="preserve"> que </w:t>
      </w:r>
      <w:r>
        <w:rPr>
          <w:rFonts w:ascii="Palatino Linotype" w:hAnsi="Palatino Linotype" w:cs="Arial"/>
          <w:b/>
          <w:sz w:val="24"/>
          <w:szCs w:val="24"/>
        </w:rPr>
        <w:t>E</w:t>
      </w:r>
      <w:r w:rsidRPr="009639FB">
        <w:rPr>
          <w:rFonts w:ascii="Palatino Linotype" w:hAnsi="Palatino Linotype" w:cs="Arial"/>
          <w:b/>
          <w:sz w:val="24"/>
          <w:szCs w:val="24"/>
        </w:rPr>
        <w:t>l</w:t>
      </w:r>
      <w:r>
        <w:rPr>
          <w:rFonts w:ascii="Palatino Linotype" w:hAnsi="Palatino Linotype" w:cs="Arial"/>
          <w:sz w:val="24"/>
          <w:szCs w:val="24"/>
        </w:rPr>
        <w:t xml:space="preserve"> </w:t>
      </w:r>
      <w:r w:rsidRPr="00392022">
        <w:rPr>
          <w:rFonts w:ascii="Palatino Linotype" w:hAnsi="Palatino Linotype" w:cs="Arial"/>
          <w:b/>
          <w:sz w:val="24"/>
          <w:szCs w:val="24"/>
        </w:rPr>
        <w:t>Recurrente</w:t>
      </w:r>
      <w:r>
        <w:rPr>
          <w:rFonts w:ascii="Palatino Linotype" w:hAnsi="Palatino Linotype" w:cs="Arial"/>
          <w:sz w:val="24"/>
          <w:szCs w:val="24"/>
        </w:rPr>
        <w:t xml:space="preserve"> que </w:t>
      </w:r>
      <w:r w:rsidRPr="008A6A6A">
        <w:rPr>
          <w:rFonts w:ascii="Palatino Linotype" w:hAnsi="Palatino Linotype" w:cs="Arial"/>
          <w:sz w:val="24"/>
          <w:szCs w:val="24"/>
        </w:rPr>
        <w:t xml:space="preserve">presentó el recurso de revisión manifiesta </w:t>
      </w:r>
      <w:r>
        <w:rPr>
          <w:rFonts w:ascii="Palatino Linotype" w:hAnsi="Palatino Linotype" w:cs="Arial"/>
          <w:sz w:val="24"/>
          <w:szCs w:val="24"/>
        </w:rPr>
        <w:t>la</w:t>
      </w:r>
      <w:r w:rsidRPr="008A6A6A">
        <w:rPr>
          <w:rFonts w:ascii="Palatino Linotype" w:hAnsi="Palatino Linotype" w:cs="Arial"/>
          <w:sz w:val="24"/>
          <w:szCs w:val="24"/>
        </w:rPr>
        <w:t xml:space="preserve"> voluntad de </w:t>
      </w:r>
      <w:r>
        <w:rPr>
          <w:rFonts w:ascii="Palatino Linotype" w:hAnsi="Palatino Linotype" w:cs="Arial"/>
          <w:sz w:val="24"/>
          <w:szCs w:val="24"/>
        </w:rPr>
        <w:t>desistirse</w:t>
      </w:r>
      <w:r w:rsidRPr="008A6A6A">
        <w:rPr>
          <w:rFonts w:ascii="Palatino Linotype" w:hAnsi="Palatino Linotype" w:cs="Arial"/>
          <w:sz w:val="24"/>
          <w:szCs w:val="24"/>
        </w:rPr>
        <w:t>, con las consecuencias que a ello conlleva.</w:t>
      </w:r>
    </w:p>
    <w:p w14:paraId="6B6474ED" w14:textId="77777777" w:rsidR="00986697" w:rsidRPr="007E7B66" w:rsidRDefault="00986697" w:rsidP="00986697">
      <w:pPr>
        <w:pStyle w:val="Prrafodelista"/>
        <w:autoSpaceDE w:val="0"/>
        <w:autoSpaceDN w:val="0"/>
        <w:adjustRightInd w:val="0"/>
        <w:spacing w:before="240" w:after="240" w:line="360" w:lineRule="auto"/>
        <w:ind w:left="0"/>
        <w:jc w:val="both"/>
        <w:rPr>
          <w:rFonts w:ascii="Palatino Linotype" w:hAnsi="Palatino Linotype" w:cs="Arial"/>
        </w:rPr>
      </w:pPr>
      <w:r w:rsidRPr="00410726">
        <w:rPr>
          <w:rFonts w:ascii="Palatino Linotype" w:hAnsi="Palatino Linotype"/>
        </w:rPr>
        <w:t>Por lo antes expuesto y fundado</w:t>
      </w:r>
      <w:r>
        <w:rPr>
          <w:rFonts w:ascii="Palatino Linotype" w:hAnsi="Palatino Linotype"/>
        </w:rPr>
        <w:t xml:space="preserve"> es de resolverse y;</w:t>
      </w:r>
    </w:p>
    <w:p w14:paraId="07E688D5" w14:textId="77777777" w:rsidR="00986697" w:rsidRDefault="00986697" w:rsidP="00986697">
      <w:pPr>
        <w:spacing w:after="0" w:line="360" w:lineRule="auto"/>
        <w:jc w:val="center"/>
        <w:rPr>
          <w:rFonts w:ascii="Palatino Linotype" w:eastAsia="Times New Roman" w:hAnsi="Palatino Linotype"/>
          <w:b/>
          <w:bCs/>
          <w:spacing w:val="60"/>
          <w:sz w:val="28"/>
          <w:lang w:val="es-ES_tradnl"/>
        </w:rPr>
      </w:pPr>
    </w:p>
    <w:p w14:paraId="321C1A0A" w14:textId="77777777" w:rsidR="00986697" w:rsidRPr="004D2A05" w:rsidRDefault="00986697" w:rsidP="00986697">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4D2A05">
        <w:rPr>
          <w:rFonts w:ascii="Palatino Linotype" w:eastAsia="Times New Roman" w:hAnsi="Palatino Linotype"/>
          <w:b/>
          <w:bCs/>
          <w:spacing w:val="60"/>
          <w:sz w:val="28"/>
          <w:lang w:val="es-ES_tradnl"/>
        </w:rPr>
        <w:t>RESUELVE</w:t>
      </w:r>
    </w:p>
    <w:p w14:paraId="7B1FB01F" w14:textId="5EA2D360" w:rsidR="00986697" w:rsidRPr="00986697" w:rsidRDefault="00986697" w:rsidP="00986697">
      <w:pPr>
        <w:spacing w:before="240" w:after="240" w:line="360" w:lineRule="auto"/>
        <w:jc w:val="both"/>
        <w:rPr>
          <w:rFonts w:ascii="Palatino Linotype" w:hAnsi="Palatino Linotype" w:cs="Arial"/>
          <w:b/>
          <w:sz w:val="24"/>
          <w:szCs w:val="24"/>
          <w:lang w:val="es-ES_tradnl"/>
        </w:rPr>
      </w:pPr>
      <w:r w:rsidRPr="00986697">
        <w:rPr>
          <w:rFonts w:ascii="Palatino Linotype" w:hAnsi="Palatino Linotype" w:cs="Arial"/>
          <w:b/>
          <w:sz w:val="24"/>
          <w:szCs w:val="24"/>
          <w:lang w:val="es-ES_tradnl"/>
        </w:rPr>
        <w:t xml:space="preserve">PRIMERO. </w:t>
      </w:r>
      <w:r w:rsidRPr="00986697">
        <w:rPr>
          <w:rFonts w:ascii="Palatino Linotype" w:hAnsi="Palatino Linotype" w:cs="Arial"/>
          <w:sz w:val="24"/>
          <w:szCs w:val="24"/>
          <w:lang w:val="es-ES_tradnl"/>
        </w:rPr>
        <w:t xml:space="preserve">Se </w:t>
      </w:r>
      <w:r w:rsidRPr="00986697">
        <w:rPr>
          <w:rFonts w:ascii="Palatino Linotype" w:hAnsi="Palatino Linotype" w:cs="Arial"/>
          <w:b/>
          <w:sz w:val="24"/>
          <w:szCs w:val="24"/>
          <w:lang w:val="es-ES_tradnl"/>
        </w:rPr>
        <w:t>SOBRESEE</w:t>
      </w:r>
      <w:r w:rsidRPr="00986697">
        <w:rPr>
          <w:rFonts w:ascii="Palatino Linotype" w:hAnsi="Palatino Linotype" w:cs="Arial"/>
          <w:sz w:val="24"/>
          <w:szCs w:val="24"/>
          <w:lang w:val="es-ES_tradnl"/>
        </w:rPr>
        <w:t xml:space="preserve"> el recurso de revisión número </w:t>
      </w:r>
      <w:r w:rsidRPr="00986697">
        <w:rPr>
          <w:rFonts w:ascii="Palatino Linotype" w:hAnsi="Palatino Linotype"/>
          <w:b/>
          <w:sz w:val="24"/>
          <w:szCs w:val="24"/>
        </w:rPr>
        <w:t>02350/INFOEM/AD/RR/2021</w:t>
      </w:r>
      <w:r w:rsidRPr="00986697">
        <w:rPr>
          <w:rFonts w:ascii="Palatino Linotype" w:hAnsi="Palatino Linotype" w:cs="Arial"/>
          <w:sz w:val="24"/>
          <w:szCs w:val="24"/>
          <w:lang w:val="es-ES_tradnl"/>
        </w:rPr>
        <w:t xml:space="preserve">, por haberse desistido expresamente </w:t>
      </w:r>
      <w:r w:rsidRPr="00986697">
        <w:rPr>
          <w:rFonts w:ascii="Palatino Linotype" w:hAnsi="Palatino Linotype" w:cs="Arial"/>
          <w:b/>
          <w:sz w:val="24"/>
          <w:szCs w:val="24"/>
          <w:lang w:val="es-ES_tradnl"/>
        </w:rPr>
        <w:t>EL RECURRENTE</w:t>
      </w:r>
      <w:r w:rsidRPr="00986697">
        <w:rPr>
          <w:rFonts w:ascii="Palatino Linotype" w:hAnsi="Palatino Linotype" w:cs="Arial"/>
          <w:sz w:val="24"/>
          <w:szCs w:val="24"/>
          <w:lang w:val="es-ES_tradnl"/>
        </w:rPr>
        <w:t xml:space="preserve">, en términos del Considerando </w:t>
      </w:r>
      <w:r w:rsidRPr="00986697">
        <w:rPr>
          <w:rFonts w:ascii="Palatino Linotype" w:hAnsi="Palatino Linotype" w:cs="Arial"/>
          <w:b/>
          <w:sz w:val="24"/>
          <w:szCs w:val="24"/>
          <w:lang w:val="es-ES_tradnl"/>
        </w:rPr>
        <w:t>TERCERO</w:t>
      </w:r>
      <w:r w:rsidRPr="00986697">
        <w:rPr>
          <w:rFonts w:ascii="Palatino Linotype" w:hAnsi="Palatino Linotype" w:cs="Arial"/>
          <w:sz w:val="24"/>
          <w:szCs w:val="24"/>
          <w:lang w:val="es-ES_tradnl"/>
        </w:rPr>
        <w:t xml:space="preserve"> de la presente resolución.</w:t>
      </w:r>
      <w:r w:rsidRPr="00986697">
        <w:rPr>
          <w:rFonts w:ascii="Palatino Linotype" w:hAnsi="Palatino Linotype" w:cs="Arial"/>
          <w:b/>
          <w:sz w:val="24"/>
          <w:szCs w:val="24"/>
          <w:lang w:val="es-ES_tradnl"/>
        </w:rPr>
        <w:t xml:space="preserve"> </w:t>
      </w:r>
    </w:p>
    <w:p w14:paraId="09B481D6" w14:textId="77777777" w:rsidR="00986697" w:rsidRPr="00986697" w:rsidRDefault="00986697" w:rsidP="00986697">
      <w:pPr>
        <w:spacing w:before="240" w:after="240" w:line="360" w:lineRule="auto"/>
        <w:jc w:val="both"/>
        <w:rPr>
          <w:rFonts w:ascii="Palatino Linotype" w:hAnsi="Palatino Linotype" w:cs="Arial"/>
          <w:b/>
          <w:sz w:val="24"/>
          <w:szCs w:val="24"/>
          <w:lang w:val="es-ES_tradnl"/>
        </w:rPr>
      </w:pPr>
    </w:p>
    <w:p w14:paraId="33366429" w14:textId="73736888" w:rsidR="00D65FA9" w:rsidRPr="00986697" w:rsidRDefault="00986697" w:rsidP="00D65FA9">
      <w:pPr>
        <w:spacing w:before="240" w:after="360" w:line="360" w:lineRule="auto"/>
        <w:jc w:val="both"/>
        <w:rPr>
          <w:rFonts w:ascii="Palatino Linotype" w:eastAsia="Times New Roman" w:hAnsi="Palatino Linotype" w:cs="Arial"/>
          <w:b/>
          <w:sz w:val="24"/>
          <w:szCs w:val="24"/>
        </w:rPr>
      </w:pPr>
      <w:bookmarkStart w:id="1" w:name="_Toc450120669"/>
      <w:bookmarkStart w:id="2" w:name="_Toc460947011"/>
      <w:r w:rsidRPr="00986697">
        <w:rPr>
          <w:rFonts w:ascii="Palatino Linotype" w:eastAsia="Times New Roman" w:hAnsi="Palatino Linotype" w:cs="Arial"/>
          <w:b/>
          <w:sz w:val="24"/>
          <w:szCs w:val="24"/>
          <w:lang w:val="es-ES_tradnl"/>
        </w:rPr>
        <w:t>S</w:t>
      </w:r>
      <w:r w:rsidR="00D65FA9" w:rsidRPr="00986697">
        <w:rPr>
          <w:rFonts w:ascii="Palatino Linotype" w:eastAsia="Times New Roman" w:hAnsi="Palatino Linotype" w:cs="Arial"/>
          <w:b/>
          <w:sz w:val="24"/>
          <w:szCs w:val="24"/>
          <w:lang w:val="es-ES_tradnl"/>
        </w:rPr>
        <w:t xml:space="preserve">EGUNDO. </w:t>
      </w:r>
      <w:r w:rsidR="00D65FA9" w:rsidRPr="00986697">
        <w:rPr>
          <w:rFonts w:ascii="Palatino Linotype" w:eastAsia="Times New Roman" w:hAnsi="Palatino Linotype" w:cs="Arial"/>
          <w:b/>
          <w:bCs/>
          <w:sz w:val="24"/>
          <w:szCs w:val="24"/>
        </w:rPr>
        <w:t xml:space="preserve">REMÍTASE, </w:t>
      </w:r>
      <w:r w:rsidR="00D65FA9" w:rsidRPr="00986697">
        <w:rPr>
          <w:rFonts w:ascii="Palatino Linotype" w:eastAsia="Times New Roman" w:hAnsi="Palatino Linotype" w:cs="Arial"/>
          <w:bCs/>
          <w:sz w:val="24"/>
          <w:szCs w:val="24"/>
        </w:rPr>
        <w:t>a través del Sistema de</w:t>
      </w:r>
      <w:r w:rsidR="00D65FA9" w:rsidRPr="00986697">
        <w:rPr>
          <w:rFonts w:ascii="Palatino Linotype" w:hAnsi="Palatino Linotype" w:cs="Arial"/>
          <w:sz w:val="24"/>
          <w:szCs w:val="24"/>
        </w:rPr>
        <w:t xml:space="preserve"> </w:t>
      </w:r>
      <w:r w:rsidR="00D65FA9" w:rsidRPr="00986697">
        <w:rPr>
          <w:rFonts w:ascii="Palatino Linotype" w:eastAsia="Times New Roman" w:hAnsi="Palatino Linotype" w:cs="Arial"/>
          <w:bCs/>
          <w:sz w:val="24"/>
          <w:szCs w:val="24"/>
        </w:rPr>
        <w:t xml:space="preserve">Acceso, Rectificación, Cancelación y Oposición de Datos Personales del Estado de México, </w:t>
      </w:r>
      <w:r w:rsidR="00D65FA9" w:rsidRPr="00986697">
        <w:rPr>
          <w:rFonts w:ascii="Palatino Linotype" w:eastAsia="Times New Roman" w:hAnsi="Palatino Linotype" w:cs="Arial"/>
          <w:b/>
          <w:bCs/>
          <w:sz w:val="24"/>
          <w:szCs w:val="24"/>
        </w:rPr>
        <w:t>(SARCOEM),</w:t>
      </w:r>
      <w:r w:rsidR="00D65FA9" w:rsidRPr="00986697">
        <w:rPr>
          <w:rFonts w:ascii="Palatino Linotype" w:eastAsia="Times New Roman" w:hAnsi="Palatino Linotype" w:cs="Arial"/>
          <w:bCs/>
          <w:sz w:val="24"/>
          <w:szCs w:val="24"/>
        </w:rPr>
        <w:t xml:space="preserve"> la presente resolución al Titular de la Unidad de Transparencia del</w:t>
      </w:r>
      <w:r w:rsidR="00D65FA9" w:rsidRPr="00986697">
        <w:rPr>
          <w:rFonts w:ascii="Palatino Linotype" w:eastAsia="Times New Roman" w:hAnsi="Palatino Linotype" w:cs="Arial"/>
          <w:sz w:val="24"/>
          <w:szCs w:val="24"/>
        </w:rPr>
        <w:t xml:space="preserve"> </w:t>
      </w:r>
      <w:r w:rsidR="00D65FA9" w:rsidRPr="00986697">
        <w:rPr>
          <w:rFonts w:ascii="Palatino Linotype" w:eastAsia="Times New Roman" w:hAnsi="Palatino Linotype" w:cs="Arial"/>
          <w:b/>
          <w:sz w:val="24"/>
          <w:szCs w:val="24"/>
        </w:rPr>
        <w:t>SUJETO OBLIGADO.</w:t>
      </w:r>
    </w:p>
    <w:p w14:paraId="48AD488B" w14:textId="77777777" w:rsidR="00D65FA9" w:rsidRPr="00FC3EEF" w:rsidRDefault="00D65FA9" w:rsidP="00D65FA9">
      <w:pPr>
        <w:spacing w:before="240" w:after="360" w:line="360" w:lineRule="auto"/>
        <w:jc w:val="both"/>
        <w:rPr>
          <w:rFonts w:ascii="Palatino Linotype" w:eastAsia="Times New Roman" w:hAnsi="Palatino Linotype" w:cs="Arial"/>
          <w:bCs/>
        </w:rPr>
      </w:pPr>
    </w:p>
    <w:p w14:paraId="3AC4D98F" w14:textId="64C5485D" w:rsidR="00D65FA9" w:rsidRPr="00D6751B" w:rsidRDefault="00D65FA9" w:rsidP="00D65FA9">
      <w:pPr>
        <w:spacing w:before="240" w:after="360" w:line="360" w:lineRule="auto"/>
        <w:jc w:val="both"/>
        <w:rPr>
          <w:rFonts w:ascii="Palatino Linotype" w:hAnsi="Palatino Linotype"/>
          <w:sz w:val="24"/>
          <w:szCs w:val="24"/>
        </w:rPr>
      </w:pPr>
      <w:r w:rsidRPr="00D6751B">
        <w:rPr>
          <w:rFonts w:ascii="Palatino Linotype" w:eastAsia="Times New Roman" w:hAnsi="Palatino Linotype" w:cs="Arial"/>
          <w:b/>
          <w:sz w:val="24"/>
          <w:szCs w:val="24"/>
          <w:lang w:val="es-ES_tradnl"/>
        </w:rPr>
        <w:lastRenderedPageBreak/>
        <w:t xml:space="preserve">TERCERO. </w:t>
      </w:r>
      <w:r w:rsidRPr="00D6751B">
        <w:rPr>
          <w:rFonts w:ascii="Palatino Linotype" w:eastAsia="Times New Roman" w:hAnsi="Palatino Linotype" w:cs="Arial"/>
          <w:b/>
          <w:bCs/>
          <w:sz w:val="24"/>
          <w:szCs w:val="24"/>
        </w:rPr>
        <w:t>Notifíquese a</w:t>
      </w:r>
      <w:bookmarkEnd w:id="1"/>
      <w:bookmarkEnd w:id="2"/>
      <w:r w:rsidR="0010213B" w:rsidRPr="00D6751B">
        <w:rPr>
          <w:rFonts w:ascii="Palatino Linotype" w:eastAsia="Times New Roman" w:hAnsi="Palatino Linotype" w:cs="Arial"/>
          <w:b/>
          <w:bCs/>
          <w:sz w:val="24"/>
          <w:szCs w:val="24"/>
        </w:rPr>
        <w:t>l</w:t>
      </w:r>
      <w:r w:rsidRPr="00D6751B">
        <w:rPr>
          <w:rFonts w:ascii="Palatino Linotype" w:hAnsi="Palatino Linotype"/>
          <w:b/>
          <w:sz w:val="24"/>
          <w:szCs w:val="24"/>
        </w:rPr>
        <w:t xml:space="preserve"> RECURRENTE </w:t>
      </w:r>
      <w:r w:rsidRPr="00D6751B">
        <w:rPr>
          <w:rFonts w:ascii="Palatino Linotype" w:hAnsi="Palatino Linotype"/>
          <w:sz w:val="24"/>
          <w:szCs w:val="24"/>
        </w:rPr>
        <w:t xml:space="preserve">la presente resolución, y hágasele del conocimiento que de conformidad con lo establecido en el artículo 142 de la Ley de Protección de Datos Personales en Posesión de Sujetos Obligados del Estado de México y Municipios, podrá impugnarla vía Juicio de Amparo en los términos de las leyes aplicables. </w:t>
      </w:r>
    </w:p>
    <w:p w14:paraId="47E0A228" w14:textId="454FE0AF" w:rsidR="00624567" w:rsidRDefault="00624567" w:rsidP="00624567">
      <w:pPr>
        <w:tabs>
          <w:tab w:val="left" w:pos="709"/>
        </w:tabs>
        <w:spacing w:before="240" w:line="360" w:lineRule="auto"/>
        <w:ind w:right="51"/>
        <w:jc w:val="both"/>
        <w:rPr>
          <w:rFonts w:ascii="Palatino Linotype" w:hAnsi="Palatino Linotype" w:cs="Arial"/>
          <w:sz w:val="24"/>
          <w:szCs w:val="24"/>
        </w:rPr>
      </w:pPr>
    </w:p>
    <w:p w14:paraId="4E1CB8F2" w14:textId="31C807DA" w:rsidR="00624567" w:rsidRDefault="00624567" w:rsidP="00624567">
      <w:pPr>
        <w:tabs>
          <w:tab w:val="left" w:pos="709"/>
        </w:tabs>
        <w:spacing w:before="240" w:line="360" w:lineRule="auto"/>
        <w:ind w:right="51"/>
        <w:jc w:val="both"/>
        <w:rPr>
          <w:rFonts w:ascii="Palatino Linotype" w:hAnsi="Palatino Linotype" w:cs="Arial"/>
          <w:sz w:val="24"/>
          <w:szCs w:val="24"/>
        </w:rPr>
      </w:pPr>
      <w:r w:rsidRPr="00C91103">
        <w:rPr>
          <w:rFonts w:ascii="Palatino Linotype" w:hAnsi="Palatino Linotype" w:cs="Arial"/>
          <w:sz w:val="24"/>
          <w:szCs w:val="24"/>
        </w:rPr>
        <w:t xml:space="preserve">ASÍ LO RESUELVE, POR UNANIMIDAD DE </w:t>
      </w:r>
      <w:r>
        <w:rPr>
          <w:rFonts w:ascii="Palatino Linotype" w:hAnsi="Palatino Linotype" w:cs="Arial"/>
          <w:sz w:val="24"/>
          <w:szCs w:val="24"/>
        </w:rPr>
        <w:t>VOTOS,</w:t>
      </w:r>
      <w:r w:rsidRPr="00C91103">
        <w:rPr>
          <w:rFonts w:ascii="Palatino Linotype" w:hAnsi="Palatino Linotype" w:cs="Arial"/>
          <w:sz w:val="24"/>
          <w:szCs w:val="24"/>
        </w:rPr>
        <w:t xml:space="preserve"> EL PLENO DEL</w:t>
      </w:r>
      <w:r w:rsidRPr="00C9110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91103">
        <w:rPr>
          <w:rFonts w:ascii="Palatino Linotype" w:hAnsi="Palatino Linotype" w:cs="Arial"/>
          <w:sz w:val="24"/>
          <w:szCs w:val="24"/>
        </w:rPr>
        <w:t xml:space="preserve">, CONFORMADO POR LOS COMISIONADOS ZULEMA MARTÍNEZ SÁNCHEZ, EVA ABAID YAPUR,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NORIEGA </w:t>
      </w:r>
      <w:r w:rsidRPr="006C6A05">
        <w:rPr>
          <w:rFonts w:ascii="Palatino Linotype" w:hAnsi="Palatino Linotype" w:cs="Arial"/>
          <w:sz w:val="24"/>
          <w:szCs w:val="24"/>
        </w:rPr>
        <w:t xml:space="preserve">EN LA </w:t>
      </w:r>
      <w:r>
        <w:rPr>
          <w:rFonts w:ascii="Palatino Linotype" w:hAnsi="Palatino Linotype" w:cs="Arial"/>
          <w:sz w:val="24"/>
          <w:szCs w:val="24"/>
        </w:rPr>
        <w:t xml:space="preserve">VIGÉSIMA SEGUNDA </w:t>
      </w:r>
      <w:r w:rsidRPr="006C6A05">
        <w:rPr>
          <w:rFonts w:ascii="Palatino Linotype" w:hAnsi="Palatino Linotype" w:cs="Arial"/>
          <w:sz w:val="24"/>
          <w:szCs w:val="24"/>
        </w:rPr>
        <w:t xml:space="preserve">SESIÓN ORDINARIA CELEBRADA EL </w:t>
      </w:r>
      <w:r>
        <w:rPr>
          <w:rFonts w:ascii="Palatino Linotype" w:hAnsi="Palatino Linotype" w:cs="Arial"/>
          <w:sz w:val="24"/>
          <w:szCs w:val="24"/>
        </w:rPr>
        <w:t>VEINTITRÉS DE JUNIO DE DOS MIL VEINTIUNO</w:t>
      </w:r>
      <w:r w:rsidRPr="006C6A05">
        <w:rPr>
          <w:rFonts w:ascii="Palatino Linotype" w:hAnsi="Palatino Linotype" w:cs="Arial"/>
          <w:sz w:val="24"/>
          <w:szCs w:val="24"/>
        </w:rPr>
        <w:t>, ANTE EL SECRETARIO TÉCNICO DEL PLENO, ALEXIS TAPIA RAMÍREZ</w:t>
      </w:r>
    </w:p>
    <w:p w14:paraId="3EEFE831" w14:textId="7C6B1389" w:rsidR="00624567" w:rsidRDefault="00754496" w:rsidP="00624567">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61DA3468" wp14:editId="2FB33C5F">
                <wp:simplePos x="0" y="0"/>
                <wp:positionH relativeFrom="column">
                  <wp:posOffset>-508635</wp:posOffset>
                </wp:positionH>
                <wp:positionV relativeFrom="paragraph">
                  <wp:posOffset>301625</wp:posOffset>
                </wp:positionV>
                <wp:extent cx="6972300" cy="2122170"/>
                <wp:effectExtent l="0" t="0" r="19050" b="30480"/>
                <wp:wrapNone/>
                <wp:docPr id="6" name="Conector recto 6"/>
                <wp:cNvGraphicFramePr/>
                <a:graphic xmlns:a="http://schemas.openxmlformats.org/drawingml/2006/main">
                  <a:graphicData uri="http://schemas.microsoft.com/office/word/2010/wordprocessingShape">
                    <wps:wsp>
                      <wps:cNvCnPr/>
                      <wps:spPr>
                        <a:xfrm>
                          <a:off x="0" y="0"/>
                          <a:ext cx="6972300" cy="21221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77C04" id="Conector recto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23.75pt" to="508.95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" strokecolor="#5b9bd5 [3204]" strokeweight=".5pt">
                <v:stroke joinstyle="miter"/>
              </v:line>
            </w:pict>
          </mc:Fallback>
        </mc:AlternateContent>
      </w:r>
    </w:p>
    <w:p w14:paraId="14AB7632" w14:textId="77777777" w:rsidR="00624567" w:rsidRDefault="00624567" w:rsidP="00624567">
      <w:pPr>
        <w:tabs>
          <w:tab w:val="left" w:pos="709"/>
        </w:tabs>
        <w:spacing w:before="240" w:line="360" w:lineRule="auto"/>
        <w:ind w:right="51"/>
        <w:jc w:val="both"/>
        <w:rPr>
          <w:rFonts w:ascii="Palatino Linotype" w:hAnsi="Palatino Linotype" w:cs="Arial"/>
          <w:sz w:val="24"/>
          <w:szCs w:val="24"/>
        </w:rPr>
      </w:pPr>
    </w:p>
    <w:p w14:paraId="10E22034" w14:textId="77777777" w:rsidR="00624567" w:rsidRDefault="00624567" w:rsidP="00624567">
      <w:pPr>
        <w:tabs>
          <w:tab w:val="left" w:pos="709"/>
        </w:tabs>
        <w:spacing w:before="240" w:line="360" w:lineRule="auto"/>
        <w:ind w:right="51"/>
        <w:jc w:val="both"/>
        <w:rPr>
          <w:rFonts w:ascii="Palatino Linotype" w:hAnsi="Palatino Linotype" w:cs="Arial"/>
          <w:sz w:val="24"/>
          <w:szCs w:val="24"/>
        </w:rPr>
      </w:pPr>
    </w:p>
    <w:p w14:paraId="0EB2CB2D" w14:textId="77777777" w:rsidR="00624567" w:rsidRDefault="00624567" w:rsidP="00624567">
      <w:pPr>
        <w:tabs>
          <w:tab w:val="left" w:pos="709"/>
        </w:tabs>
        <w:spacing w:before="240" w:line="360" w:lineRule="auto"/>
        <w:ind w:right="51"/>
        <w:jc w:val="both"/>
        <w:rPr>
          <w:rFonts w:ascii="Palatino Linotype" w:hAnsi="Palatino Linotype" w:cs="Arial"/>
          <w:sz w:val="24"/>
          <w:szCs w:val="24"/>
        </w:rPr>
      </w:pPr>
    </w:p>
    <w:p w14:paraId="0F04527B" w14:textId="77777777" w:rsidR="00624567" w:rsidRPr="00624567" w:rsidRDefault="00624567" w:rsidP="00624567">
      <w:pPr>
        <w:tabs>
          <w:tab w:val="left" w:pos="709"/>
        </w:tabs>
        <w:spacing w:before="240" w:line="360" w:lineRule="auto"/>
        <w:ind w:right="51"/>
        <w:jc w:val="both"/>
        <w:rPr>
          <w:rFonts w:ascii="Palatino Linotype" w:hAnsi="Palatino Linotype" w:cs="Arial"/>
          <w:sz w:val="20"/>
          <w:szCs w:val="20"/>
        </w:rPr>
      </w:pPr>
      <w:r w:rsidRPr="00624567">
        <w:rPr>
          <w:rFonts w:ascii="Palatino Linotype" w:hAnsi="Palatino Linotype" w:cs="Arial"/>
          <w:sz w:val="20"/>
          <w:szCs w:val="20"/>
        </w:rPr>
        <w:t>OSAM/JCMA</w:t>
      </w:r>
    </w:p>
    <w:p w14:paraId="4668A420" w14:textId="77777777" w:rsidR="00624567" w:rsidRPr="006F03B0" w:rsidRDefault="00624567" w:rsidP="00624567">
      <w:pPr>
        <w:spacing w:before="240" w:after="360" w:line="360" w:lineRule="auto"/>
        <w:jc w:val="both"/>
        <w:rPr>
          <w:rFonts w:ascii="Palatino Linotype" w:eastAsia="Times New Roman" w:hAnsi="Palatino Linotype" w:cs="Arial"/>
        </w:rPr>
      </w:pPr>
    </w:p>
    <w:p w14:paraId="3D4D2D13" w14:textId="77777777" w:rsidR="00930FBA" w:rsidRDefault="00930FBA" w:rsidP="00624567">
      <w:pPr>
        <w:spacing w:before="240" w:line="360" w:lineRule="auto"/>
        <w:jc w:val="both"/>
        <w:rPr>
          <w:rFonts w:ascii="Palatino Linotype" w:hAnsi="Palatino Linotype" w:cs="Arial"/>
          <w:sz w:val="24"/>
          <w:szCs w:val="24"/>
        </w:rPr>
      </w:pPr>
    </w:p>
    <w:p w14:paraId="54C6F3B0" w14:textId="77777777" w:rsidR="00930FBA" w:rsidRDefault="00930FBA" w:rsidP="00624567">
      <w:pPr>
        <w:spacing w:before="240" w:line="360" w:lineRule="auto"/>
        <w:jc w:val="both"/>
        <w:rPr>
          <w:rFonts w:ascii="Palatino Linotype" w:hAnsi="Palatino Linotype" w:cs="Arial"/>
          <w:sz w:val="24"/>
          <w:szCs w:val="24"/>
        </w:rPr>
      </w:pPr>
    </w:p>
    <w:p w14:paraId="6F7F9335" w14:textId="77777777" w:rsidR="00930FBA" w:rsidRDefault="00930FBA" w:rsidP="00624567">
      <w:pPr>
        <w:spacing w:before="240" w:line="360" w:lineRule="auto"/>
        <w:jc w:val="both"/>
        <w:rPr>
          <w:rFonts w:ascii="Palatino Linotype" w:hAnsi="Palatino Linotype" w:cs="Arial"/>
          <w:sz w:val="24"/>
          <w:szCs w:val="24"/>
        </w:rPr>
      </w:pPr>
    </w:p>
    <w:p w14:paraId="0C3F4427" w14:textId="77777777" w:rsidR="00930FBA" w:rsidRDefault="00930FBA" w:rsidP="00624567">
      <w:pPr>
        <w:spacing w:before="240" w:line="360" w:lineRule="auto"/>
        <w:jc w:val="both"/>
        <w:rPr>
          <w:rFonts w:ascii="Palatino Linotype" w:hAnsi="Palatino Linotype" w:cs="Arial"/>
          <w:sz w:val="24"/>
          <w:szCs w:val="24"/>
        </w:rPr>
      </w:pPr>
    </w:p>
    <w:p w14:paraId="72265538" w14:textId="77777777" w:rsidR="00930FBA" w:rsidRDefault="00930FBA" w:rsidP="00624567">
      <w:pPr>
        <w:spacing w:before="240" w:line="360" w:lineRule="auto"/>
        <w:jc w:val="both"/>
        <w:rPr>
          <w:rFonts w:ascii="Palatino Linotype" w:hAnsi="Palatino Linotype" w:cs="Arial"/>
          <w:sz w:val="24"/>
          <w:szCs w:val="24"/>
        </w:rPr>
      </w:pPr>
    </w:p>
    <w:p w14:paraId="43A0495E" w14:textId="77777777" w:rsidR="00930FBA" w:rsidRDefault="00930FBA" w:rsidP="00624567">
      <w:pPr>
        <w:spacing w:before="240" w:line="360" w:lineRule="auto"/>
        <w:jc w:val="both"/>
        <w:rPr>
          <w:rFonts w:ascii="Palatino Linotype" w:hAnsi="Palatino Linotype" w:cs="Arial"/>
          <w:sz w:val="24"/>
          <w:szCs w:val="24"/>
        </w:rPr>
      </w:pPr>
    </w:p>
    <w:p w14:paraId="772B7715" w14:textId="77777777" w:rsidR="00930FBA" w:rsidRDefault="00930FBA" w:rsidP="00624567">
      <w:pPr>
        <w:spacing w:before="240" w:line="360" w:lineRule="auto"/>
        <w:jc w:val="both"/>
        <w:rPr>
          <w:rFonts w:ascii="Palatino Linotype" w:hAnsi="Palatino Linotype" w:cs="Arial"/>
          <w:sz w:val="24"/>
          <w:szCs w:val="24"/>
        </w:rPr>
      </w:pPr>
    </w:p>
    <w:p w14:paraId="59845BF6" w14:textId="77777777" w:rsidR="00930FBA" w:rsidRDefault="00930FBA" w:rsidP="00624567">
      <w:pPr>
        <w:spacing w:before="240" w:line="360" w:lineRule="auto"/>
        <w:jc w:val="both"/>
        <w:rPr>
          <w:rFonts w:ascii="Palatino Linotype" w:hAnsi="Palatino Linotype" w:cs="Arial"/>
          <w:sz w:val="24"/>
          <w:szCs w:val="24"/>
        </w:rPr>
      </w:pPr>
    </w:p>
    <w:p w14:paraId="45C8C59B" w14:textId="77777777" w:rsidR="00930FBA" w:rsidRDefault="00930FBA" w:rsidP="00624567">
      <w:pPr>
        <w:spacing w:before="240" w:line="360" w:lineRule="auto"/>
        <w:jc w:val="both"/>
        <w:rPr>
          <w:rFonts w:ascii="Palatino Linotype" w:hAnsi="Palatino Linotype" w:cs="Arial"/>
          <w:sz w:val="24"/>
          <w:szCs w:val="24"/>
        </w:rPr>
      </w:pPr>
    </w:p>
    <w:p w14:paraId="4251B1F6" w14:textId="77777777" w:rsidR="00930FBA" w:rsidRDefault="00930FBA" w:rsidP="00624567">
      <w:pPr>
        <w:spacing w:before="240" w:line="360" w:lineRule="auto"/>
        <w:jc w:val="both"/>
        <w:rPr>
          <w:rFonts w:ascii="Palatino Linotype" w:hAnsi="Palatino Linotype" w:cs="Arial"/>
          <w:sz w:val="24"/>
          <w:szCs w:val="24"/>
        </w:rPr>
      </w:pPr>
    </w:p>
    <w:p w14:paraId="5324FE5C" w14:textId="77777777" w:rsidR="00930FBA" w:rsidRDefault="00930FBA" w:rsidP="00624567">
      <w:pPr>
        <w:spacing w:before="240" w:line="360" w:lineRule="auto"/>
        <w:jc w:val="both"/>
        <w:rPr>
          <w:rFonts w:ascii="Palatino Linotype" w:hAnsi="Palatino Linotype" w:cs="Arial"/>
          <w:sz w:val="24"/>
          <w:szCs w:val="24"/>
        </w:rPr>
      </w:pPr>
    </w:p>
    <w:p w14:paraId="4D3F0103" w14:textId="77777777" w:rsidR="00930FBA" w:rsidRDefault="00930FBA" w:rsidP="00624567">
      <w:pPr>
        <w:spacing w:before="240" w:line="360" w:lineRule="auto"/>
        <w:jc w:val="both"/>
        <w:rPr>
          <w:rFonts w:ascii="Palatino Linotype" w:hAnsi="Palatino Linotype" w:cs="Arial"/>
          <w:sz w:val="24"/>
          <w:szCs w:val="24"/>
        </w:rPr>
      </w:pPr>
    </w:p>
    <w:p w14:paraId="0516B805" w14:textId="77777777" w:rsidR="00930FBA" w:rsidRDefault="00930FBA" w:rsidP="00624567">
      <w:pPr>
        <w:spacing w:before="240" w:line="360" w:lineRule="auto"/>
        <w:jc w:val="both"/>
        <w:rPr>
          <w:rFonts w:ascii="Palatino Linotype" w:hAnsi="Palatino Linotype" w:cs="Arial"/>
          <w:sz w:val="24"/>
          <w:szCs w:val="24"/>
        </w:rPr>
      </w:pPr>
    </w:p>
    <w:p w14:paraId="539E48D2" w14:textId="77777777" w:rsidR="00930FBA" w:rsidRDefault="00930FBA" w:rsidP="00624567">
      <w:pPr>
        <w:spacing w:before="240" w:line="360" w:lineRule="auto"/>
        <w:jc w:val="both"/>
        <w:rPr>
          <w:rFonts w:ascii="Palatino Linotype" w:hAnsi="Palatino Linotype" w:cs="Arial"/>
          <w:sz w:val="24"/>
          <w:szCs w:val="24"/>
        </w:rPr>
      </w:pPr>
    </w:p>
    <w:p w14:paraId="4911F560" w14:textId="77777777" w:rsidR="00930FBA" w:rsidRPr="00FB0F72" w:rsidRDefault="00930FBA"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p>
    <w:sectPr w:rsidR="00930FBA" w:rsidRPr="00FB0F72" w:rsidSect="00AB402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F6350" w14:textId="77777777" w:rsidR="009D43B0" w:rsidRDefault="009D43B0" w:rsidP="006168E4">
      <w:pPr>
        <w:spacing w:after="0" w:line="240" w:lineRule="auto"/>
      </w:pPr>
      <w:r>
        <w:separator/>
      </w:r>
    </w:p>
  </w:endnote>
  <w:endnote w:type="continuationSeparator" w:id="0">
    <w:p w14:paraId="5C95D2B1" w14:textId="77777777" w:rsidR="009D43B0" w:rsidRDefault="009D43B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64B539A6" w:rsidR="00E774E4" w:rsidRPr="000B69FA" w:rsidRDefault="00E774E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1C0C">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1C0C">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6090A05" w:rsidR="00E774E4" w:rsidRPr="000B69FA" w:rsidRDefault="00E774E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1C0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1C0C">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56D2E" w14:textId="77777777" w:rsidR="009D43B0" w:rsidRDefault="009D43B0" w:rsidP="006168E4">
      <w:pPr>
        <w:spacing w:after="0" w:line="240" w:lineRule="auto"/>
      </w:pPr>
      <w:r>
        <w:separator/>
      </w:r>
    </w:p>
  </w:footnote>
  <w:footnote w:type="continuationSeparator" w:id="0">
    <w:p w14:paraId="7A07AEF1" w14:textId="77777777" w:rsidR="009D43B0" w:rsidRDefault="009D43B0" w:rsidP="006168E4">
      <w:pPr>
        <w:spacing w:after="0" w:line="240" w:lineRule="auto"/>
      </w:pPr>
      <w:r>
        <w:continuationSeparator/>
      </w:r>
    </w:p>
  </w:footnote>
  <w:footnote w:id="1">
    <w:p w14:paraId="6A9C1DB2" w14:textId="77777777" w:rsidR="00D65FA9" w:rsidRPr="006741D8" w:rsidRDefault="00D65FA9" w:rsidP="00D65FA9">
      <w:pPr>
        <w:pStyle w:val="Textonotapie"/>
        <w:jc w:val="both"/>
        <w:rPr>
          <w:rFonts w:ascii="Palatino Linotype" w:hAnsi="Palatino Linotype"/>
          <w:sz w:val="16"/>
          <w:szCs w:val="16"/>
        </w:rPr>
      </w:pPr>
    </w:p>
    <w:p w14:paraId="022C1401" w14:textId="77777777" w:rsidR="00D65FA9" w:rsidRPr="006741D8" w:rsidRDefault="00D65FA9" w:rsidP="00D65FA9">
      <w:pPr>
        <w:pStyle w:val="Textonotapie"/>
        <w:jc w:val="both"/>
        <w:rPr>
          <w:rFonts w:ascii="Palatino Linotype" w:hAnsi="Palatino Linotype"/>
          <w:sz w:val="16"/>
          <w:szCs w:val="16"/>
        </w:rPr>
      </w:pPr>
      <w:r w:rsidRPr="006741D8">
        <w:rPr>
          <w:rStyle w:val="Refdenotaalpie"/>
          <w:rFonts w:ascii="Palatino Linotype" w:hAnsi="Palatino Linotype"/>
          <w:sz w:val="16"/>
          <w:szCs w:val="16"/>
        </w:rPr>
        <w:footnoteRef/>
      </w:r>
      <w:r w:rsidRPr="006741D8">
        <w:rPr>
          <w:rFonts w:ascii="Palatino Linotype" w:hAnsi="Palatino Linotype"/>
          <w:sz w:val="16"/>
          <w:szCs w:val="16"/>
        </w:rPr>
        <w:t xml:space="preserve"> Página 1428, Tomo XIX, abril de 2004; página 225, Tomo XXVII, enero de 2008; página 690, Libro 33, agosto de 2016, Tomo II; y página 1854, Libro XXIV, septiembre de 2013, Tomo 3, del Semanario Judicial de la Federación y su Gaceta, respectivamente.</w:t>
      </w:r>
    </w:p>
  </w:footnote>
  <w:footnote w:id="2">
    <w:p w14:paraId="01F51B61" w14:textId="77777777" w:rsidR="00986697" w:rsidRDefault="00986697" w:rsidP="00986697">
      <w:pPr>
        <w:pStyle w:val="Piedepgina"/>
        <w:jc w:val="both"/>
      </w:pPr>
      <w:r>
        <w:rPr>
          <w:rStyle w:val="Refdenotaalpie"/>
        </w:rPr>
        <w:footnoteRef/>
      </w:r>
      <w:r>
        <w:t xml:space="preserve"> La Legitimación procesal, es la facultad de poder actuar en el proceso [sea como actor (activa), demandado o tercero (pasivas)]; es la idoneidad de la persona para actuar en juicio, inferida de su posición en el procedimiento. “La Legitimación Procesal”, Biblioteca de Jurídica del Instituto de Investigaciones Jurídicas de la UNAM, consultable el 29/08/2017, en el siguiente enlace: </w:t>
      </w:r>
      <w:hyperlink r:id="rId1" w:history="1">
        <w:r>
          <w:rPr>
            <w:rStyle w:val="Hipervnculo"/>
          </w:rPr>
          <w:t>https://archivos.juridicas.unam.mx/www/bjv/libros/7/3496/18.pdf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53D25BE0" w:rsidR="00E774E4" w:rsidRDefault="00B16EFD">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2591C72A" wp14:editId="6992AB6D">
          <wp:simplePos x="0" y="0"/>
          <wp:positionH relativeFrom="page">
            <wp:posOffset>36339</wp:posOffset>
          </wp:positionH>
          <wp:positionV relativeFrom="page">
            <wp:posOffset>34877</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E774E4" w14:paraId="1B55C452" w14:textId="77777777" w:rsidTr="00AB402D">
      <w:trPr>
        <w:trHeight w:val="227"/>
      </w:trPr>
      <w:tc>
        <w:tcPr>
          <w:tcW w:w="5529" w:type="dxa"/>
          <w:hideMark/>
        </w:tcPr>
        <w:p w14:paraId="7D61692F" w14:textId="77777777" w:rsidR="00E774E4" w:rsidRDefault="00E774E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4EEE38F6" w:rsidR="00E774E4" w:rsidRPr="00B4142F" w:rsidRDefault="0023032F"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80123">
            <w:rPr>
              <w:rFonts w:ascii="Palatino Linotype" w:hAnsi="Palatino Linotype" w:cs="Arial"/>
              <w:bCs/>
              <w:sz w:val="24"/>
              <w:lang w:eastAsia="es-MX"/>
            </w:rPr>
            <w:t>2350</w:t>
          </w:r>
          <w:r w:rsidR="002547B6">
            <w:rPr>
              <w:rFonts w:ascii="Palatino Linotype" w:hAnsi="Palatino Linotype" w:cs="Arial"/>
              <w:bCs/>
              <w:sz w:val="24"/>
              <w:lang w:eastAsia="es-MX"/>
            </w:rPr>
            <w:t>/INFOEM/AD</w:t>
          </w:r>
          <w:r w:rsidR="00E72DA8">
            <w:rPr>
              <w:rFonts w:ascii="Palatino Linotype" w:hAnsi="Palatino Linotype" w:cs="Arial"/>
              <w:bCs/>
              <w:sz w:val="24"/>
              <w:lang w:eastAsia="es-MX"/>
            </w:rPr>
            <w:t>/RR/2021</w:t>
          </w:r>
        </w:p>
      </w:tc>
    </w:tr>
    <w:tr w:rsidR="00E774E4" w14:paraId="54A9600B" w14:textId="77777777" w:rsidTr="00AB402D">
      <w:trPr>
        <w:trHeight w:val="242"/>
      </w:trPr>
      <w:tc>
        <w:tcPr>
          <w:tcW w:w="5529" w:type="dxa"/>
          <w:hideMark/>
        </w:tcPr>
        <w:p w14:paraId="44594D83" w14:textId="77777777" w:rsidR="00E774E4" w:rsidRDefault="00E774E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6FF834D0" w:rsidR="00E774E4" w:rsidRPr="00F06FED" w:rsidRDefault="00A80123" w:rsidP="00E72DA8">
          <w:pPr>
            <w:spacing w:after="120" w:line="256" w:lineRule="auto"/>
            <w:ind w:left="639" w:right="214"/>
            <w:jc w:val="both"/>
            <w:rPr>
              <w:rFonts w:ascii="Palatino Linotype" w:hAnsi="Palatino Linotype" w:cs="Arial"/>
            </w:rPr>
          </w:pPr>
          <w:r>
            <w:rPr>
              <w:rFonts w:ascii="Palatino Linotype" w:hAnsi="Palatino Linotype" w:cs="Arial"/>
              <w:szCs w:val="20"/>
            </w:rPr>
            <w:t>Sistema para el Desarrollo Integral de la Familia del Estado de México</w:t>
          </w:r>
        </w:p>
      </w:tc>
    </w:tr>
    <w:tr w:rsidR="00E774E4" w14:paraId="02ED08B1" w14:textId="77777777" w:rsidTr="00AB402D">
      <w:trPr>
        <w:trHeight w:val="342"/>
      </w:trPr>
      <w:tc>
        <w:tcPr>
          <w:tcW w:w="5529" w:type="dxa"/>
          <w:hideMark/>
        </w:tcPr>
        <w:p w14:paraId="00D66E60" w14:textId="77777777" w:rsidR="00E774E4" w:rsidRDefault="00E774E4"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E774E4" w:rsidRDefault="00E774E4"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E774E4" w:rsidRDefault="00E774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74E4" w14:paraId="333E5951" w14:textId="77777777" w:rsidTr="00AB402D">
      <w:trPr>
        <w:trHeight w:val="227"/>
      </w:trPr>
      <w:tc>
        <w:tcPr>
          <w:tcW w:w="5529" w:type="dxa"/>
          <w:hideMark/>
        </w:tcPr>
        <w:p w14:paraId="5A8BD2EE" w14:textId="489D495A" w:rsidR="00E774E4" w:rsidRDefault="00E774E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3AEB038C" w:rsidR="00E774E4" w:rsidRPr="00B4142F" w:rsidRDefault="00955DA9"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717B2B">
            <w:rPr>
              <w:rFonts w:ascii="Palatino Linotype" w:hAnsi="Palatino Linotype" w:cs="Arial"/>
              <w:bCs/>
              <w:sz w:val="24"/>
              <w:lang w:eastAsia="es-MX"/>
            </w:rPr>
            <w:t>2350</w:t>
          </w:r>
          <w:r w:rsidR="002547B6">
            <w:rPr>
              <w:rFonts w:ascii="Palatino Linotype" w:hAnsi="Palatino Linotype" w:cs="Arial"/>
              <w:bCs/>
              <w:sz w:val="24"/>
              <w:lang w:eastAsia="es-MX"/>
            </w:rPr>
            <w:t>/INFOEM/AD</w:t>
          </w:r>
          <w:r w:rsidR="00E72DA8">
            <w:rPr>
              <w:rFonts w:ascii="Palatino Linotype" w:hAnsi="Palatino Linotype" w:cs="Arial"/>
              <w:bCs/>
              <w:sz w:val="24"/>
              <w:lang w:eastAsia="es-MX"/>
            </w:rPr>
            <w:t>/RR/2021</w:t>
          </w:r>
          <w:r>
            <w:rPr>
              <w:rFonts w:ascii="Palatino Linotype" w:hAnsi="Palatino Linotype" w:cs="Arial"/>
              <w:bCs/>
              <w:sz w:val="24"/>
              <w:lang w:eastAsia="es-MX"/>
            </w:rPr>
            <w:t xml:space="preserve"> </w:t>
          </w:r>
        </w:p>
      </w:tc>
    </w:tr>
    <w:tr w:rsidR="00E774E4" w14:paraId="6C6CCDEF" w14:textId="77777777" w:rsidTr="00AB402D">
      <w:trPr>
        <w:trHeight w:val="196"/>
      </w:trPr>
      <w:tc>
        <w:tcPr>
          <w:tcW w:w="5529" w:type="dxa"/>
          <w:hideMark/>
        </w:tcPr>
        <w:p w14:paraId="79F53C9B" w14:textId="77777777" w:rsidR="00E774E4" w:rsidRDefault="00E774E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002CB0D7" w:rsidR="00E774E4" w:rsidRPr="00F06FED" w:rsidRDefault="00093BF5" w:rsidP="00093BF5">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xxxxxxxxxxxxxxxxxxxxxxxxxxxxxxx</w:t>
          </w:r>
          <w:proofErr w:type="spellEnd"/>
          <w:r w:rsidR="00A80123">
            <w:rPr>
              <w:rFonts w:ascii="Palatino Linotype" w:hAnsi="Palatino Linotype" w:cs="Arial"/>
            </w:rPr>
            <w:t xml:space="preserve"> </w:t>
          </w:r>
          <w:proofErr w:type="spellStart"/>
          <w:r>
            <w:rPr>
              <w:rFonts w:ascii="Palatino Linotype" w:hAnsi="Palatino Linotype" w:cs="Arial"/>
            </w:rPr>
            <w:t>xxxxxxxxxxxx</w:t>
          </w:r>
          <w:proofErr w:type="spellEnd"/>
        </w:p>
      </w:tc>
    </w:tr>
    <w:tr w:rsidR="00E774E4" w14:paraId="63F5D633" w14:textId="77777777" w:rsidTr="00AB402D">
      <w:trPr>
        <w:trHeight w:val="242"/>
      </w:trPr>
      <w:tc>
        <w:tcPr>
          <w:tcW w:w="5529" w:type="dxa"/>
          <w:hideMark/>
        </w:tcPr>
        <w:p w14:paraId="25254C34" w14:textId="77777777" w:rsidR="00E774E4" w:rsidRDefault="00E774E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06750EF9" w:rsidR="00E774E4" w:rsidRDefault="00A80123" w:rsidP="00E72DA8">
          <w:pPr>
            <w:spacing w:after="120" w:line="256" w:lineRule="auto"/>
            <w:ind w:left="639" w:right="214"/>
            <w:jc w:val="both"/>
            <w:rPr>
              <w:rFonts w:ascii="Palatino Linotype" w:hAnsi="Palatino Linotype" w:cs="Arial"/>
              <w:szCs w:val="20"/>
            </w:rPr>
          </w:pPr>
          <w:r>
            <w:rPr>
              <w:rFonts w:ascii="Palatino Linotype" w:hAnsi="Palatino Linotype" w:cs="Arial"/>
              <w:szCs w:val="20"/>
            </w:rPr>
            <w:t>Sistema para el Desarrollo Integral de la Familia del Estado de México</w:t>
          </w:r>
          <w:r w:rsidR="00E774E4">
            <w:rPr>
              <w:rFonts w:ascii="Palatino Linotype" w:hAnsi="Palatino Linotype" w:cs="Arial"/>
              <w:szCs w:val="20"/>
            </w:rPr>
            <w:t xml:space="preserve"> </w:t>
          </w:r>
        </w:p>
      </w:tc>
    </w:tr>
    <w:tr w:rsidR="00E774E4" w14:paraId="6E9635C5" w14:textId="77777777" w:rsidTr="00AB402D">
      <w:trPr>
        <w:trHeight w:val="342"/>
      </w:trPr>
      <w:tc>
        <w:tcPr>
          <w:tcW w:w="5529" w:type="dxa"/>
          <w:hideMark/>
        </w:tcPr>
        <w:p w14:paraId="69273B9D" w14:textId="77777777" w:rsidR="00E774E4" w:rsidRDefault="00E774E4"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E774E4" w:rsidRDefault="00E774E4"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5513EA38" w:rsidR="00E774E4" w:rsidRDefault="00B16EF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94E5669" wp14:editId="7A4ED7A2">
          <wp:simplePos x="0" y="0"/>
          <wp:positionH relativeFrom="page">
            <wp:posOffset>17396</wp:posOffset>
          </wp:positionH>
          <wp:positionV relativeFrom="page">
            <wp:posOffset>-3547</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35282"/>
    <w:multiLevelType w:val="hybridMultilevel"/>
    <w:tmpl w:val="FE44327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5344D4F"/>
    <w:multiLevelType w:val="hybridMultilevel"/>
    <w:tmpl w:val="13E224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EC002B"/>
    <w:multiLevelType w:val="hybridMultilevel"/>
    <w:tmpl w:val="2D1E506E"/>
    <w:lvl w:ilvl="0" w:tplc="B5562CC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5E63A8"/>
    <w:multiLevelType w:val="hybridMultilevel"/>
    <w:tmpl w:val="BB04FA4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F64BDE"/>
    <w:multiLevelType w:val="hybridMultilevel"/>
    <w:tmpl w:val="62C811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A97535"/>
    <w:multiLevelType w:val="hybridMultilevel"/>
    <w:tmpl w:val="29E809CC"/>
    <w:lvl w:ilvl="0" w:tplc="51B29D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EF68C8"/>
    <w:multiLevelType w:val="hybridMultilevel"/>
    <w:tmpl w:val="8F4A777C"/>
    <w:lvl w:ilvl="0" w:tplc="5A8C2130">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1F34552D"/>
    <w:multiLevelType w:val="hybridMultilevel"/>
    <w:tmpl w:val="B1241E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7970ACA"/>
    <w:multiLevelType w:val="hybridMultilevel"/>
    <w:tmpl w:val="15FE2952"/>
    <w:lvl w:ilvl="0" w:tplc="A4FA764C">
      <w:numFmt w:val="bullet"/>
      <w:lvlText w:val="-"/>
      <w:lvlJc w:val="left"/>
      <w:pPr>
        <w:ind w:left="720" w:hanging="360"/>
      </w:pPr>
      <w:rPr>
        <w:rFonts w:ascii="Palatino Linotype" w:eastAsiaTheme="minorHAnsi" w:hAnsi="Palatino Linotype" w:cs="Arial"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5C7805"/>
    <w:multiLevelType w:val="hybridMultilevel"/>
    <w:tmpl w:val="5F6062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BB218E"/>
    <w:multiLevelType w:val="hybridMultilevel"/>
    <w:tmpl w:val="C8E453F6"/>
    <w:lvl w:ilvl="0" w:tplc="5590E32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307363E2"/>
    <w:multiLevelType w:val="hybridMultilevel"/>
    <w:tmpl w:val="66F8A2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25C35DD"/>
    <w:multiLevelType w:val="hybridMultilevel"/>
    <w:tmpl w:val="7FF2D4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848742A"/>
    <w:multiLevelType w:val="hybridMultilevel"/>
    <w:tmpl w:val="78FAA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89E3D12"/>
    <w:multiLevelType w:val="hybridMultilevel"/>
    <w:tmpl w:val="BE1482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00A0F8B"/>
    <w:multiLevelType w:val="hybridMultilevel"/>
    <w:tmpl w:val="5FB074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0F53B90"/>
    <w:multiLevelType w:val="hybridMultilevel"/>
    <w:tmpl w:val="4E1047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96729CA"/>
    <w:multiLevelType w:val="hybridMultilevel"/>
    <w:tmpl w:val="ECFC0DC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3">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0301093"/>
    <w:multiLevelType w:val="hybridMultilevel"/>
    <w:tmpl w:val="CCC2CA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8C41176"/>
    <w:multiLevelType w:val="hybridMultilevel"/>
    <w:tmpl w:val="30627D26"/>
    <w:lvl w:ilvl="0" w:tplc="F12606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2940EF3"/>
    <w:multiLevelType w:val="hybridMultilevel"/>
    <w:tmpl w:val="FC3AF1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46552CD"/>
    <w:multiLevelType w:val="hybridMultilevel"/>
    <w:tmpl w:val="A7420668"/>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nsid w:val="68D51123"/>
    <w:multiLevelType w:val="hybridMultilevel"/>
    <w:tmpl w:val="28129DDA"/>
    <w:lvl w:ilvl="0" w:tplc="33828F1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nsid w:val="6DD67C84"/>
    <w:multiLevelType w:val="hybridMultilevel"/>
    <w:tmpl w:val="4196835C"/>
    <w:lvl w:ilvl="0" w:tplc="897E4136">
      <w:start w:val="1"/>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6E4A49E1"/>
    <w:multiLevelType w:val="hybridMultilevel"/>
    <w:tmpl w:val="7CD228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E58068D"/>
    <w:multiLevelType w:val="hybridMultilevel"/>
    <w:tmpl w:val="89CCD2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EC956BF"/>
    <w:multiLevelType w:val="hybridMultilevel"/>
    <w:tmpl w:val="270C7F26"/>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6">
    <w:nsid w:val="73B10B7F"/>
    <w:multiLevelType w:val="hybridMultilevel"/>
    <w:tmpl w:val="5FCEC894"/>
    <w:lvl w:ilvl="0" w:tplc="5A10982C">
      <w:start w:val="1"/>
      <w:numFmt w:val="bullet"/>
      <w:lvlText w:val="-"/>
      <w:lvlJc w:val="left"/>
      <w:pPr>
        <w:ind w:left="1080" w:hanging="360"/>
      </w:pPr>
      <w:rPr>
        <w:rFonts w:ascii="Palatino Linotype" w:eastAsiaTheme="minorHAnsi"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nsid w:val="75E47987"/>
    <w:multiLevelType w:val="hybridMultilevel"/>
    <w:tmpl w:val="B00ADD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90C1E10"/>
    <w:multiLevelType w:val="hybridMultilevel"/>
    <w:tmpl w:val="78A0343C"/>
    <w:lvl w:ilvl="0" w:tplc="7E6EAE1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CEF398F"/>
    <w:multiLevelType w:val="hybridMultilevel"/>
    <w:tmpl w:val="321A925C"/>
    <w:lvl w:ilvl="0" w:tplc="76A89B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5"/>
  </w:num>
  <w:num w:numId="3">
    <w:abstractNumId w:val="2"/>
  </w:num>
  <w:num w:numId="4">
    <w:abstractNumId w:val="17"/>
  </w:num>
  <w:num w:numId="5">
    <w:abstractNumId w:val="4"/>
  </w:num>
  <w:num w:numId="6">
    <w:abstractNumId w:val="30"/>
  </w:num>
  <w:num w:numId="7">
    <w:abstractNumId w:val="22"/>
  </w:num>
  <w:num w:numId="8">
    <w:abstractNumId w:val="25"/>
  </w:num>
  <w:num w:numId="9">
    <w:abstractNumId w:val="26"/>
  </w:num>
  <w:num w:numId="10">
    <w:abstractNumId w:val="20"/>
  </w:num>
  <w:num w:numId="11">
    <w:abstractNumId w:val="10"/>
  </w:num>
  <w:num w:numId="12">
    <w:abstractNumId w:val="23"/>
  </w:num>
  <w:num w:numId="13">
    <w:abstractNumId w:val="16"/>
  </w:num>
  <w:num w:numId="14">
    <w:abstractNumId w:val="0"/>
  </w:num>
  <w:num w:numId="15">
    <w:abstractNumId w:val="33"/>
  </w:num>
  <w:num w:numId="16">
    <w:abstractNumId w:val="34"/>
  </w:num>
  <w:num w:numId="17">
    <w:abstractNumId w:val="24"/>
  </w:num>
  <w:num w:numId="18">
    <w:abstractNumId w:val="5"/>
  </w:num>
  <w:num w:numId="19">
    <w:abstractNumId w:val="15"/>
  </w:num>
  <w:num w:numId="20">
    <w:abstractNumId w:val="28"/>
  </w:num>
  <w:num w:numId="21">
    <w:abstractNumId w:val="38"/>
  </w:num>
  <w:num w:numId="22">
    <w:abstractNumId w:val="21"/>
  </w:num>
  <w:num w:numId="23">
    <w:abstractNumId w:val="32"/>
  </w:num>
  <w:num w:numId="24">
    <w:abstractNumId w:val="39"/>
  </w:num>
  <w:num w:numId="25">
    <w:abstractNumId w:val="8"/>
  </w:num>
  <w:num w:numId="26">
    <w:abstractNumId w:val="1"/>
  </w:num>
  <w:num w:numId="27">
    <w:abstractNumId w:val="3"/>
  </w:num>
  <w:num w:numId="28">
    <w:abstractNumId w:val="37"/>
  </w:num>
  <w:num w:numId="29">
    <w:abstractNumId w:val="18"/>
  </w:num>
  <w:num w:numId="30">
    <w:abstractNumId w:val="31"/>
  </w:num>
  <w:num w:numId="31">
    <w:abstractNumId w:val="7"/>
  </w:num>
  <w:num w:numId="32">
    <w:abstractNumId w:val="19"/>
  </w:num>
  <w:num w:numId="33">
    <w:abstractNumId w:val="13"/>
  </w:num>
  <w:num w:numId="34">
    <w:abstractNumId w:val="29"/>
  </w:num>
  <w:num w:numId="35">
    <w:abstractNumId w:val="14"/>
  </w:num>
  <w:num w:numId="36">
    <w:abstractNumId w:val="9"/>
  </w:num>
  <w:num w:numId="37">
    <w:abstractNumId w:val="36"/>
  </w:num>
  <w:num w:numId="38">
    <w:abstractNumId w:val="12"/>
  </w:num>
  <w:num w:numId="39">
    <w:abstractNumId w:val="11"/>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6ECC"/>
    <w:rsid w:val="00006EF3"/>
    <w:rsid w:val="0000791F"/>
    <w:rsid w:val="00026263"/>
    <w:rsid w:val="000414F1"/>
    <w:rsid w:val="0004467E"/>
    <w:rsid w:val="00045B26"/>
    <w:rsid w:val="00047CEC"/>
    <w:rsid w:val="0005446E"/>
    <w:rsid w:val="00055224"/>
    <w:rsid w:val="0005728E"/>
    <w:rsid w:val="000616F2"/>
    <w:rsid w:val="00061821"/>
    <w:rsid w:val="00063619"/>
    <w:rsid w:val="000671D1"/>
    <w:rsid w:val="00073DF6"/>
    <w:rsid w:val="00074115"/>
    <w:rsid w:val="00076054"/>
    <w:rsid w:val="00076413"/>
    <w:rsid w:val="00080482"/>
    <w:rsid w:val="0008648A"/>
    <w:rsid w:val="00086F8A"/>
    <w:rsid w:val="00087F5D"/>
    <w:rsid w:val="000908B1"/>
    <w:rsid w:val="00091468"/>
    <w:rsid w:val="00091552"/>
    <w:rsid w:val="00093BF5"/>
    <w:rsid w:val="00093E23"/>
    <w:rsid w:val="00097C3E"/>
    <w:rsid w:val="000A2CB6"/>
    <w:rsid w:val="000A337E"/>
    <w:rsid w:val="000A4A07"/>
    <w:rsid w:val="000B0670"/>
    <w:rsid w:val="000B2D41"/>
    <w:rsid w:val="000B62E8"/>
    <w:rsid w:val="000C4FA5"/>
    <w:rsid w:val="000C5BDA"/>
    <w:rsid w:val="000C6188"/>
    <w:rsid w:val="000D00AC"/>
    <w:rsid w:val="000D03C6"/>
    <w:rsid w:val="000D214C"/>
    <w:rsid w:val="000D2676"/>
    <w:rsid w:val="000E27CB"/>
    <w:rsid w:val="000E4742"/>
    <w:rsid w:val="000F2747"/>
    <w:rsid w:val="0010213B"/>
    <w:rsid w:val="001107EF"/>
    <w:rsid w:val="001132C3"/>
    <w:rsid w:val="0011559B"/>
    <w:rsid w:val="001158FD"/>
    <w:rsid w:val="00117DA2"/>
    <w:rsid w:val="00121ABD"/>
    <w:rsid w:val="00124855"/>
    <w:rsid w:val="001260E7"/>
    <w:rsid w:val="001278C1"/>
    <w:rsid w:val="00130240"/>
    <w:rsid w:val="0014223D"/>
    <w:rsid w:val="001471C9"/>
    <w:rsid w:val="001571AC"/>
    <w:rsid w:val="00157906"/>
    <w:rsid w:val="00163E5A"/>
    <w:rsid w:val="00172CD6"/>
    <w:rsid w:val="00174A84"/>
    <w:rsid w:val="0017533E"/>
    <w:rsid w:val="00175588"/>
    <w:rsid w:val="00175897"/>
    <w:rsid w:val="00177571"/>
    <w:rsid w:val="00177A1B"/>
    <w:rsid w:val="00181FF9"/>
    <w:rsid w:val="001A02EC"/>
    <w:rsid w:val="001A5182"/>
    <w:rsid w:val="001A7838"/>
    <w:rsid w:val="001B28A5"/>
    <w:rsid w:val="001B31FB"/>
    <w:rsid w:val="001B3F18"/>
    <w:rsid w:val="001B4A39"/>
    <w:rsid w:val="001B7707"/>
    <w:rsid w:val="001B7B88"/>
    <w:rsid w:val="001B7C27"/>
    <w:rsid w:val="001C60E9"/>
    <w:rsid w:val="001C66B9"/>
    <w:rsid w:val="001D0472"/>
    <w:rsid w:val="001D12B5"/>
    <w:rsid w:val="001D28C3"/>
    <w:rsid w:val="001E1B38"/>
    <w:rsid w:val="001E52AE"/>
    <w:rsid w:val="001E54B0"/>
    <w:rsid w:val="001E7015"/>
    <w:rsid w:val="001F03EF"/>
    <w:rsid w:val="00200225"/>
    <w:rsid w:val="00202A10"/>
    <w:rsid w:val="00211957"/>
    <w:rsid w:val="00217520"/>
    <w:rsid w:val="002205C0"/>
    <w:rsid w:val="00224535"/>
    <w:rsid w:val="002246BE"/>
    <w:rsid w:val="0023032F"/>
    <w:rsid w:val="00232D81"/>
    <w:rsid w:val="00233D67"/>
    <w:rsid w:val="002363B0"/>
    <w:rsid w:val="002369B7"/>
    <w:rsid w:val="00237601"/>
    <w:rsid w:val="00251358"/>
    <w:rsid w:val="002547B6"/>
    <w:rsid w:val="00264EF7"/>
    <w:rsid w:val="00266933"/>
    <w:rsid w:val="00267044"/>
    <w:rsid w:val="0026799B"/>
    <w:rsid w:val="00276A41"/>
    <w:rsid w:val="00276ACC"/>
    <w:rsid w:val="00277182"/>
    <w:rsid w:val="00280DA7"/>
    <w:rsid w:val="00282948"/>
    <w:rsid w:val="002A2034"/>
    <w:rsid w:val="002A228B"/>
    <w:rsid w:val="002A4C79"/>
    <w:rsid w:val="002A4CB4"/>
    <w:rsid w:val="002A6C73"/>
    <w:rsid w:val="002B27A8"/>
    <w:rsid w:val="002B69C6"/>
    <w:rsid w:val="002B7BFB"/>
    <w:rsid w:val="002C02B5"/>
    <w:rsid w:val="002C05BC"/>
    <w:rsid w:val="002C09FC"/>
    <w:rsid w:val="002C1E07"/>
    <w:rsid w:val="002C35A9"/>
    <w:rsid w:val="002C517F"/>
    <w:rsid w:val="002C638E"/>
    <w:rsid w:val="002D1675"/>
    <w:rsid w:val="002D1EC2"/>
    <w:rsid w:val="002E0624"/>
    <w:rsid w:val="002E2D5A"/>
    <w:rsid w:val="002E6A03"/>
    <w:rsid w:val="002F37BE"/>
    <w:rsid w:val="002F7E70"/>
    <w:rsid w:val="00300B2B"/>
    <w:rsid w:val="00300D0B"/>
    <w:rsid w:val="003034DC"/>
    <w:rsid w:val="00306096"/>
    <w:rsid w:val="00313850"/>
    <w:rsid w:val="00317FD2"/>
    <w:rsid w:val="00340234"/>
    <w:rsid w:val="003431AE"/>
    <w:rsid w:val="003442FC"/>
    <w:rsid w:val="0034595E"/>
    <w:rsid w:val="003508B1"/>
    <w:rsid w:val="003511AD"/>
    <w:rsid w:val="00352FBE"/>
    <w:rsid w:val="0036024B"/>
    <w:rsid w:val="00361B9C"/>
    <w:rsid w:val="003625BE"/>
    <w:rsid w:val="0036460D"/>
    <w:rsid w:val="0036596F"/>
    <w:rsid w:val="0037721A"/>
    <w:rsid w:val="00377C4A"/>
    <w:rsid w:val="003802A1"/>
    <w:rsid w:val="00380EFC"/>
    <w:rsid w:val="0038288C"/>
    <w:rsid w:val="00391F51"/>
    <w:rsid w:val="00397454"/>
    <w:rsid w:val="00397B57"/>
    <w:rsid w:val="003A61F9"/>
    <w:rsid w:val="003B3ADF"/>
    <w:rsid w:val="003B45B5"/>
    <w:rsid w:val="003B7B17"/>
    <w:rsid w:val="003C24B8"/>
    <w:rsid w:val="003C7ACD"/>
    <w:rsid w:val="003D7780"/>
    <w:rsid w:val="003E4407"/>
    <w:rsid w:val="003E4B02"/>
    <w:rsid w:val="003E6A3C"/>
    <w:rsid w:val="004012CF"/>
    <w:rsid w:val="00402FF3"/>
    <w:rsid w:val="004057C7"/>
    <w:rsid w:val="0040689B"/>
    <w:rsid w:val="004216D8"/>
    <w:rsid w:val="00423213"/>
    <w:rsid w:val="00427F2E"/>
    <w:rsid w:val="00434F17"/>
    <w:rsid w:val="00437DEC"/>
    <w:rsid w:val="00440B46"/>
    <w:rsid w:val="00441585"/>
    <w:rsid w:val="004419C1"/>
    <w:rsid w:val="004425BF"/>
    <w:rsid w:val="00442B2A"/>
    <w:rsid w:val="00445D06"/>
    <w:rsid w:val="00450A99"/>
    <w:rsid w:val="00454FB3"/>
    <w:rsid w:val="00455922"/>
    <w:rsid w:val="00461DBA"/>
    <w:rsid w:val="00463E45"/>
    <w:rsid w:val="00464386"/>
    <w:rsid w:val="00474A8B"/>
    <w:rsid w:val="00477306"/>
    <w:rsid w:val="00477720"/>
    <w:rsid w:val="0048178E"/>
    <w:rsid w:val="00481AAF"/>
    <w:rsid w:val="004906C8"/>
    <w:rsid w:val="004A0CC0"/>
    <w:rsid w:val="004A5AAA"/>
    <w:rsid w:val="004B5DE3"/>
    <w:rsid w:val="004C7621"/>
    <w:rsid w:val="004D574A"/>
    <w:rsid w:val="004E4255"/>
    <w:rsid w:val="004E48B4"/>
    <w:rsid w:val="004E6BE9"/>
    <w:rsid w:val="004E7C39"/>
    <w:rsid w:val="00501E21"/>
    <w:rsid w:val="005102E0"/>
    <w:rsid w:val="005152E2"/>
    <w:rsid w:val="00515C21"/>
    <w:rsid w:val="00522352"/>
    <w:rsid w:val="00523CF0"/>
    <w:rsid w:val="00525760"/>
    <w:rsid w:val="005360AC"/>
    <w:rsid w:val="00541313"/>
    <w:rsid w:val="005436D7"/>
    <w:rsid w:val="005437E7"/>
    <w:rsid w:val="00552846"/>
    <w:rsid w:val="00557B14"/>
    <w:rsid w:val="00562653"/>
    <w:rsid w:val="005645BE"/>
    <w:rsid w:val="0056513A"/>
    <w:rsid w:val="00567D72"/>
    <w:rsid w:val="00570592"/>
    <w:rsid w:val="005733EB"/>
    <w:rsid w:val="00582600"/>
    <w:rsid w:val="005A08C7"/>
    <w:rsid w:val="005A11CB"/>
    <w:rsid w:val="005B6443"/>
    <w:rsid w:val="005D2B59"/>
    <w:rsid w:val="005D2D4E"/>
    <w:rsid w:val="005D303B"/>
    <w:rsid w:val="005D370F"/>
    <w:rsid w:val="005D6EF7"/>
    <w:rsid w:val="005E3BC0"/>
    <w:rsid w:val="005E6C3F"/>
    <w:rsid w:val="005F18B8"/>
    <w:rsid w:val="005F218A"/>
    <w:rsid w:val="005F57F0"/>
    <w:rsid w:val="005F6CA8"/>
    <w:rsid w:val="006006AB"/>
    <w:rsid w:val="00601ABC"/>
    <w:rsid w:val="006069DC"/>
    <w:rsid w:val="006113E2"/>
    <w:rsid w:val="00611928"/>
    <w:rsid w:val="00613AD7"/>
    <w:rsid w:val="006168E4"/>
    <w:rsid w:val="00616A3A"/>
    <w:rsid w:val="0062208A"/>
    <w:rsid w:val="00624567"/>
    <w:rsid w:val="00625D0D"/>
    <w:rsid w:val="006314A7"/>
    <w:rsid w:val="00637E4B"/>
    <w:rsid w:val="006479CF"/>
    <w:rsid w:val="00647CFC"/>
    <w:rsid w:val="00651AA0"/>
    <w:rsid w:val="006615F9"/>
    <w:rsid w:val="006639E2"/>
    <w:rsid w:val="00665261"/>
    <w:rsid w:val="00666AD1"/>
    <w:rsid w:val="00672209"/>
    <w:rsid w:val="00672DC6"/>
    <w:rsid w:val="00676967"/>
    <w:rsid w:val="0068092C"/>
    <w:rsid w:val="0068733B"/>
    <w:rsid w:val="0069184E"/>
    <w:rsid w:val="0069410C"/>
    <w:rsid w:val="0069416F"/>
    <w:rsid w:val="00694976"/>
    <w:rsid w:val="00696D5C"/>
    <w:rsid w:val="006A6BD9"/>
    <w:rsid w:val="006D0B60"/>
    <w:rsid w:val="006D5B07"/>
    <w:rsid w:val="006D6365"/>
    <w:rsid w:val="006F55F2"/>
    <w:rsid w:val="006F7AEB"/>
    <w:rsid w:val="007017AF"/>
    <w:rsid w:val="007051B0"/>
    <w:rsid w:val="0070767C"/>
    <w:rsid w:val="00714CA6"/>
    <w:rsid w:val="00715527"/>
    <w:rsid w:val="00717B2B"/>
    <w:rsid w:val="0072080A"/>
    <w:rsid w:val="0072333B"/>
    <w:rsid w:val="00731DC5"/>
    <w:rsid w:val="00732DD5"/>
    <w:rsid w:val="00741033"/>
    <w:rsid w:val="007433D8"/>
    <w:rsid w:val="00744EEF"/>
    <w:rsid w:val="00750A92"/>
    <w:rsid w:val="00751F1B"/>
    <w:rsid w:val="00754496"/>
    <w:rsid w:val="00754CAE"/>
    <w:rsid w:val="0076176B"/>
    <w:rsid w:val="00766B1F"/>
    <w:rsid w:val="00766B69"/>
    <w:rsid w:val="00774536"/>
    <w:rsid w:val="00775BF4"/>
    <w:rsid w:val="0078285F"/>
    <w:rsid w:val="0079244F"/>
    <w:rsid w:val="00794F80"/>
    <w:rsid w:val="007A36EE"/>
    <w:rsid w:val="007A5EAA"/>
    <w:rsid w:val="007A681B"/>
    <w:rsid w:val="007B2C77"/>
    <w:rsid w:val="007B3C72"/>
    <w:rsid w:val="007B4114"/>
    <w:rsid w:val="007C02B3"/>
    <w:rsid w:val="007C3098"/>
    <w:rsid w:val="007C6A59"/>
    <w:rsid w:val="007D1A27"/>
    <w:rsid w:val="007D1F15"/>
    <w:rsid w:val="007D25B1"/>
    <w:rsid w:val="007D2878"/>
    <w:rsid w:val="007D56C3"/>
    <w:rsid w:val="007D7A2A"/>
    <w:rsid w:val="007E27BA"/>
    <w:rsid w:val="007E29AA"/>
    <w:rsid w:val="007E3DCC"/>
    <w:rsid w:val="007E4685"/>
    <w:rsid w:val="007E491D"/>
    <w:rsid w:val="007F23D7"/>
    <w:rsid w:val="007F6055"/>
    <w:rsid w:val="007F6DFC"/>
    <w:rsid w:val="007F6E5B"/>
    <w:rsid w:val="00804CAE"/>
    <w:rsid w:val="00810F15"/>
    <w:rsid w:val="00811205"/>
    <w:rsid w:val="00812C48"/>
    <w:rsid w:val="00813D17"/>
    <w:rsid w:val="008212A5"/>
    <w:rsid w:val="008217D2"/>
    <w:rsid w:val="00827D50"/>
    <w:rsid w:val="00834D80"/>
    <w:rsid w:val="00836437"/>
    <w:rsid w:val="00842EB2"/>
    <w:rsid w:val="00847D23"/>
    <w:rsid w:val="00850F73"/>
    <w:rsid w:val="00851144"/>
    <w:rsid w:val="00851762"/>
    <w:rsid w:val="00854B28"/>
    <w:rsid w:val="00862368"/>
    <w:rsid w:val="00862416"/>
    <w:rsid w:val="00863619"/>
    <w:rsid w:val="0087182F"/>
    <w:rsid w:val="008822BE"/>
    <w:rsid w:val="00884054"/>
    <w:rsid w:val="00884901"/>
    <w:rsid w:val="00884FC4"/>
    <w:rsid w:val="00887CAA"/>
    <w:rsid w:val="0089172F"/>
    <w:rsid w:val="00892D37"/>
    <w:rsid w:val="008A08A8"/>
    <w:rsid w:val="008A6B62"/>
    <w:rsid w:val="008B678F"/>
    <w:rsid w:val="008C00FA"/>
    <w:rsid w:val="008C1A65"/>
    <w:rsid w:val="008C55A3"/>
    <w:rsid w:val="008D0165"/>
    <w:rsid w:val="008D5FD2"/>
    <w:rsid w:val="008E4C73"/>
    <w:rsid w:val="008E5A5E"/>
    <w:rsid w:val="008E629B"/>
    <w:rsid w:val="008E6375"/>
    <w:rsid w:val="008E7C6B"/>
    <w:rsid w:val="008F1464"/>
    <w:rsid w:val="008F2BA6"/>
    <w:rsid w:val="008F733C"/>
    <w:rsid w:val="008F76BD"/>
    <w:rsid w:val="00900828"/>
    <w:rsid w:val="00903BC1"/>
    <w:rsid w:val="00905AFA"/>
    <w:rsid w:val="00911AD7"/>
    <w:rsid w:val="0091251B"/>
    <w:rsid w:val="00913196"/>
    <w:rsid w:val="00920964"/>
    <w:rsid w:val="00924F63"/>
    <w:rsid w:val="00930FBA"/>
    <w:rsid w:val="00932918"/>
    <w:rsid w:val="009366E4"/>
    <w:rsid w:val="00941D7F"/>
    <w:rsid w:val="00942A79"/>
    <w:rsid w:val="00942DCF"/>
    <w:rsid w:val="00944468"/>
    <w:rsid w:val="00944DC9"/>
    <w:rsid w:val="009510B5"/>
    <w:rsid w:val="009520E5"/>
    <w:rsid w:val="0095267A"/>
    <w:rsid w:val="00955DA9"/>
    <w:rsid w:val="009567F2"/>
    <w:rsid w:val="00961D50"/>
    <w:rsid w:val="009639FB"/>
    <w:rsid w:val="00964A99"/>
    <w:rsid w:val="0096643B"/>
    <w:rsid w:val="00966C4B"/>
    <w:rsid w:val="00971264"/>
    <w:rsid w:val="009733FF"/>
    <w:rsid w:val="009738FB"/>
    <w:rsid w:val="00973AD8"/>
    <w:rsid w:val="00973E6E"/>
    <w:rsid w:val="009743C4"/>
    <w:rsid w:val="009865A9"/>
    <w:rsid w:val="00986697"/>
    <w:rsid w:val="0099331E"/>
    <w:rsid w:val="00997358"/>
    <w:rsid w:val="00997EB1"/>
    <w:rsid w:val="009A2832"/>
    <w:rsid w:val="009A3903"/>
    <w:rsid w:val="009A53D0"/>
    <w:rsid w:val="009A686F"/>
    <w:rsid w:val="009A6A58"/>
    <w:rsid w:val="009B3487"/>
    <w:rsid w:val="009B4CE2"/>
    <w:rsid w:val="009D21B9"/>
    <w:rsid w:val="009D246B"/>
    <w:rsid w:val="009D43B0"/>
    <w:rsid w:val="009E227D"/>
    <w:rsid w:val="009E3F91"/>
    <w:rsid w:val="009E5046"/>
    <w:rsid w:val="009E7413"/>
    <w:rsid w:val="009F6476"/>
    <w:rsid w:val="00A04A4E"/>
    <w:rsid w:val="00A063CB"/>
    <w:rsid w:val="00A077D1"/>
    <w:rsid w:val="00A112FB"/>
    <w:rsid w:val="00A116A6"/>
    <w:rsid w:val="00A14119"/>
    <w:rsid w:val="00A17750"/>
    <w:rsid w:val="00A22240"/>
    <w:rsid w:val="00A417A1"/>
    <w:rsid w:val="00A41C0C"/>
    <w:rsid w:val="00A44B75"/>
    <w:rsid w:val="00A47C12"/>
    <w:rsid w:val="00A603BA"/>
    <w:rsid w:val="00A608D7"/>
    <w:rsid w:val="00A6194C"/>
    <w:rsid w:val="00A625E2"/>
    <w:rsid w:val="00A63302"/>
    <w:rsid w:val="00A72465"/>
    <w:rsid w:val="00A80123"/>
    <w:rsid w:val="00A80C92"/>
    <w:rsid w:val="00A93319"/>
    <w:rsid w:val="00AA352E"/>
    <w:rsid w:val="00AA648E"/>
    <w:rsid w:val="00AB3710"/>
    <w:rsid w:val="00AB402D"/>
    <w:rsid w:val="00AB4B0F"/>
    <w:rsid w:val="00AD012F"/>
    <w:rsid w:val="00AD6DB5"/>
    <w:rsid w:val="00AE3531"/>
    <w:rsid w:val="00AE3CCC"/>
    <w:rsid w:val="00AE4213"/>
    <w:rsid w:val="00AF19F7"/>
    <w:rsid w:val="00AF2434"/>
    <w:rsid w:val="00B002CC"/>
    <w:rsid w:val="00B02A6E"/>
    <w:rsid w:val="00B10F5B"/>
    <w:rsid w:val="00B12BDA"/>
    <w:rsid w:val="00B143FC"/>
    <w:rsid w:val="00B16EFD"/>
    <w:rsid w:val="00B20329"/>
    <w:rsid w:val="00B2394F"/>
    <w:rsid w:val="00B23959"/>
    <w:rsid w:val="00B32CD3"/>
    <w:rsid w:val="00B3672D"/>
    <w:rsid w:val="00B36C81"/>
    <w:rsid w:val="00B3772D"/>
    <w:rsid w:val="00B37C0D"/>
    <w:rsid w:val="00B4013A"/>
    <w:rsid w:val="00B4269B"/>
    <w:rsid w:val="00B42834"/>
    <w:rsid w:val="00B554F8"/>
    <w:rsid w:val="00B57749"/>
    <w:rsid w:val="00B775C9"/>
    <w:rsid w:val="00B840EA"/>
    <w:rsid w:val="00B86A10"/>
    <w:rsid w:val="00BA7AD1"/>
    <w:rsid w:val="00BB243B"/>
    <w:rsid w:val="00BB4979"/>
    <w:rsid w:val="00BC0FDD"/>
    <w:rsid w:val="00BC1900"/>
    <w:rsid w:val="00BC22E0"/>
    <w:rsid w:val="00BD1278"/>
    <w:rsid w:val="00BD5A87"/>
    <w:rsid w:val="00BD5FAD"/>
    <w:rsid w:val="00BD7DE0"/>
    <w:rsid w:val="00BF0E3C"/>
    <w:rsid w:val="00BF2A2E"/>
    <w:rsid w:val="00C001F2"/>
    <w:rsid w:val="00C06C28"/>
    <w:rsid w:val="00C16E7A"/>
    <w:rsid w:val="00C2109F"/>
    <w:rsid w:val="00C2287C"/>
    <w:rsid w:val="00C32964"/>
    <w:rsid w:val="00C34ACE"/>
    <w:rsid w:val="00C34E64"/>
    <w:rsid w:val="00C40FD6"/>
    <w:rsid w:val="00C47608"/>
    <w:rsid w:val="00C50568"/>
    <w:rsid w:val="00C531DA"/>
    <w:rsid w:val="00C534F6"/>
    <w:rsid w:val="00C540CE"/>
    <w:rsid w:val="00C55013"/>
    <w:rsid w:val="00C608B5"/>
    <w:rsid w:val="00C62738"/>
    <w:rsid w:val="00C63F32"/>
    <w:rsid w:val="00C64B8E"/>
    <w:rsid w:val="00C7502E"/>
    <w:rsid w:val="00C83EE5"/>
    <w:rsid w:val="00C875A4"/>
    <w:rsid w:val="00C97356"/>
    <w:rsid w:val="00CA0732"/>
    <w:rsid w:val="00CB147C"/>
    <w:rsid w:val="00CB2B18"/>
    <w:rsid w:val="00CB2E37"/>
    <w:rsid w:val="00CB60D0"/>
    <w:rsid w:val="00CC0C5F"/>
    <w:rsid w:val="00CC3AB7"/>
    <w:rsid w:val="00CD0418"/>
    <w:rsid w:val="00CD255F"/>
    <w:rsid w:val="00CD2D8C"/>
    <w:rsid w:val="00CD68E1"/>
    <w:rsid w:val="00CD6A0F"/>
    <w:rsid w:val="00CE2ADF"/>
    <w:rsid w:val="00CE5425"/>
    <w:rsid w:val="00CE57A2"/>
    <w:rsid w:val="00CE7CBD"/>
    <w:rsid w:val="00D06CA0"/>
    <w:rsid w:val="00D10E06"/>
    <w:rsid w:val="00D11A14"/>
    <w:rsid w:val="00D14DF8"/>
    <w:rsid w:val="00D170A2"/>
    <w:rsid w:val="00D23B4F"/>
    <w:rsid w:val="00D26D95"/>
    <w:rsid w:val="00D27721"/>
    <w:rsid w:val="00D36BD5"/>
    <w:rsid w:val="00D42929"/>
    <w:rsid w:val="00D43069"/>
    <w:rsid w:val="00D52C9E"/>
    <w:rsid w:val="00D633C2"/>
    <w:rsid w:val="00D64F6A"/>
    <w:rsid w:val="00D65FA9"/>
    <w:rsid w:val="00D6751B"/>
    <w:rsid w:val="00D70DD1"/>
    <w:rsid w:val="00D72D16"/>
    <w:rsid w:val="00D741A3"/>
    <w:rsid w:val="00D7560D"/>
    <w:rsid w:val="00D76554"/>
    <w:rsid w:val="00D77057"/>
    <w:rsid w:val="00D77D30"/>
    <w:rsid w:val="00D8164B"/>
    <w:rsid w:val="00D90540"/>
    <w:rsid w:val="00D95546"/>
    <w:rsid w:val="00D96B46"/>
    <w:rsid w:val="00D9743B"/>
    <w:rsid w:val="00D97C53"/>
    <w:rsid w:val="00D97E7D"/>
    <w:rsid w:val="00DA3016"/>
    <w:rsid w:val="00DA380F"/>
    <w:rsid w:val="00DA67C7"/>
    <w:rsid w:val="00DB11D0"/>
    <w:rsid w:val="00DB295E"/>
    <w:rsid w:val="00DB5C0A"/>
    <w:rsid w:val="00DC173E"/>
    <w:rsid w:val="00DD13E2"/>
    <w:rsid w:val="00DD32C0"/>
    <w:rsid w:val="00DD79E0"/>
    <w:rsid w:val="00DE1B70"/>
    <w:rsid w:val="00DE684B"/>
    <w:rsid w:val="00DF003C"/>
    <w:rsid w:val="00DF0645"/>
    <w:rsid w:val="00DF2B89"/>
    <w:rsid w:val="00DF2E3E"/>
    <w:rsid w:val="00DF4501"/>
    <w:rsid w:val="00DF62A4"/>
    <w:rsid w:val="00DF7715"/>
    <w:rsid w:val="00E02A52"/>
    <w:rsid w:val="00E07BD8"/>
    <w:rsid w:val="00E1072D"/>
    <w:rsid w:val="00E10BB4"/>
    <w:rsid w:val="00E160C7"/>
    <w:rsid w:val="00E168E5"/>
    <w:rsid w:val="00E20F97"/>
    <w:rsid w:val="00E41A49"/>
    <w:rsid w:val="00E46C9C"/>
    <w:rsid w:val="00E47913"/>
    <w:rsid w:val="00E53ACB"/>
    <w:rsid w:val="00E632AA"/>
    <w:rsid w:val="00E63D4F"/>
    <w:rsid w:val="00E65E29"/>
    <w:rsid w:val="00E71827"/>
    <w:rsid w:val="00E71AB2"/>
    <w:rsid w:val="00E72DA8"/>
    <w:rsid w:val="00E76617"/>
    <w:rsid w:val="00E774E4"/>
    <w:rsid w:val="00E80297"/>
    <w:rsid w:val="00E854AF"/>
    <w:rsid w:val="00E93992"/>
    <w:rsid w:val="00EA1F89"/>
    <w:rsid w:val="00EA597E"/>
    <w:rsid w:val="00EB072F"/>
    <w:rsid w:val="00EB0A6E"/>
    <w:rsid w:val="00EB79CD"/>
    <w:rsid w:val="00EC5C70"/>
    <w:rsid w:val="00EC5E3E"/>
    <w:rsid w:val="00ED255A"/>
    <w:rsid w:val="00ED255B"/>
    <w:rsid w:val="00ED5615"/>
    <w:rsid w:val="00ED571E"/>
    <w:rsid w:val="00EE2200"/>
    <w:rsid w:val="00EE2942"/>
    <w:rsid w:val="00EE2A41"/>
    <w:rsid w:val="00EE608E"/>
    <w:rsid w:val="00EF64CD"/>
    <w:rsid w:val="00F00F93"/>
    <w:rsid w:val="00F01245"/>
    <w:rsid w:val="00F017B9"/>
    <w:rsid w:val="00F0351B"/>
    <w:rsid w:val="00F10DEE"/>
    <w:rsid w:val="00F119BB"/>
    <w:rsid w:val="00F15906"/>
    <w:rsid w:val="00F15D2B"/>
    <w:rsid w:val="00F22566"/>
    <w:rsid w:val="00F35D59"/>
    <w:rsid w:val="00F43A6A"/>
    <w:rsid w:val="00F47A77"/>
    <w:rsid w:val="00F47BA8"/>
    <w:rsid w:val="00F5285B"/>
    <w:rsid w:val="00F55762"/>
    <w:rsid w:val="00F558F7"/>
    <w:rsid w:val="00F56371"/>
    <w:rsid w:val="00F621AE"/>
    <w:rsid w:val="00F727B0"/>
    <w:rsid w:val="00F83218"/>
    <w:rsid w:val="00F853C3"/>
    <w:rsid w:val="00F9008E"/>
    <w:rsid w:val="00F952C8"/>
    <w:rsid w:val="00FA0372"/>
    <w:rsid w:val="00FA4C4E"/>
    <w:rsid w:val="00FA4EBF"/>
    <w:rsid w:val="00FB0C03"/>
    <w:rsid w:val="00FB0F72"/>
    <w:rsid w:val="00FB21F4"/>
    <w:rsid w:val="00FB4BBD"/>
    <w:rsid w:val="00FB6EFA"/>
    <w:rsid w:val="00FB7484"/>
    <w:rsid w:val="00FD2E24"/>
    <w:rsid w:val="00FD3F68"/>
    <w:rsid w:val="00FD4599"/>
    <w:rsid w:val="00FD4784"/>
    <w:rsid w:val="00FD65FE"/>
    <w:rsid w:val="00FE69D7"/>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character" w:customStyle="1" w:styleId="UnresolvedMention">
    <w:name w:val="Unresolved Mention"/>
    <w:basedOn w:val="Fuentedeprrafopredeter"/>
    <w:uiPriority w:val="99"/>
    <w:semiHidden/>
    <w:unhideWhenUsed/>
    <w:rsid w:val="008E4C73"/>
    <w:rPr>
      <w:color w:val="605E5C"/>
      <w:shd w:val="clear" w:color="auto" w:fill="E1DFDD"/>
    </w:rPr>
  </w:style>
  <w:style w:type="paragraph" w:customStyle="1" w:styleId="INFOEM">
    <w:name w:val="INFOEM"/>
    <w:basedOn w:val="Normal"/>
    <w:qFormat/>
    <w:rsid w:val="00E72DA8"/>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38709690">
      <w:bodyDiv w:val="1"/>
      <w:marLeft w:val="0"/>
      <w:marRight w:val="0"/>
      <w:marTop w:val="0"/>
      <w:marBottom w:val="0"/>
      <w:divBdr>
        <w:top w:val="none" w:sz="0" w:space="0" w:color="auto"/>
        <w:left w:val="none" w:sz="0" w:space="0" w:color="auto"/>
        <w:bottom w:val="none" w:sz="0" w:space="0" w:color="auto"/>
        <w:right w:val="none" w:sz="0" w:space="0" w:color="auto"/>
      </w:divBdr>
    </w:div>
    <w:div w:id="426655790">
      <w:bodyDiv w:val="1"/>
      <w:marLeft w:val="0"/>
      <w:marRight w:val="0"/>
      <w:marTop w:val="0"/>
      <w:marBottom w:val="0"/>
      <w:divBdr>
        <w:top w:val="none" w:sz="0" w:space="0" w:color="auto"/>
        <w:left w:val="none" w:sz="0" w:space="0" w:color="auto"/>
        <w:bottom w:val="none" w:sz="0" w:space="0" w:color="auto"/>
        <w:right w:val="none" w:sz="0" w:space="0" w:color="auto"/>
      </w:divBdr>
    </w:div>
    <w:div w:id="550771817">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737677971">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682969443">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ee.edomex@gmail.com"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sfpya.edomexico.gob.mx/recaudacio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difem@edomex.gob.mx"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archivos.juridicas.unam.mx/www/bjv/libros/7/3496/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73453-683A-49F2-A659-E8C77802E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31</Pages>
  <Words>5262</Words>
  <Characters>28942</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19</cp:revision>
  <cp:lastPrinted>2019-12-02T18:59:00Z</cp:lastPrinted>
  <dcterms:created xsi:type="dcterms:W3CDTF">2021-06-07T23:30:00Z</dcterms:created>
  <dcterms:modified xsi:type="dcterms:W3CDTF">2021-08-04T16:28:00Z</dcterms:modified>
</cp:coreProperties>
</file>