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DEF2" w14:textId="73C094D4" w:rsidR="008A49F0" w:rsidRPr="008A49F0" w:rsidRDefault="008A49F0" w:rsidP="008A49F0">
      <w:pPr>
        <w:tabs>
          <w:tab w:val="left" w:pos="567"/>
        </w:tabs>
        <w:spacing w:before="240" w:after="240" w:line="360" w:lineRule="auto"/>
        <w:jc w:val="both"/>
        <w:rPr>
          <w:rFonts w:ascii="Palatino Linotype" w:hAnsi="Palatino Linotype"/>
        </w:rPr>
      </w:pPr>
      <w:r w:rsidRPr="008A49F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siete</w:t>
      </w:r>
      <w:r w:rsidRPr="008A49F0">
        <w:rPr>
          <w:rFonts w:ascii="Palatino Linotype" w:hAnsi="Palatino Linotype"/>
        </w:rPr>
        <w:t xml:space="preserve"> (</w:t>
      </w:r>
      <w:r>
        <w:rPr>
          <w:rFonts w:ascii="Palatino Linotype" w:hAnsi="Palatino Linotype"/>
        </w:rPr>
        <w:t>07</w:t>
      </w:r>
      <w:r w:rsidRPr="008A49F0">
        <w:rPr>
          <w:rFonts w:ascii="Palatino Linotype" w:hAnsi="Palatino Linotype"/>
        </w:rPr>
        <w:t xml:space="preserve">) de </w:t>
      </w:r>
      <w:r>
        <w:rPr>
          <w:rFonts w:ascii="Palatino Linotype" w:hAnsi="Palatino Linotype"/>
        </w:rPr>
        <w:t>juli</w:t>
      </w:r>
      <w:r w:rsidRPr="008A49F0">
        <w:rPr>
          <w:rFonts w:ascii="Palatino Linotype" w:hAnsi="Palatino Linotype"/>
        </w:rPr>
        <w:t>o de dos mil veintiuno.</w:t>
      </w:r>
    </w:p>
    <w:p w14:paraId="167BC9E6" w14:textId="2FCC2934" w:rsidR="008A49F0" w:rsidRPr="008A49F0" w:rsidRDefault="008A49F0" w:rsidP="008A49F0">
      <w:pPr>
        <w:pStyle w:val="Encabezado"/>
        <w:spacing w:line="360" w:lineRule="auto"/>
        <w:jc w:val="both"/>
        <w:rPr>
          <w:rFonts w:ascii="Palatino Linotype" w:eastAsia="Times New Roman" w:hAnsi="Palatino Linotype" w:cs="Times New Roman"/>
        </w:rPr>
      </w:pPr>
      <w:r w:rsidRPr="008A49F0">
        <w:rPr>
          <w:rFonts w:ascii="Palatino Linotype" w:eastAsia="Times New Roman" w:hAnsi="Palatino Linotype" w:cs="Times New Roman"/>
          <w:b/>
        </w:rPr>
        <w:t>VISTO</w:t>
      </w:r>
      <w:r w:rsidRPr="008A49F0">
        <w:rPr>
          <w:rFonts w:ascii="Palatino Linotype" w:eastAsia="Times New Roman" w:hAnsi="Palatino Linotype" w:cs="Times New Roman"/>
        </w:rPr>
        <w:t xml:space="preserve"> el expediente formado con motivo del recurso de revisión número </w:t>
      </w:r>
      <w:r>
        <w:rPr>
          <w:rFonts w:ascii="Palatino Linotype" w:hAnsi="Palatino Linotype" w:cs="Arial"/>
          <w:b/>
          <w:bCs/>
          <w:lang w:eastAsia="es-MX"/>
        </w:rPr>
        <w:t>02753/INFOEM/AD/RR/2021</w:t>
      </w:r>
      <w:r w:rsidRPr="008A49F0">
        <w:rPr>
          <w:rFonts w:ascii="Palatino Linotype" w:eastAsia="Times New Roman" w:hAnsi="Palatino Linotype" w:cs="Arial"/>
          <w:bCs/>
        </w:rPr>
        <w:t xml:space="preserve">, </w:t>
      </w:r>
      <w:r w:rsidRPr="008A49F0">
        <w:rPr>
          <w:rFonts w:ascii="Palatino Linotype" w:eastAsia="Times New Roman" w:hAnsi="Palatino Linotype" w:cs="Times New Roman"/>
        </w:rPr>
        <w:t xml:space="preserve">promovido vía </w:t>
      </w:r>
      <w:r w:rsidRPr="008A49F0">
        <w:rPr>
          <w:rFonts w:ascii="Palatino Linotype" w:eastAsia="Times New Roman" w:hAnsi="Palatino Linotype" w:cs="Times New Roman"/>
          <w:b/>
        </w:rPr>
        <w:t xml:space="preserve">Sistema de Acceso, Rectificación, Cancelación y Oposición de Datos Personales del Estado de México (SARCOEM), </w:t>
      </w:r>
      <w:r w:rsidRPr="008A49F0">
        <w:rPr>
          <w:rFonts w:ascii="Palatino Linotype" w:eastAsia="Times New Roman" w:hAnsi="Palatino Linotype" w:cs="Times New Roman"/>
        </w:rPr>
        <w:t xml:space="preserve">por </w:t>
      </w:r>
      <w:r w:rsidR="00A84830">
        <w:rPr>
          <w:rFonts w:ascii="Palatino Linotype" w:eastAsia="Times New Roman" w:hAnsi="Palatino Linotype" w:cs="Times New Roman"/>
          <w:b/>
        </w:rPr>
        <w:t>XXXXXXXXXXXXXXXXXXXXX</w:t>
      </w:r>
      <w:r w:rsidRPr="008A49F0">
        <w:rPr>
          <w:rFonts w:ascii="Palatino Linotype" w:eastAsia="Times New Roman" w:hAnsi="Palatino Linotype" w:cs="Times New Roman"/>
          <w:b/>
        </w:rPr>
        <w:t xml:space="preserve">, </w:t>
      </w:r>
      <w:r w:rsidRPr="008A49F0">
        <w:rPr>
          <w:rFonts w:ascii="Palatino Linotype" w:eastAsia="Times New Roman" w:hAnsi="Palatino Linotype" w:cs="Arial"/>
        </w:rPr>
        <w:t xml:space="preserve">en su calidad de </w:t>
      </w:r>
      <w:r w:rsidRPr="008A49F0">
        <w:rPr>
          <w:rFonts w:ascii="Palatino Linotype" w:eastAsia="Times New Roman" w:hAnsi="Palatino Linotype" w:cs="Arial"/>
          <w:b/>
        </w:rPr>
        <w:t>RECURRENTE</w:t>
      </w:r>
      <w:r w:rsidRPr="008A49F0">
        <w:rPr>
          <w:rFonts w:ascii="Palatino Linotype" w:eastAsia="Times New Roman" w:hAnsi="Palatino Linotype" w:cs="Arial"/>
        </w:rPr>
        <w:t>, en contra de la respuesta otorgada a su</w:t>
      </w:r>
      <w:r w:rsidRPr="008A49F0">
        <w:rPr>
          <w:rFonts w:ascii="Palatino Linotype" w:eastAsia="Calibri" w:hAnsi="Palatino Linotype" w:cs="Arial"/>
          <w:color w:val="000000" w:themeColor="text1"/>
          <w:lang w:val="es-ES"/>
        </w:rPr>
        <w:t xml:space="preserve"> solicitud de acceso a datos, presentada</w:t>
      </w:r>
      <w:r w:rsidRPr="008A49F0">
        <w:rPr>
          <w:rFonts w:ascii="Palatino Linotype" w:eastAsia="Calibri" w:hAnsi="Palatino Linotype" w:cs="Arial"/>
          <w:lang w:val="es-ES"/>
        </w:rPr>
        <w:t xml:space="preserve"> ante el </w:t>
      </w:r>
      <w:r w:rsidRPr="008A49F0">
        <w:rPr>
          <w:rFonts w:ascii="Palatino Linotype" w:hAnsi="Palatino Linotype"/>
          <w:b/>
        </w:rPr>
        <w:t>Instituto de Seguridad Social del Estado de México y Municipios (ISSEMyM)</w:t>
      </w:r>
      <w:r w:rsidRPr="008A49F0">
        <w:rPr>
          <w:rFonts w:ascii="Palatino Linotype" w:hAnsi="Palatino Linotype"/>
        </w:rPr>
        <w:t xml:space="preserve"> </w:t>
      </w:r>
      <w:r w:rsidRPr="008A49F0">
        <w:rPr>
          <w:rFonts w:ascii="Palatino Linotype" w:eastAsia="Times New Roman" w:hAnsi="Palatino Linotype" w:cs="Times New Roman"/>
        </w:rPr>
        <w:t>en lo sucesivo el</w:t>
      </w:r>
      <w:r w:rsidRPr="008A49F0">
        <w:rPr>
          <w:rFonts w:ascii="Palatino Linotype" w:eastAsia="Times New Roman" w:hAnsi="Palatino Linotype" w:cs="Times New Roman"/>
          <w:b/>
        </w:rPr>
        <w:t xml:space="preserve"> SUJETO OBLIGADO, </w:t>
      </w:r>
      <w:r w:rsidRPr="008A49F0">
        <w:rPr>
          <w:rFonts w:ascii="Palatino Linotype" w:eastAsia="Times New Roman" w:hAnsi="Palatino Linotype" w:cs="Times New Roman"/>
        </w:rPr>
        <w:t>se procede a dictar la presente resolución, con base en los siguientes:</w:t>
      </w:r>
      <w:bookmarkStart w:id="0" w:name="_Toc466418172"/>
      <w:bookmarkStart w:id="1" w:name="_Toc462402153"/>
      <w:bookmarkStart w:id="2" w:name="_GoBack"/>
      <w:bookmarkEnd w:id="2"/>
    </w:p>
    <w:p w14:paraId="25FD4A2F" w14:textId="77777777" w:rsidR="008A49F0" w:rsidRPr="006463BD" w:rsidRDefault="008A49F0" w:rsidP="008A49F0">
      <w:pPr>
        <w:pStyle w:val="Ttulo1"/>
        <w:tabs>
          <w:tab w:val="left" w:pos="567"/>
        </w:tabs>
        <w:jc w:val="center"/>
        <w:rPr>
          <w:rFonts w:ascii="Palatino Linotype" w:hAnsi="Palatino Linotype"/>
          <w:b/>
          <w:color w:val="auto"/>
          <w:sz w:val="24"/>
        </w:rPr>
      </w:pPr>
      <w:bookmarkStart w:id="3" w:name="_Toc473812222"/>
      <w:bookmarkStart w:id="4" w:name="_Toc495430765"/>
      <w:bookmarkStart w:id="5" w:name="_Toc71758069"/>
      <w:r w:rsidRPr="006463BD">
        <w:rPr>
          <w:rFonts w:ascii="Palatino Linotype" w:hAnsi="Palatino Linotype"/>
          <w:b/>
          <w:color w:val="auto"/>
          <w:sz w:val="24"/>
        </w:rPr>
        <w:t>ANTECEDENTES</w:t>
      </w:r>
      <w:bookmarkEnd w:id="3"/>
      <w:bookmarkEnd w:id="4"/>
      <w:bookmarkEnd w:id="5"/>
    </w:p>
    <w:p w14:paraId="0113A773" w14:textId="77777777" w:rsidR="008A49F0" w:rsidRPr="008A49F0" w:rsidRDefault="008A49F0" w:rsidP="008A49F0">
      <w:pPr>
        <w:tabs>
          <w:tab w:val="left" w:pos="567"/>
        </w:tabs>
        <w:rPr>
          <w:rFonts w:ascii="Palatino Linotype" w:hAnsi="Palatino Linotype"/>
          <w:lang w:eastAsia="en-US"/>
        </w:rPr>
      </w:pPr>
    </w:p>
    <w:p w14:paraId="6A0B86FF" w14:textId="5545DC86" w:rsidR="008A49F0" w:rsidRPr="008A49F0" w:rsidRDefault="008A49F0" w:rsidP="008A49F0">
      <w:pPr>
        <w:pStyle w:val="Prrafodelista"/>
        <w:numPr>
          <w:ilvl w:val="0"/>
          <w:numId w:val="24"/>
        </w:numPr>
        <w:tabs>
          <w:tab w:val="left" w:pos="567"/>
        </w:tabs>
        <w:spacing w:before="100" w:beforeAutospacing="1" w:after="100" w:afterAutospacing="1" w:line="360" w:lineRule="auto"/>
        <w:ind w:left="0" w:firstLine="0"/>
        <w:contextualSpacing/>
        <w:jc w:val="both"/>
        <w:rPr>
          <w:rFonts w:ascii="Palatino Linotype" w:hAnsi="Palatino Linotype"/>
          <w:szCs w:val="23"/>
        </w:rPr>
      </w:pPr>
      <w:r w:rsidRPr="008A49F0">
        <w:rPr>
          <w:rFonts w:ascii="Palatino Linotype" w:eastAsia="Calibri" w:hAnsi="Palatino Linotype" w:cs="Arial"/>
        </w:rPr>
        <w:t xml:space="preserve">El día </w:t>
      </w:r>
      <w:r w:rsidR="006463BD">
        <w:rPr>
          <w:rFonts w:ascii="Palatino Linotype" w:eastAsia="Calibri" w:hAnsi="Palatino Linotype" w:cs="Arial"/>
        </w:rPr>
        <w:t>catorce</w:t>
      </w:r>
      <w:r w:rsidRPr="008A49F0">
        <w:rPr>
          <w:rFonts w:ascii="Palatino Linotype" w:eastAsia="Calibri" w:hAnsi="Palatino Linotype" w:cs="Arial"/>
        </w:rPr>
        <w:t xml:space="preserve"> (1</w:t>
      </w:r>
      <w:r w:rsidR="006463BD">
        <w:rPr>
          <w:rFonts w:ascii="Palatino Linotype" w:eastAsia="Calibri" w:hAnsi="Palatino Linotype" w:cs="Arial"/>
        </w:rPr>
        <w:t>4</w:t>
      </w:r>
      <w:r w:rsidRPr="008A49F0">
        <w:rPr>
          <w:rFonts w:ascii="Palatino Linotype" w:eastAsia="Calibri" w:hAnsi="Palatino Linotype" w:cs="Arial"/>
        </w:rPr>
        <w:t xml:space="preserve">) de </w:t>
      </w:r>
      <w:r w:rsidR="006463BD">
        <w:rPr>
          <w:rFonts w:ascii="Palatino Linotype" w:eastAsia="Calibri" w:hAnsi="Palatino Linotype" w:cs="Arial"/>
        </w:rPr>
        <w:t>abril</w:t>
      </w:r>
      <w:r w:rsidRPr="008A49F0">
        <w:rPr>
          <w:rFonts w:ascii="Palatino Linotype" w:eastAsia="Calibri" w:hAnsi="Palatino Linotype" w:cs="Arial"/>
        </w:rPr>
        <w:t xml:space="preserve"> de dos mil veintiuno</w:t>
      </w:r>
      <w:r w:rsidRPr="008A49F0">
        <w:rPr>
          <w:rFonts w:ascii="Palatino Linotype" w:hAnsi="Palatino Linotype"/>
          <w:b/>
        </w:rPr>
        <w:t xml:space="preserve">, </w:t>
      </w:r>
      <w:r w:rsidRPr="008A49F0">
        <w:rPr>
          <w:rFonts w:ascii="Palatino Linotype" w:eastAsia="Calibri" w:hAnsi="Palatino Linotype" w:cs="Arial"/>
        </w:rPr>
        <w:t xml:space="preserve">se presentó ante el </w:t>
      </w:r>
      <w:r w:rsidRPr="008A49F0">
        <w:rPr>
          <w:rFonts w:ascii="Palatino Linotype" w:eastAsia="Calibri" w:hAnsi="Palatino Linotype" w:cs="Arial"/>
          <w:b/>
        </w:rPr>
        <w:t>SUJETO OBLIGADO</w:t>
      </w:r>
      <w:r w:rsidRPr="008A49F0">
        <w:rPr>
          <w:rFonts w:ascii="Palatino Linotype" w:eastAsia="Calibri" w:hAnsi="Palatino Linotype" w:cs="Arial"/>
        </w:rPr>
        <w:t xml:space="preserve"> vía SARCOEM, la solicitud de acceso a datos registrada con el número</w:t>
      </w:r>
      <w:r w:rsidRPr="008A49F0">
        <w:rPr>
          <w:rFonts w:ascii="Palatino Linotype" w:hAnsi="Palatino Linotype"/>
          <w:b/>
          <w:bCs/>
          <w:color w:val="000000" w:themeColor="text1"/>
        </w:rPr>
        <w:t xml:space="preserve"> </w:t>
      </w:r>
      <w:r w:rsidR="006463BD">
        <w:rPr>
          <w:rFonts w:ascii="Palatino Linotype" w:hAnsi="Palatino Linotype"/>
          <w:b/>
          <w:bCs/>
          <w:color w:val="000000" w:themeColor="text1"/>
        </w:rPr>
        <w:t>00123/ISSEMYM/AD/2021</w:t>
      </w:r>
      <w:r w:rsidRPr="008A49F0">
        <w:rPr>
          <w:rFonts w:ascii="Palatino Linotype" w:eastAsia="Calibri" w:hAnsi="Palatino Linotype" w:cs="Arial"/>
        </w:rPr>
        <w:t xml:space="preserve"> mediante la cual se solicitó lo siguiente</w:t>
      </w:r>
      <w:r w:rsidRPr="008A49F0">
        <w:rPr>
          <w:rFonts w:ascii="Palatino Linotype" w:hAnsi="Palatino Linotype"/>
          <w:szCs w:val="23"/>
        </w:rPr>
        <w:t>:</w:t>
      </w:r>
    </w:p>
    <w:p w14:paraId="5746C286" w14:textId="77777777" w:rsidR="008A49F0" w:rsidRPr="008A49F0" w:rsidRDefault="008A49F0" w:rsidP="008A49F0">
      <w:pPr>
        <w:pStyle w:val="Prrafodelista"/>
        <w:tabs>
          <w:tab w:val="left" w:pos="567"/>
        </w:tabs>
        <w:spacing w:before="100" w:beforeAutospacing="1" w:after="100" w:afterAutospacing="1" w:line="360" w:lineRule="auto"/>
        <w:ind w:left="0"/>
        <w:jc w:val="both"/>
        <w:rPr>
          <w:rFonts w:ascii="Palatino Linotype" w:hAnsi="Palatino Linotype"/>
          <w:szCs w:val="23"/>
        </w:rPr>
      </w:pPr>
    </w:p>
    <w:p w14:paraId="50A16479" w14:textId="5A855D8E" w:rsidR="008A49F0" w:rsidRPr="008A49F0" w:rsidRDefault="008A49F0" w:rsidP="008A49F0">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rPr>
      </w:pPr>
      <w:r w:rsidRPr="008A49F0">
        <w:rPr>
          <w:rFonts w:ascii="Palatino Linotype" w:eastAsia="Calibri" w:hAnsi="Palatino Linotype" w:cs="Arial"/>
          <w:i/>
          <w:color w:val="000000" w:themeColor="text1"/>
          <w:sz w:val="22"/>
          <w:szCs w:val="22"/>
        </w:rPr>
        <w:t>“</w:t>
      </w:r>
      <w:r w:rsidR="006463BD" w:rsidRPr="006463BD">
        <w:rPr>
          <w:rFonts w:ascii="Palatino Linotype" w:eastAsia="Calibri" w:hAnsi="Palatino Linotype" w:cs="Arial"/>
          <w:i/>
          <w:color w:val="000000" w:themeColor="text1"/>
          <w:sz w:val="22"/>
          <w:szCs w:val="22"/>
        </w:rPr>
        <w:t xml:space="preserve">Historial clínico certificado del Sr. </w:t>
      </w:r>
      <w:r w:rsidR="00810CFC">
        <w:rPr>
          <w:rFonts w:ascii="Palatino Linotype" w:eastAsia="Calibri" w:hAnsi="Palatino Linotype" w:cs="Arial"/>
          <w:i/>
          <w:color w:val="000000" w:themeColor="text1"/>
          <w:sz w:val="22"/>
          <w:szCs w:val="22"/>
        </w:rPr>
        <w:t>XXXXXXXXXXXXXXXXX</w:t>
      </w:r>
      <w:r w:rsidR="006463BD" w:rsidRPr="006463BD">
        <w:rPr>
          <w:rFonts w:ascii="Palatino Linotype" w:eastAsia="Calibri" w:hAnsi="Palatino Linotype" w:cs="Arial"/>
          <w:i/>
          <w:color w:val="000000" w:themeColor="text1"/>
          <w:sz w:val="22"/>
          <w:szCs w:val="22"/>
        </w:rPr>
        <w:t xml:space="preserve"> con clave ISSEMYM </w:t>
      </w:r>
      <w:r w:rsidR="00810CFC">
        <w:rPr>
          <w:rFonts w:ascii="Palatino Linotype" w:eastAsia="Calibri" w:hAnsi="Palatino Linotype" w:cs="Arial"/>
          <w:i/>
          <w:color w:val="000000" w:themeColor="text1"/>
          <w:sz w:val="22"/>
          <w:szCs w:val="22"/>
        </w:rPr>
        <w:t>XXXXXXXX</w:t>
      </w:r>
      <w:r w:rsidR="006463BD" w:rsidRPr="006463BD">
        <w:rPr>
          <w:rFonts w:ascii="Palatino Linotype" w:eastAsia="Calibri" w:hAnsi="Palatino Linotype" w:cs="Arial"/>
          <w:i/>
          <w:color w:val="000000" w:themeColor="text1"/>
          <w:sz w:val="22"/>
          <w:szCs w:val="22"/>
        </w:rPr>
        <w:t xml:space="preserve"> correspondiente a la clínica regional chopos Cuautitlán Izcalli Edo. </w:t>
      </w:r>
      <w:proofErr w:type="spellStart"/>
      <w:r w:rsidR="006463BD" w:rsidRPr="006463BD">
        <w:rPr>
          <w:rFonts w:ascii="Palatino Linotype" w:eastAsia="Calibri" w:hAnsi="Palatino Linotype" w:cs="Arial"/>
          <w:i/>
          <w:color w:val="000000" w:themeColor="text1"/>
          <w:sz w:val="22"/>
          <w:szCs w:val="22"/>
        </w:rPr>
        <w:t>Mex</w:t>
      </w:r>
      <w:proofErr w:type="spellEnd"/>
      <w:r w:rsidR="006463BD" w:rsidRPr="006463BD">
        <w:rPr>
          <w:rFonts w:ascii="Palatino Linotype" w:eastAsia="Calibri" w:hAnsi="Palatino Linotype" w:cs="Arial"/>
          <w:i/>
          <w:color w:val="000000" w:themeColor="text1"/>
          <w:sz w:val="22"/>
          <w:szCs w:val="22"/>
        </w:rPr>
        <w:t>.</w:t>
      </w:r>
      <w:r w:rsidRPr="008A49F0">
        <w:rPr>
          <w:rFonts w:ascii="Palatino Linotype" w:eastAsia="Calibri" w:hAnsi="Palatino Linotype" w:cs="Arial"/>
          <w:i/>
          <w:color w:val="000000" w:themeColor="text1"/>
          <w:sz w:val="22"/>
          <w:szCs w:val="22"/>
        </w:rPr>
        <w:t>”</w:t>
      </w:r>
    </w:p>
    <w:p w14:paraId="5A984EF8" w14:textId="77777777" w:rsidR="008A49F0" w:rsidRPr="008A49F0" w:rsidRDefault="008A49F0" w:rsidP="008A49F0">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rPr>
      </w:pPr>
    </w:p>
    <w:p w14:paraId="201A7835" w14:textId="4F493DB4" w:rsidR="008A49F0" w:rsidRDefault="008A49F0" w:rsidP="008A49F0">
      <w:pPr>
        <w:pStyle w:val="Prrafodelista"/>
        <w:tabs>
          <w:tab w:val="left" w:pos="567"/>
        </w:tabs>
        <w:spacing w:line="360" w:lineRule="auto"/>
        <w:ind w:left="567" w:right="567"/>
        <w:jc w:val="both"/>
        <w:rPr>
          <w:rFonts w:ascii="Palatino Linotype" w:eastAsia="Calibri" w:hAnsi="Palatino Linotype" w:cs="Arial"/>
          <w:color w:val="000000" w:themeColor="text1"/>
          <w:szCs w:val="22"/>
        </w:rPr>
      </w:pPr>
      <w:r w:rsidRPr="00CE7327">
        <w:rPr>
          <w:rFonts w:ascii="Palatino Linotype" w:eastAsia="Calibri" w:hAnsi="Palatino Linotype" w:cs="Arial"/>
          <w:color w:val="000000" w:themeColor="text1"/>
          <w:szCs w:val="22"/>
        </w:rPr>
        <w:lastRenderedPageBreak/>
        <w:t xml:space="preserve">Archivos adjuntos: </w:t>
      </w:r>
      <w:r w:rsidR="006463BD" w:rsidRPr="00CE7327">
        <w:rPr>
          <w:rFonts w:ascii="Palatino Linotype" w:eastAsia="Calibri" w:hAnsi="Palatino Linotype" w:cs="Arial"/>
          <w:b/>
          <w:color w:val="000000" w:themeColor="text1"/>
          <w:szCs w:val="22"/>
        </w:rPr>
        <w:t>SOLICDOC_IND</w:t>
      </w:r>
      <w:proofErr w:type="gramStart"/>
      <w:r w:rsidR="006463BD" w:rsidRPr="00CE7327">
        <w:rPr>
          <w:rFonts w:ascii="Palatino Linotype" w:eastAsia="Calibri" w:hAnsi="Palatino Linotype" w:cs="Arial"/>
          <w:b/>
          <w:color w:val="000000" w:themeColor="text1"/>
          <w:szCs w:val="22"/>
        </w:rPr>
        <w:t>_[</w:t>
      </w:r>
      <w:proofErr w:type="gramEnd"/>
      <w:r w:rsidR="006463BD" w:rsidRPr="00CE7327">
        <w:rPr>
          <w:rFonts w:ascii="Palatino Linotype" w:eastAsia="Calibri" w:hAnsi="Palatino Linotype" w:cs="Arial"/>
          <w:b/>
          <w:color w:val="000000" w:themeColor="text1"/>
          <w:szCs w:val="22"/>
        </w:rPr>
        <w:t>14405-9300115] (1).pdf</w:t>
      </w:r>
      <w:r w:rsidR="00CE7327" w:rsidRPr="00CE7327">
        <w:rPr>
          <w:rFonts w:ascii="Palatino Linotype" w:eastAsia="Calibri" w:hAnsi="Palatino Linotype" w:cs="Arial"/>
          <w:b/>
          <w:color w:val="000000" w:themeColor="text1"/>
          <w:szCs w:val="22"/>
        </w:rPr>
        <w:t xml:space="preserve">, </w:t>
      </w:r>
      <w:r w:rsidR="00CE7327" w:rsidRPr="00CE7327">
        <w:rPr>
          <w:rFonts w:ascii="Palatino Linotype" w:eastAsia="Calibri" w:hAnsi="Palatino Linotype" w:cs="Arial"/>
          <w:color w:val="000000" w:themeColor="text1"/>
          <w:szCs w:val="22"/>
        </w:rPr>
        <w:t xml:space="preserve"> que contiene</w:t>
      </w:r>
      <w:r w:rsidR="00CE7327">
        <w:rPr>
          <w:rFonts w:ascii="Palatino Linotype" w:eastAsia="Calibri" w:hAnsi="Palatino Linotype" w:cs="Arial"/>
          <w:color w:val="000000" w:themeColor="text1"/>
          <w:szCs w:val="22"/>
        </w:rPr>
        <w:t xml:space="preserve"> algunos requisitos para hacer valido un seguro de vida.</w:t>
      </w:r>
    </w:p>
    <w:p w14:paraId="711F0D2C" w14:textId="77777777" w:rsidR="00CE7327" w:rsidRPr="00CE7327" w:rsidRDefault="00CE7327" w:rsidP="008A49F0">
      <w:pPr>
        <w:pStyle w:val="Prrafodelista"/>
        <w:tabs>
          <w:tab w:val="left" w:pos="567"/>
        </w:tabs>
        <w:spacing w:line="360" w:lineRule="auto"/>
        <w:ind w:left="567" w:right="567"/>
        <w:jc w:val="both"/>
        <w:rPr>
          <w:rFonts w:ascii="Palatino Linotype" w:eastAsia="Calibri" w:hAnsi="Palatino Linotype" w:cs="Arial"/>
          <w:color w:val="000000" w:themeColor="text1"/>
          <w:szCs w:val="22"/>
        </w:rPr>
      </w:pPr>
    </w:p>
    <w:p w14:paraId="32824340" w14:textId="695E46B5" w:rsidR="008A49F0" w:rsidRDefault="008A49F0" w:rsidP="008A49F0">
      <w:pPr>
        <w:pStyle w:val="Default"/>
        <w:numPr>
          <w:ilvl w:val="0"/>
          <w:numId w:val="24"/>
        </w:numPr>
        <w:spacing w:line="360" w:lineRule="auto"/>
        <w:ind w:left="0" w:firstLine="0"/>
        <w:jc w:val="both"/>
        <w:rPr>
          <w:rFonts w:ascii="Palatino Linotype" w:hAnsi="Palatino Linotype"/>
        </w:rPr>
      </w:pPr>
      <w:r w:rsidRPr="008A49F0">
        <w:rPr>
          <w:rFonts w:ascii="Palatino Linotype" w:hAnsi="Palatino Linotype"/>
        </w:rPr>
        <w:t xml:space="preserve">En fecha </w:t>
      </w:r>
      <w:r w:rsidR="00CE7327">
        <w:rPr>
          <w:rFonts w:ascii="Palatino Linotype" w:hAnsi="Palatino Linotype"/>
        </w:rPr>
        <w:t>diecinueve</w:t>
      </w:r>
      <w:r w:rsidRPr="008A49F0">
        <w:rPr>
          <w:rFonts w:ascii="Palatino Linotype" w:hAnsi="Palatino Linotype"/>
        </w:rPr>
        <w:t xml:space="preserve"> (</w:t>
      </w:r>
      <w:r w:rsidR="00CE7327">
        <w:rPr>
          <w:rFonts w:ascii="Palatino Linotype" w:hAnsi="Palatino Linotype"/>
        </w:rPr>
        <w:t>19</w:t>
      </w:r>
      <w:r w:rsidRPr="008A49F0">
        <w:rPr>
          <w:rFonts w:ascii="Palatino Linotype" w:hAnsi="Palatino Linotype"/>
        </w:rPr>
        <w:t xml:space="preserve">) de </w:t>
      </w:r>
      <w:r w:rsidR="00CE7327">
        <w:rPr>
          <w:rFonts w:ascii="Palatino Linotype" w:hAnsi="Palatino Linotype"/>
        </w:rPr>
        <w:t>abril</w:t>
      </w:r>
      <w:r w:rsidRPr="008A49F0">
        <w:rPr>
          <w:rFonts w:ascii="Palatino Linotype" w:hAnsi="Palatino Linotype"/>
        </w:rPr>
        <w:t xml:space="preserve"> de dos mil veintiuno, el </w:t>
      </w:r>
      <w:r w:rsidRPr="008A49F0">
        <w:rPr>
          <w:rFonts w:ascii="Palatino Linotype" w:hAnsi="Palatino Linotype"/>
          <w:b/>
        </w:rPr>
        <w:t>SUJETO OBLIGADO</w:t>
      </w:r>
      <w:r w:rsidRPr="008A49F0">
        <w:rPr>
          <w:rFonts w:ascii="Palatino Linotype" w:hAnsi="Palatino Linotype"/>
        </w:rPr>
        <w:t xml:space="preserve">, </w:t>
      </w:r>
      <w:r w:rsidR="00CE7327">
        <w:rPr>
          <w:rFonts w:ascii="Palatino Linotype" w:hAnsi="Palatino Linotype"/>
        </w:rPr>
        <w:t xml:space="preserve">realizó una solicitud de aclaración </w:t>
      </w:r>
      <w:r w:rsidR="00CE7327" w:rsidRPr="00CE7327">
        <w:rPr>
          <w:rFonts w:ascii="Palatino Linotype" w:hAnsi="Palatino Linotype"/>
          <w:i/>
        </w:rPr>
        <w:t>grosso modo</w:t>
      </w:r>
      <w:r w:rsidR="00CE7327">
        <w:rPr>
          <w:rFonts w:ascii="Palatino Linotype" w:hAnsi="Palatino Linotype"/>
        </w:rPr>
        <w:t xml:space="preserve"> en los siguientes términos</w:t>
      </w:r>
      <w:r w:rsidRPr="008A49F0">
        <w:rPr>
          <w:rFonts w:ascii="Palatino Linotype" w:hAnsi="Palatino Linotype"/>
        </w:rPr>
        <w:t>:</w:t>
      </w:r>
    </w:p>
    <w:p w14:paraId="60CB7B26" w14:textId="171989C7" w:rsidR="00CE7327" w:rsidRPr="008A49F0" w:rsidRDefault="00CE7327" w:rsidP="00CE7327">
      <w:pPr>
        <w:pStyle w:val="Default"/>
        <w:spacing w:line="360" w:lineRule="auto"/>
        <w:jc w:val="center"/>
        <w:rPr>
          <w:rFonts w:ascii="Palatino Linotype" w:hAnsi="Palatino Linotype"/>
        </w:rPr>
      </w:pPr>
      <w:r>
        <w:rPr>
          <w:rFonts w:ascii="Palatino Linotype" w:hAnsi="Palatino Linotype"/>
          <w:noProof/>
          <w:lang w:eastAsia="es-MX"/>
        </w:rPr>
        <w:drawing>
          <wp:inline distT="0" distB="0" distL="0" distR="0" wp14:anchorId="2E3F5089" wp14:editId="3A594D82">
            <wp:extent cx="4093845" cy="4817660"/>
            <wp:effectExtent l="19050" t="19050" r="20955" b="215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3488" cy="4852544"/>
                    </a:xfrm>
                    <a:prstGeom prst="rect">
                      <a:avLst/>
                    </a:prstGeom>
                    <a:noFill/>
                    <a:ln>
                      <a:solidFill>
                        <a:schemeClr val="tx1"/>
                      </a:solidFill>
                    </a:ln>
                  </pic:spPr>
                </pic:pic>
              </a:graphicData>
            </a:graphic>
          </wp:inline>
        </w:drawing>
      </w:r>
    </w:p>
    <w:p w14:paraId="4A5AB85B" w14:textId="0EFF576F" w:rsidR="008A49F0" w:rsidRPr="008A49F0" w:rsidRDefault="008A49F0" w:rsidP="008A49F0">
      <w:pPr>
        <w:pStyle w:val="Default"/>
        <w:spacing w:line="360" w:lineRule="auto"/>
        <w:jc w:val="center"/>
        <w:rPr>
          <w:rFonts w:ascii="Palatino Linotype" w:hAnsi="Palatino Linotype"/>
        </w:rPr>
      </w:pPr>
    </w:p>
    <w:p w14:paraId="155F4730" w14:textId="74CA03AE" w:rsidR="008A49F0" w:rsidRPr="008A49F0" w:rsidRDefault="008A49F0" w:rsidP="008A49F0">
      <w:pPr>
        <w:jc w:val="center"/>
        <w:rPr>
          <w:rFonts w:ascii="Palatino Linotype" w:hAnsi="Palatino Linotype"/>
        </w:rPr>
      </w:pPr>
    </w:p>
    <w:p w14:paraId="5361F1ED" w14:textId="7282F4D8" w:rsidR="00CE7327" w:rsidRPr="00CE7327" w:rsidRDefault="00CE7327" w:rsidP="008A49F0">
      <w:pPr>
        <w:pStyle w:val="Prrafodelista"/>
        <w:numPr>
          <w:ilvl w:val="0"/>
          <w:numId w:val="24"/>
        </w:numPr>
        <w:tabs>
          <w:tab w:val="left" w:pos="0"/>
        </w:tabs>
        <w:spacing w:line="360" w:lineRule="auto"/>
        <w:ind w:left="0" w:right="49" w:firstLine="0"/>
        <w:contextualSpacing/>
        <w:jc w:val="both"/>
        <w:rPr>
          <w:rFonts w:ascii="Palatino Linotype" w:hAnsi="Palatino Linotype" w:cs="Arial"/>
          <w:i/>
          <w:color w:val="000000" w:themeColor="text1"/>
        </w:rPr>
      </w:pPr>
      <w:r>
        <w:rPr>
          <w:rFonts w:ascii="Palatino Linotype" w:hAnsi="Palatino Linotype" w:cs="Arial"/>
          <w:color w:val="000000" w:themeColor="text1"/>
        </w:rPr>
        <w:lastRenderedPageBreak/>
        <w:t xml:space="preserve">En fecha cuatro (04) de mayo del año en curso,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dio por concluida la solicitud de información, toda vez que la solicitante no atendió la solicitud de aclaración, como se observa:</w:t>
      </w:r>
    </w:p>
    <w:p w14:paraId="14D48785" w14:textId="6C0F7AA7" w:rsidR="00CE7327" w:rsidRPr="00CE7327" w:rsidRDefault="00CE7327" w:rsidP="00CE7327">
      <w:pPr>
        <w:pStyle w:val="Prrafodelista"/>
        <w:tabs>
          <w:tab w:val="left" w:pos="0"/>
        </w:tabs>
        <w:spacing w:line="360" w:lineRule="auto"/>
        <w:ind w:left="0" w:right="49"/>
        <w:contextualSpacing/>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drawing>
          <wp:inline distT="0" distB="0" distL="0" distR="0" wp14:anchorId="1F7926C9" wp14:editId="354D4DF8">
            <wp:extent cx="5431809" cy="1255718"/>
            <wp:effectExtent l="19050" t="19050" r="16510" b="209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9259" cy="1259752"/>
                    </a:xfrm>
                    <a:prstGeom prst="rect">
                      <a:avLst/>
                    </a:prstGeom>
                    <a:noFill/>
                    <a:ln>
                      <a:solidFill>
                        <a:schemeClr val="tx1"/>
                      </a:solidFill>
                    </a:ln>
                  </pic:spPr>
                </pic:pic>
              </a:graphicData>
            </a:graphic>
          </wp:inline>
        </w:drawing>
      </w:r>
    </w:p>
    <w:p w14:paraId="6F8AEFA8" w14:textId="77777777" w:rsidR="00CE7327" w:rsidRPr="00CE7327" w:rsidRDefault="00CE7327" w:rsidP="00CE7327">
      <w:pPr>
        <w:tabs>
          <w:tab w:val="left" w:pos="0"/>
        </w:tabs>
        <w:spacing w:line="360" w:lineRule="auto"/>
        <w:ind w:right="49"/>
        <w:contextualSpacing/>
        <w:jc w:val="both"/>
        <w:rPr>
          <w:rFonts w:ascii="Palatino Linotype" w:hAnsi="Palatino Linotype" w:cs="Arial"/>
          <w:i/>
          <w:color w:val="000000" w:themeColor="text1"/>
        </w:rPr>
      </w:pPr>
    </w:p>
    <w:p w14:paraId="21623EFE" w14:textId="0F3876BF" w:rsidR="008A49F0" w:rsidRPr="008A49F0" w:rsidRDefault="008A49F0" w:rsidP="008A49F0">
      <w:pPr>
        <w:pStyle w:val="Prrafodelista"/>
        <w:numPr>
          <w:ilvl w:val="0"/>
          <w:numId w:val="24"/>
        </w:numPr>
        <w:tabs>
          <w:tab w:val="left" w:pos="0"/>
        </w:tabs>
        <w:spacing w:line="360" w:lineRule="auto"/>
        <w:ind w:left="0" w:right="49" w:firstLine="0"/>
        <w:contextualSpacing/>
        <w:jc w:val="both"/>
        <w:rPr>
          <w:rFonts w:ascii="Palatino Linotype" w:hAnsi="Palatino Linotype" w:cs="Arial"/>
          <w:i/>
          <w:color w:val="000000" w:themeColor="text1"/>
        </w:rPr>
      </w:pPr>
      <w:r w:rsidRPr="008A49F0">
        <w:rPr>
          <w:rFonts w:ascii="Palatino Linotype" w:hAnsi="Palatino Linotype" w:cs="Arial"/>
          <w:color w:val="000000" w:themeColor="text1"/>
        </w:rPr>
        <w:t xml:space="preserve">En fecha </w:t>
      </w:r>
      <w:r w:rsidR="00CE7327">
        <w:rPr>
          <w:rFonts w:ascii="Palatino Linotype" w:hAnsi="Palatino Linotype" w:cs="Arial"/>
          <w:color w:val="000000" w:themeColor="text1"/>
        </w:rPr>
        <w:t>diez</w:t>
      </w:r>
      <w:r w:rsidRPr="008A49F0">
        <w:rPr>
          <w:rFonts w:ascii="Palatino Linotype" w:hAnsi="Palatino Linotype" w:cs="Arial"/>
          <w:color w:val="000000" w:themeColor="text1"/>
        </w:rPr>
        <w:t xml:space="preserve"> (</w:t>
      </w:r>
      <w:r w:rsidR="00CE7327">
        <w:rPr>
          <w:rFonts w:ascii="Palatino Linotype" w:hAnsi="Palatino Linotype" w:cs="Arial"/>
          <w:color w:val="000000" w:themeColor="text1"/>
        </w:rPr>
        <w:t>10</w:t>
      </w:r>
      <w:r w:rsidRPr="008A49F0">
        <w:rPr>
          <w:rFonts w:ascii="Palatino Linotype" w:hAnsi="Palatino Linotype" w:cs="Arial"/>
          <w:color w:val="000000" w:themeColor="text1"/>
        </w:rPr>
        <w:t>) de ma</w:t>
      </w:r>
      <w:r w:rsidR="00CE7327">
        <w:rPr>
          <w:rFonts w:ascii="Palatino Linotype" w:hAnsi="Palatino Linotype" w:cs="Arial"/>
          <w:color w:val="000000" w:themeColor="text1"/>
        </w:rPr>
        <w:t>y</w:t>
      </w:r>
      <w:r w:rsidRPr="008A49F0">
        <w:rPr>
          <w:rFonts w:ascii="Palatino Linotype" w:hAnsi="Palatino Linotype" w:cs="Arial"/>
          <w:color w:val="000000" w:themeColor="text1"/>
        </w:rPr>
        <w:t>o de dos mil veint</w:t>
      </w:r>
      <w:r w:rsidR="00CE7327">
        <w:rPr>
          <w:rFonts w:ascii="Palatino Linotype" w:hAnsi="Palatino Linotype" w:cs="Arial"/>
          <w:color w:val="000000" w:themeColor="text1"/>
        </w:rPr>
        <w:t xml:space="preserve">iuno, </w:t>
      </w:r>
      <w:r w:rsidRPr="008A49F0">
        <w:rPr>
          <w:rFonts w:ascii="Palatino Linotype" w:hAnsi="Palatino Linotype" w:cs="Arial"/>
          <w:color w:val="000000" w:themeColor="text1"/>
        </w:rPr>
        <w:t>l</w:t>
      </w:r>
      <w:r w:rsidR="00CE7327">
        <w:rPr>
          <w:rFonts w:ascii="Palatino Linotype" w:hAnsi="Palatino Linotype" w:cs="Arial"/>
          <w:color w:val="000000" w:themeColor="text1"/>
        </w:rPr>
        <w:t>a</w:t>
      </w:r>
      <w:r w:rsidRPr="008A49F0">
        <w:rPr>
          <w:rFonts w:ascii="Palatino Linotype" w:hAnsi="Palatino Linotype" w:cs="Arial"/>
          <w:color w:val="000000" w:themeColor="text1"/>
        </w:rPr>
        <w:t xml:space="preserve"> particular interpuso el recurso de revisión en contra de la respuesta, señalando como:</w:t>
      </w:r>
      <w:bookmarkStart w:id="6" w:name="_Toc466982514"/>
      <w:bookmarkStart w:id="7" w:name="_Toc27589208"/>
      <w:bookmarkStart w:id="8" w:name="_Toc29395022"/>
      <w:bookmarkStart w:id="9" w:name="_Toc29481467"/>
      <w:bookmarkStart w:id="10" w:name="_Toc33113911"/>
      <w:bookmarkStart w:id="11" w:name="_Toc33643059"/>
      <w:bookmarkStart w:id="12" w:name="_Toc33724991"/>
      <w:bookmarkStart w:id="13" w:name="_Toc33726434"/>
      <w:bookmarkStart w:id="14" w:name="_Toc34157662"/>
      <w:bookmarkStart w:id="15" w:name="_Toc35003615"/>
      <w:bookmarkStart w:id="16" w:name="_Toc35535691"/>
      <w:bookmarkStart w:id="17" w:name="_Toc52971949"/>
      <w:bookmarkStart w:id="18" w:name="_Toc52996698"/>
      <w:bookmarkStart w:id="19" w:name="_Toc54138946"/>
      <w:bookmarkStart w:id="20" w:name="_Toc54267070"/>
      <w:bookmarkStart w:id="21" w:name="_Toc61462044"/>
      <w:bookmarkStart w:id="22" w:name="_Toc62081311"/>
      <w:bookmarkStart w:id="23" w:name="_Toc62765904"/>
      <w:bookmarkStart w:id="24" w:name="_Toc63932065"/>
      <w:bookmarkStart w:id="25" w:name="_Toc471908126"/>
      <w:bookmarkStart w:id="26" w:name="_Toc491791300"/>
      <w:bookmarkStart w:id="27" w:name="_Toc496726170"/>
      <w:bookmarkStart w:id="28" w:name="_Toc497242134"/>
      <w:bookmarkStart w:id="29" w:name="_Toc497292517"/>
      <w:bookmarkStart w:id="30" w:name="_Toc498503716"/>
      <w:bookmarkStart w:id="31" w:name="_Toc499568660"/>
      <w:bookmarkStart w:id="32" w:name="_Toc499568693"/>
      <w:bookmarkStart w:id="33" w:name="_Toc499665452"/>
      <w:bookmarkStart w:id="34" w:name="_Toc499729819"/>
      <w:bookmarkStart w:id="35" w:name="_Toc499835024"/>
      <w:bookmarkStart w:id="36" w:name="_Toc499835835"/>
      <w:bookmarkStart w:id="37" w:name="_Toc499835858"/>
      <w:bookmarkStart w:id="38" w:name="_Toc500264537"/>
      <w:bookmarkStart w:id="39" w:name="_Toc503290275"/>
      <w:bookmarkStart w:id="40" w:name="_Toc524009637"/>
      <w:bookmarkStart w:id="41" w:name="_Toc524009672"/>
      <w:bookmarkStart w:id="42" w:name="_Toc524602720"/>
      <w:bookmarkStart w:id="43" w:name="_Toc526365279"/>
      <w:bookmarkStart w:id="44" w:name="_Toc526365337"/>
      <w:bookmarkStart w:id="45" w:name="_Toc530067664"/>
      <w:bookmarkStart w:id="46" w:name="_Toc530067692"/>
      <w:bookmarkStart w:id="47" w:name="_Toc530067939"/>
      <w:bookmarkStart w:id="48" w:name="_Toc530590420"/>
      <w:bookmarkStart w:id="49" w:name="_Toc530593951"/>
      <w:bookmarkStart w:id="50" w:name="_Toc531190248"/>
      <w:bookmarkStart w:id="51" w:name="_Toc531190295"/>
      <w:bookmarkStart w:id="52" w:name="_Toc534908208"/>
      <w:bookmarkStart w:id="53" w:name="_Toc534909344"/>
      <w:bookmarkStart w:id="54" w:name="_Toc535353305"/>
      <w:bookmarkStart w:id="55" w:name="_Toc535353791"/>
      <w:bookmarkStart w:id="56" w:name="_Toc18436351"/>
      <w:bookmarkStart w:id="57" w:name="_Toc18436385"/>
      <w:bookmarkStart w:id="58" w:name="_Toc18513477"/>
      <w:bookmarkStart w:id="59" w:name="_Toc18513503"/>
      <w:bookmarkStart w:id="60" w:name="_Toc18606801"/>
      <w:bookmarkStart w:id="61" w:name="_Toc19723536"/>
      <w:bookmarkStart w:id="62" w:name="_Toc20322795"/>
      <w:bookmarkStart w:id="63" w:name="_Toc20323052"/>
      <w:bookmarkStart w:id="64" w:name="_Toc20323181"/>
      <w:bookmarkStart w:id="65" w:name="_Toc20420591"/>
      <w:bookmarkStart w:id="66" w:name="_Toc20421579"/>
      <w:bookmarkStart w:id="67" w:name="_Toc21027316"/>
      <w:bookmarkStart w:id="68" w:name="_Toc22660652"/>
      <w:bookmarkStart w:id="69" w:name="_Toc22811623"/>
      <w:bookmarkStart w:id="70" w:name="_Toc26436015"/>
    </w:p>
    <w:p w14:paraId="51174AF1" w14:textId="77777777" w:rsidR="008A49F0" w:rsidRPr="00CE7327" w:rsidRDefault="008A49F0" w:rsidP="008A49F0">
      <w:pPr>
        <w:pStyle w:val="Prrafodelista"/>
        <w:tabs>
          <w:tab w:val="left" w:pos="0"/>
        </w:tabs>
        <w:spacing w:line="360" w:lineRule="auto"/>
        <w:ind w:left="0" w:right="49"/>
        <w:jc w:val="both"/>
        <w:rPr>
          <w:rFonts w:ascii="Palatino Linotype" w:hAnsi="Palatino Linotype" w:cs="Arial"/>
          <w:i/>
          <w:color w:val="0D0D0D" w:themeColor="text1" w:themeTint="F2"/>
        </w:rPr>
      </w:pPr>
    </w:p>
    <w:p w14:paraId="05A2E0D9" w14:textId="1FA7F6B4" w:rsidR="008A49F0" w:rsidRPr="00CE7327" w:rsidRDefault="008A49F0" w:rsidP="00CE7327">
      <w:pPr>
        <w:pStyle w:val="Prrafodelista"/>
        <w:numPr>
          <w:ilvl w:val="0"/>
          <w:numId w:val="8"/>
        </w:numPr>
        <w:tabs>
          <w:tab w:val="left" w:pos="0"/>
        </w:tabs>
        <w:spacing w:line="360" w:lineRule="auto"/>
        <w:ind w:right="49"/>
        <w:contextualSpacing/>
        <w:jc w:val="both"/>
        <w:rPr>
          <w:rFonts w:ascii="Palatino Linotype" w:hAnsi="Palatino Linotype"/>
          <w:i/>
          <w:color w:val="0D0D0D" w:themeColor="text1" w:themeTint="F2"/>
        </w:rPr>
      </w:pPr>
      <w:bookmarkStart w:id="71" w:name="_Toc71758070"/>
      <w:r w:rsidRPr="00D051CD">
        <w:rPr>
          <w:rStyle w:val="Ttulo2Car"/>
          <w:rFonts w:ascii="Palatino Linotype" w:hAnsi="Palatino Linotype"/>
          <w:b/>
          <w:color w:val="0D0D0D" w:themeColor="text1" w:themeTint="F2"/>
          <w:sz w:val="24"/>
          <w:szCs w:val="24"/>
        </w:rPr>
        <w:t>Acto impugnado</w:t>
      </w:r>
      <w:bookmarkEnd w:id="6"/>
      <w:r w:rsidRPr="00D051CD">
        <w:rPr>
          <w:rStyle w:val="Ttulo2Car"/>
          <w:rFonts w:ascii="Palatino Linotype" w:hAnsi="Palatino Linotype"/>
          <w:b/>
          <w:color w:val="0D0D0D" w:themeColor="text1" w:themeTint="F2"/>
          <w:sz w:val="24"/>
          <w:szCs w:val="24"/>
        </w:rPr>
        <w:t>:</w:t>
      </w:r>
      <w:r w:rsidRPr="00CE7327">
        <w:rPr>
          <w:rStyle w:val="Ttulo2Car"/>
          <w:rFonts w:ascii="Palatino Linotype" w:hAnsi="Palatino Linotype"/>
          <w:color w:val="0D0D0D" w:themeColor="text1" w:themeTint="F2"/>
          <w:sz w:val="24"/>
          <w:szCs w:val="24"/>
        </w:rPr>
        <w:t xml:space="preserve"> </w:t>
      </w:r>
      <w:r w:rsidRPr="00CE7327">
        <w:rPr>
          <w:rStyle w:val="Ttulo2Car"/>
          <w:rFonts w:ascii="Palatino Linotype" w:hAnsi="Palatino Linotype"/>
          <w:i/>
          <w:color w:val="0D0D0D" w:themeColor="text1" w:themeTint="F2"/>
          <w:sz w:val="24"/>
          <w:szCs w:val="24"/>
        </w:rPr>
        <w:t>“</w:t>
      </w:r>
      <w:bookmarkEnd w:id="71"/>
      <w:r w:rsidR="00CE7327" w:rsidRPr="00CE7327">
        <w:rPr>
          <w:rStyle w:val="Ttulo2Car"/>
          <w:rFonts w:ascii="Palatino Linotype" w:hAnsi="Palatino Linotype"/>
          <w:i/>
          <w:color w:val="0D0D0D" w:themeColor="text1" w:themeTint="F2"/>
          <w:sz w:val="24"/>
          <w:szCs w:val="24"/>
        </w:rPr>
        <w:t>No se me proporcionó la información solicitada</w:t>
      </w:r>
      <w:r w:rsidRPr="00CE7327">
        <w:rPr>
          <w:rFonts w:ascii="Palatino Linotype" w:hAnsi="Palatino Linotype"/>
          <w:i/>
          <w:color w:val="0D0D0D" w:themeColor="text1" w:themeTint="F2"/>
        </w:rPr>
        <w: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E7327">
        <w:rPr>
          <w:rFonts w:ascii="Palatino Linotype" w:hAnsi="Palatino Linotype"/>
          <w:i/>
          <w:color w:val="0D0D0D" w:themeColor="text1" w:themeTint="F2"/>
        </w:rPr>
        <w:t xml:space="preserve"> </w:t>
      </w:r>
      <w:bookmarkStart w:id="72" w:name="_Toc466982515"/>
      <w:bookmarkStart w:id="73" w:name="_Toc27589209"/>
      <w:bookmarkStart w:id="74" w:name="_Toc29395023"/>
      <w:bookmarkStart w:id="75" w:name="_Toc29481468"/>
      <w:bookmarkStart w:id="76" w:name="_Toc33113912"/>
      <w:bookmarkStart w:id="77" w:name="_Toc33643060"/>
      <w:bookmarkStart w:id="78" w:name="_Toc33724992"/>
      <w:bookmarkStart w:id="79" w:name="_Toc33726435"/>
      <w:bookmarkStart w:id="80" w:name="_Toc34157663"/>
      <w:bookmarkStart w:id="81" w:name="_Toc35003616"/>
      <w:bookmarkStart w:id="82" w:name="_Toc35535692"/>
      <w:bookmarkStart w:id="83" w:name="_Toc52971950"/>
      <w:bookmarkStart w:id="84" w:name="_Toc52996699"/>
      <w:bookmarkStart w:id="85" w:name="_Toc54138947"/>
      <w:bookmarkStart w:id="86" w:name="_Toc54267071"/>
      <w:bookmarkStart w:id="87" w:name="_Toc61462045"/>
      <w:bookmarkStart w:id="88" w:name="_Toc62081312"/>
      <w:bookmarkStart w:id="89" w:name="_Toc62765905"/>
      <w:bookmarkStart w:id="90" w:name="_Toc63932066"/>
      <w:bookmarkStart w:id="91" w:name="_Toc471908127"/>
      <w:bookmarkStart w:id="92" w:name="_Toc491791301"/>
      <w:bookmarkStart w:id="93" w:name="_Toc496726171"/>
      <w:bookmarkStart w:id="94" w:name="_Toc497242135"/>
      <w:bookmarkStart w:id="95" w:name="_Toc497292518"/>
      <w:bookmarkStart w:id="96" w:name="_Toc498503717"/>
      <w:bookmarkStart w:id="97" w:name="_Toc499568661"/>
      <w:bookmarkStart w:id="98" w:name="_Toc499568694"/>
      <w:bookmarkStart w:id="99" w:name="_Toc499665453"/>
      <w:bookmarkStart w:id="100" w:name="_Toc499729820"/>
      <w:bookmarkStart w:id="101" w:name="_Toc499835025"/>
      <w:bookmarkStart w:id="102" w:name="_Toc499835836"/>
      <w:bookmarkStart w:id="103" w:name="_Toc499835859"/>
      <w:bookmarkStart w:id="104" w:name="_Toc500264538"/>
      <w:bookmarkStart w:id="105" w:name="_Toc503290276"/>
      <w:bookmarkStart w:id="106" w:name="_Toc524009638"/>
      <w:bookmarkStart w:id="107" w:name="_Toc524009673"/>
      <w:bookmarkStart w:id="108" w:name="_Toc524602721"/>
      <w:bookmarkStart w:id="109" w:name="_Toc526365280"/>
      <w:bookmarkStart w:id="110" w:name="_Toc526365338"/>
      <w:bookmarkStart w:id="111" w:name="_Toc530067665"/>
      <w:bookmarkStart w:id="112" w:name="_Toc530067693"/>
      <w:bookmarkStart w:id="113" w:name="_Toc530067940"/>
      <w:bookmarkStart w:id="114" w:name="_Toc530590421"/>
      <w:bookmarkStart w:id="115" w:name="_Toc530593952"/>
      <w:bookmarkStart w:id="116" w:name="_Toc531190249"/>
      <w:bookmarkStart w:id="117" w:name="_Toc531190296"/>
      <w:bookmarkStart w:id="118" w:name="_Toc534908209"/>
      <w:bookmarkStart w:id="119" w:name="_Toc534909345"/>
      <w:bookmarkStart w:id="120" w:name="_Toc535353306"/>
      <w:bookmarkStart w:id="121" w:name="_Toc535353792"/>
      <w:bookmarkStart w:id="122" w:name="_Toc18436352"/>
      <w:bookmarkStart w:id="123" w:name="_Toc18436386"/>
      <w:bookmarkStart w:id="124" w:name="_Toc18513478"/>
      <w:bookmarkStart w:id="125" w:name="_Toc18513504"/>
      <w:bookmarkStart w:id="126" w:name="_Toc18606802"/>
      <w:bookmarkStart w:id="127" w:name="_Toc19723537"/>
      <w:bookmarkStart w:id="128" w:name="_Toc20322796"/>
      <w:bookmarkStart w:id="129" w:name="_Toc20323053"/>
      <w:bookmarkStart w:id="130" w:name="_Toc20323182"/>
      <w:bookmarkStart w:id="131" w:name="_Toc20420592"/>
      <w:bookmarkStart w:id="132" w:name="_Toc20421580"/>
      <w:bookmarkStart w:id="133" w:name="_Toc21027317"/>
      <w:bookmarkStart w:id="134" w:name="_Toc22660653"/>
      <w:bookmarkStart w:id="135" w:name="_Toc22811624"/>
      <w:bookmarkStart w:id="136" w:name="_Toc2643601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498A62B" w14:textId="77777777" w:rsidR="008A49F0" w:rsidRPr="00CE7327" w:rsidRDefault="008A49F0" w:rsidP="008A49F0">
      <w:pPr>
        <w:pStyle w:val="Prrafodelista"/>
        <w:tabs>
          <w:tab w:val="left" w:pos="0"/>
        </w:tabs>
        <w:spacing w:line="360" w:lineRule="auto"/>
        <w:ind w:right="49"/>
        <w:jc w:val="both"/>
        <w:rPr>
          <w:rFonts w:ascii="Palatino Linotype" w:hAnsi="Palatino Linotype"/>
          <w:i/>
          <w:color w:val="0D0D0D" w:themeColor="text1" w:themeTint="F2"/>
        </w:rPr>
      </w:pPr>
    </w:p>
    <w:p w14:paraId="7F2BA871" w14:textId="344D35BE" w:rsidR="008A49F0" w:rsidRPr="0048763A" w:rsidRDefault="008A49F0" w:rsidP="00CE7327">
      <w:pPr>
        <w:pStyle w:val="Prrafodelista"/>
        <w:numPr>
          <w:ilvl w:val="0"/>
          <w:numId w:val="8"/>
        </w:numPr>
        <w:tabs>
          <w:tab w:val="left" w:pos="0"/>
        </w:tabs>
        <w:spacing w:line="360" w:lineRule="auto"/>
        <w:ind w:right="49"/>
        <w:contextualSpacing/>
        <w:jc w:val="both"/>
        <w:rPr>
          <w:rFonts w:ascii="Palatino Linotype" w:hAnsi="Palatino Linotype" w:cs="Arial"/>
          <w:i/>
          <w:color w:val="000000" w:themeColor="text1"/>
        </w:rPr>
      </w:pPr>
      <w:bookmarkStart w:id="137" w:name="_Toc71758071"/>
      <w:r w:rsidRPr="00D051CD">
        <w:rPr>
          <w:rStyle w:val="Ttulo2Car"/>
          <w:rFonts w:ascii="Palatino Linotype" w:hAnsi="Palatino Linotype"/>
          <w:b/>
          <w:color w:val="0D0D0D" w:themeColor="text1" w:themeTint="F2"/>
          <w:sz w:val="24"/>
          <w:szCs w:val="24"/>
        </w:rPr>
        <w:t>Razones o Motivos de inconformidad:</w:t>
      </w:r>
      <w:bookmarkEnd w:id="72"/>
      <w:bookmarkEnd w:id="137"/>
      <w:r w:rsidRPr="00CE7327">
        <w:rPr>
          <w:rFonts w:ascii="Palatino Linotype" w:hAnsi="Palatino Linotype"/>
          <w:b/>
          <w:color w:val="0D0D0D" w:themeColor="text1" w:themeTint="F2"/>
        </w:rPr>
        <w:t xml:space="preserve"> </w:t>
      </w:r>
      <w:r w:rsidRPr="00CE7327">
        <w:rPr>
          <w:rFonts w:ascii="Palatino Linotype" w:hAnsi="Palatino Linotype"/>
          <w:i/>
          <w:color w:val="0D0D0D" w:themeColor="text1" w:themeTint="F2"/>
        </w:rPr>
        <w:t>“</w:t>
      </w:r>
      <w:r w:rsidR="00CE7327" w:rsidRPr="00CE7327">
        <w:rPr>
          <w:rFonts w:ascii="Palatino Linotype" w:hAnsi="Palatino Linotype"/>
          <w:i/>
          <w:color w:val="0D0D0D" w:themeColor="text1" w:themeTint="F2"/>
        </w:rPr>
        <w:t xml:space="preserve">Ingrese una solicitud en el SARCOEM, el día 14 de abril de 2021, para solicitar el historial clínico, de mi difunto esposo </w:t>
      </w:r>
      <w:r w:rsidR="00810CFC">
        <w:rPr>
          <w:rFonts w:ascii="Palatino Linotype" w:hAnsi="Palatino Linotype"/>
          <w:i/>
          <w:color w:val="0D0D0D" w:themeColor="text1" w:themeTint="F2"/>
        </w:rPr>
        <w:t>XXXXXXXXXXXXXXXX</w:t>
      </w:r>
      <w:r w:rsidR="00CE7327" w:rsidRPr="00CE7327">
        <w:rPr>
          <w:rFonts w:ascii="Palatino Linotype" w:hAnsi="Palatino Linotype"/>
          <w:i/>
          <w:color w:val="0D0D0D" w:themeColor="text1" w:themeTint="F2"/>
        </w:rPr>
        <w:t xml:space="preserve"> con clave ISSEMyM </w:t>
      </w:r>
      <w:r w:rsidR="00810CFC">
        <w:rPr>
          <w:rFonts w:ascii="Palatino Linotype" w:hAnsi="Palatino Linotype"/>
          <w:i/>
          <w:color w:val="0D0D0D" w:themeColor="text1" w:themeTint="F2"/>
        </w:rPr>
        <w:t>XXXXXXX</w:t>
      </w:r>
      <w:r w:rsidR="00CE7327" w:rsidRPr="00CE7327">
        <w:rPr>
          <w:rFonts w:ascii="Palatino Linotype" w:hAnsi="Palatino Linotype"/>
          <w:i/>
          <w:color w:val="0D0D0D" w:themeColor="text1" w:themeTint="F2"/>
        </w:rPr>
        <w:t xml:space="preserve">, lo cual requiero para el cobro del seguro, lo cual anexé la hoja de Inbursa Seguros de requisitos que piden para continuar con el trámite.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w:t>
      </w:r>
      <w:r w:rsidR="00CE7327" w:rsidRPr="00CE7327">
        <w:rPr>
          <w:rFonts w:ascii="Palatino Linotype" w:hAnsi="Palatino Linotype"/>
          <w:i/>
          <w:color w:val="0D0D0D" w:themeColor="text1" w:themeTint="F2"/>
        </w:rPr>
        <w:lastRenderedPageBreak/>
        <w:t xml:space="preserve">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se demuestra con los documentos que adjunto en la solicitud del recurso de revisión, los cuales son: • Mi Identificación oficial. • Identificación oficial y Acta de defunción de mi difunto esposo. • Acta de matrimonio. • Hoja de requisitos que piden y la hoja de Póliza de Seguro de Inbursa Seguros, donde aparezco como beneficiaria al 50%. Por lo anterior, solicito al ISSEMYM, que se me entregue copia certificada del expediente clínico completo de mi difunto esposo </w:t>
      </w:r>
      <w:r w:rsidR="00810CFC">
        <w:rPr>
          <w:rFonts w:ascii="Palatino Linotype" w:hAnsi="Palatino Linotype"/>
          <w:i/>
          <w:color w:val="0D0D0D" w:themeColor="text1" w:themeTint="F2"/>
        </w:rPr>
        <w:t>XXXXXXXXXXXXXXXXX</w:t>
      </w:r>
      <w:r w:rsidR="00CE7327" w:rsidRPr="00CE7327">
        <w:rPr>
          <w:rFonts w:ascii="Palatino Linotype" w:hAnsi="Palatino Linotype"/>
          <w:i/>
          <w:color w:val="0D0D0D" w:themeColor="text1" w:themeTint="F2"/>
        </w:rPr>
        <w:t xml:space="preserve"> con clave ISSEMyM </w:t>
      </w:r>
      <w:r w:rsidR="00810CFC">
        <w:rPr>
          <w:rFonts w:ascii="Palatino Linotype" w:hAnsi="Palatino Linotype"/>
          <w:i/>
          <w:color w:val="0D0D0D" w:themeColor="text1" w:themeTint="F2"/>
        </w:rPr>
        <w:t>XXXXXXXX</w:t>
      </w:r>
      <w:r w:rsidR="00CE7327" w:rsidRPr="00CE7327">
        <w:rPr>
          <w:rFonts w:ascii="Palatino Linotype" w:hAnsi="Palatino Linotype"/>
          <w:i/>
          <w:color w:val="0D0D0D" w:themeColor="text1" w:themeTint="F2"/>
        </w:rPr>
        <w:t xml:space="preserve"> que se encuentra en la Clínica Regional Chopos Cuautitlán Izcalli Edo. </w:t>
      </w:r>
      <w:proofErr w:type="spellStart"/>
      <w:r w:rsidR="00CE7327" w:rsidRPr="00CE7327">
        <w:rPr>
          <w:rFonts w:ascii="Palatino Linotype" w:hAnsi="Palatino Linotype"/>
          <w:i/>
          <w:color w:val="0D0D0D" w:themeColor="text1" w:themeTint="F2"/>
        </w:rPr>
        <w:t>Mex</w:t>
      </w:r>
      <w:proofErr w:type="spellEnd"/>
      <w:r w:rsidR="00CE7327" w:rsidRPr="00CE7327">
        <w:rPr>
          <w:rFonts w:ascii="Palatino Linotype" w:hAnsi="Palatino Linotype"/>
          <w:i/>
          <w:color w:val="0D0D0D" w:themeColor="text1" w:themeTint="F2"/>
        </w:rPr>
        <w:t>., para continuar con el trámite del cobro de seguro.</w:t>
      </w:r>
      <w:r w:rsidRPr="008A49F0">
        <w:rPr>
          <w:rFonts w:ascii="Palatino Linotype" w:hAnsi="Palatino Linotype"/>
          <w:i/>
          <w:color w:val="000000" w:themeColor="text1"/>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8A49F0">
        <w:rPr>
          <w:rFonts w:ascii="Palatino Linotype" w:hAnsi="Palatino Linotype"/>
          <w:i/>
          <w:color w:val="000000" w:themeColor="text1"/>
        </w:rPr>
        <w:t xml:space="preserve"> </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2A6B7C27" w14:textId="77777777" w:rsidR="0048763A" w:rsidRPr="008A49F0" w:rsidRDefault="0048763A" w:rsidP="0048763A">
      <w:pPr>
        <w:pStyle w:val="Prrafodelista"/>
        <w:tabs>
          <w:tab w:val="left" w:pos="0"/>
        </w:tabs>
        <w:spacing w:line="360" w:lineRule="auto"/>
        <w:ind w:left="720" w:right="49"/>
        <w:contextualSpacing/>
        <w:jc w:val="both"/>
        <w:rPr>
          <w:rFonts w:ascii="Palatino Linotype" w:hAnsi="Palatino Linotype" w:cs="Arial"/>
          <w:i/>
          <w:color w:val="000000" w:themeColor="text1"/>
        </w:rPr>
      </w:pPr>
    </w:p>
    <w:p w14:paraId="23DCD0D0" w14:textId="2E856C16" w:rsidR="0048763A" w:rsidRPr="0048763A" w:rsidRDefault="0048763A" w:rsidP="0048763A">
      <w:pPr>
        <w:pStyle w:val="Prrafodelista"/>
        <w:tabs>
          <w:tab w:val="left" w:pos="426"/>
          <w:tab w:val="left" w:pos="567"/>
        </w:tabs>
        <w:spacing w:before="240" w:after="240" w:line="360" w:lineRule="auto"/>
        <w:contextualSpacing/>
        <w:jc w:val="both"/>
        <w:rPr>
          <w:rFonts w:ascii="Palatino Linotype" w:eastAsia="Calibri" w:hAnsi="Palatino Linotype" w:cs="Arial"/>
          <w:b/>
          <w:lang w:val="es-AR"/>
        </w:rPr>
      </w:pPr>
      <w:r>
        <w:rPr>
          <w:rFonts w:ascii="Palatino Linotype" w:eastAsia="Calibri" w:hAnsi="Palatino Linotype" w:cs="Arial"/>
          <w:b/>
          <w:lang w:val="es-AR"/>
        </w:rPr>
        <w:t>Asimismo adjuntó</w:t>
      </w:r>
      <w:r w:rsidRPr="0048763A">
        <w:rPr>
          <w:rFonts w:ascii="Palatino Linotype" w:eastAsia="Calibri" w:hAnsi="Palatino Linotype" w:cs="Arial"/>
          <w:b/>
          <w:lang w:val="es-AR"/>
        </w:rPr>
        <w:t xml:space="preserve"> las siguientes documentales:</w:t>
      </w:r>
    </w:p>
    <w:p w14:paraId="69437AF3" w14:textId="77777777" w:rsidR="0048763A" w:rsidRPr="0048763A" w:rsidRDefault="0048763A" w:rsidP="0048763A">
      <w:pPr>
        <w:pStyle w:val="Prrafodelista"/>
        <w:numPr>
          <w:ilvl w:val="0"/>
          <w:numId w:val="28"/>
        </w:numPr>
        <w:tabs>
          <w:tab w:val="left" w:pos="426"/>
          <w:tab w:val="left" w:pos="567"/>
        </w:tabs>
        <w:spacing w:before="240" w:after="240" w:line="360" w:lineRule="auto"/>
        <w:contextualSpacing/>
        <w:jc w:val="both"/>
        <w:rPr>
          <w:rFonts w:ascii="Palatino Linotype" w:eastAsia="Calibri" w:hAnsi="Palatino Linotype" w:cs="Arial"/>
          <w:lang w:val="es-AR"/>
        </w:rPr>
      </w:pPr>
      <w:r w:rsidRPr="0048763A">
        <w:rPr>
          <w:rFonts w:ascii="Palatino Linotype" w:eastAsia="Calibri" w:hAnsi="Palatino Linotype" w:cs="Arial"/>
          <w:lang w:val="es-AR"/>
        </w:rPr>
        <w:t>Acta de Defunción</w:t>
      </w:r>
    </w:p>
    <w:p w14:paraId="5CD0AFBE" w14:textId="77777777" w:rsidR="0048763A" w:rsidRPr="0048763A" w:rsidRDefault="0048763A" w:rsidP="0048763A">
      <w:pPr>
        <w:pStyle w:val="Prrafodelista"/>
        <w:numPr>
          <w:ilvl w:val="0"/>
          <w:numId w:val="28"/>
        </w:numPr>
        <w:tabs>
          <w:tab w:val="left" w:pos="426"/>
          <w:tab w:val="left" w:pos="567"/>
        </w:tabs>
        <w:spacing w:before="240" w:after="240" w:line="360" w:lineRule="auto"/>
        <w:contextualSpacing/>
        <w:jc w:val="both"/>
        <w:rPr>
          <w:rFonts w:ascii="Palatino Linotype" w:eastAsia="Calibri" w:hAnsi="Palatino Linotype" w:cs="Arial"/>
          <w:lang w:val="es-AR"/>
        </w:rPr>
      </w:pPr>
      <w:r w:rsidRPr="0048763A">
        <w:rPr>
          <w:rFonts w:ascii="Palatino Linotype" w:eastAsia="Calibri" w:hAnsi="Palatino Linotype" w:cs="Arial"/>
          <w:lang w:val="es-AR"/>
        </w:rPr>
        <w:t>Acta de Matrimonio</w:t>
      </w:r>
    </w:p>
    <w:p w14:paraId="4CF2E257" w14:textId="77777777" w:rsidR="0048763A" w:rsidRPr="0048763A" w:rsidRDefault="0048763A" w:rsidP="0048763A">
      <w:pPr>
        <w:pStyle w:val="Prrafodelista"/>
        <w:numPr>
          <w:ilvl w:val="0"/>
          <w:numId w:val="28"/>
        </w:numPr>
        <w:tabs>
          <w:tab w:val="left" w:pos="426"/>
          <w:tab w:val="left" w:pos="567"/>
        </w:tabs>
        <w:spacing w:before="240" w:after="240" w:line="360" w:lineRule="auto"/>
        <w:contextualSpacing/>
        <w:jc w:val="both"/>
        <w:rPr>
          <w:rFonts w:ascii="Palatino Linotype" w:eastAsia="Calibri" w:hAnsi="Palatino Linotype" w:cs="Arial"/>
          <w:lang w:val="es-AR"/>
        </w:rPr>
      </w:pPr>
      <w:r w:rsidRPr="0048763A">
        <w:rPr>
          <w:rFonts w:ascii="Palatino Linotype" w:eastAsia="Calibri" w:hAnsi="Palatino Linotype" w:cs="Arial"/>
          <w:lang w:val="es-AR"/>
        </w:rPr>
        <w:t>Credencial para Votar del titular de los datos personales</w:t>
      </w:r>
    </w:p>
    <w:p w14:paraId="5C4D0BA7" w14:textId="1CE2070A" w:rsidR="00CE7327" w:rsidRDefault="0048763A" w:rsidP="0048763A">
      <w:pPr>
        <w:pStyle w:val="Prrafodelista"/>
        <w:numPr>
          <w:ilvl w:val="0"/>
          <w:numId w:val="28"/>
        </w:numPr>
        <w:tabs>
          <w:tab w:val="left" w:pos="426"/>
          <w:tab w:val="left" w:pos="567"/>
        </w:tabs>
        <w:spacing w:before="240" w:after="240" w:line="360" w:lineRule="auto"/>
        <w:contextualSpacing/>
        <w:jc w:val="both"/>
        <w:rPr>
          <w:rFonts w:ascii="Palatino Linotype" w:eastAsia="Calibri" w:hAnsi="Palatino Linotype" w:cs="Arial"/>
          <w:lang w:val="es-AR"/>
        </w:rPr>
      </w:pPr>
      <w:r w:rsidRPr="0048763A">
        <w:rPr>
          <w:rFonts w:ascii="Palatino Linotype" w:eastAsia="Calibri" w:hAnsi="Palatino Linotype" w:cs="Arial"/>
          <w:lang w:val="es-AR"/>
        </w:rPr>
        <w:t>Credencial para Votar de la solicitante</w:t>
      </w:r>
    </w:p>
    <w:p w14:paraId="2634BF89" w14:textId="77777777" w:rsidR="0048763A" w:rsidRPr="00CE7327" w:rsidRDefault="0048763A" w:rsidP="0048763A">
      <w:pPr>
        <w:pStyle w:val="Prrafodelista"/>
        <w:tabs>
          <w:tab w:val="left" w:pos="426"/>
          <w:tab w:val="left" w:pos="567"/>
        </w:tabs>
        <w:spacing w:before="240" w:after="240" w:line="360" w:lineRule="auto"/>
        <w:ind w:left="0"/>
        <w:contextualSpacing/>
        <w:jc w:val="both"/>
        <w:rPr>
          <w:rFonts w:ascii="Palatino Linotype" w:eastAsia="Calibri" w:hAnsi="Palatino Linotype" w:cs="Arial"/>
          <w:lang w:val="es-AR"/>
        </w:rPr>
      </w:pPr>
    </w:p>
    <w:p w14:paraId="5368E2CE" w14:textId="73424C0C" w:rsidR="008A49F0" w:rsidRPr="008A49F0" w:rsidRDefault="001D5475"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eastAsia="Calibri" w:hAnsi="Palatino Linotype" w:cs="Arial"/>
          <w:lang w:val="es-AR"/>
        </w:rPr>
      </w:pPr>
      <w:r>
        <w:rPr>
          <w:rFonts w:ascii="Palatino Linotype" w:eastAsia="Calibri" w:hAnsi="Palatino Linotype" w:cs="Arial"/>
        </w:rPr>
        <w:lastRenderedPageBreak/>
        <w:t xml:space="preserve">El Recurso de Revisión fue turnado al </w:t>
      </w:r>
      <w:r w:rsidRPr="001D5475">
        <w:rPr>
          <w:rFonts w:ascii="Palatino Linotype" w:eastAsia="Calibri" w:hAnsi="Palatino Linotype" w:cs="Arial"/>
          <w:b/>
        </w:rPr>
        <w:t>Comisionado José Guadalupe Luna Hernández</w:t>
      </w:r>
      <w:r>
        <w:rPr>
          <w:rFonts w:ascii="Palatino Linotype" w:eastAsia="Calibri" w:hAnsi="Palatino Linotype" w:cs="Arial"/>
        </w:rPr>
        <w:t xml:space="preserve"> quien</w:t>
      </w:r>
      <w:r w:rsidR="008A49F0" w:rsidRPr="008A49F0">
        <w:rPr>
          <w:rFonts w:ascii="Palatino Linotype" w:eastAsia="Calibri" w:hAnsi="Palatino Linotype" w:cs="Arial"/>
        </w:rPr>
        <w:t xml:space="preserve"> con fundamento en lo dispuesto por el artículo 185 fracción II de la ley de la materia, a través del acuerdo de admisión de fecha </w:t>
      </w:r>
      <w:r w:rsidR="00CE7327">
        <w:rPr>
          <w:rFonts w:ascii="Palatino Linotype" w:eastAsia="Calibri" w:hAnsi="Palatino Linotype" w:cs="Arial"/>
        </w:rPr>
        <w:t>tre</w:t>
      </w:r>
      <w:r w:rsidR="008A49F0" w:rsidRPr="008A49F0">
        <w:rPr>
          <w:rFonts w:ascii="Palatino Linotype" w:eastAsia="Calibri" w:hAnsi="Palatino Linotype" w:cs="Arial"/>
        </w:rPr>
        <w:t>ce (1</w:t>
      </w:r>
      <w:r w:rsidR="0011121B">
        <w:rPr>
          <w:rFonts w:ascii="Palatino Linotype" w:eastAsia="Calibri" w:hAnsi="Palatino Linotype" w:cs="Arial"/>
        </w:rPr>
        <w:t>3</w:t>
      </w:r>
      <w:r w:rsidR="008A49F0" w:rsidRPr="008A49F0">
        <w:rPr>
          <w:rFonts w:ascii="Palatino Linotype" w:eastAsia="Calibri" w:hAnsi="Palatino Linotype" w:cs="Arial"/>
        </w:rPr>
        <w:t xml:space="preserve">) </w:t>
      </w:r>
      <w:r w:rsidR="008A49F0" w:rsidRPr="008A49F0">
        <w:rPr>
          <w:rFonts w:ascii="Palatino Linotype" w:hAnsi="Palatino Linotype" w:cs="Arial"/>
        </w:rPr>
        <w:t xml:space="preserve">de </w:t>
      </w:r>
      <w:r w:rsidR="0011121B">
        <w:rPr>
          <w:rFonts w:ascii="Palatino Linotype" w:hAnsi="Palatino Linotype" w:cs="Arial"/>
        </w:rPr>
        <w:t>may</w:t>
      </w:r>
      <w:r w:rsidR="008A49F0" w:rsidRPr="008A49F0">
        <w:rPr>
          <w:rFonts w:ascii="Palatino Linotype" w:hAnsi="Palatino Linotype" w:cs="Arial"/>
        </w:rPr>
        <w:t>o de dos mil veintiuno</w:t>
      </w:r>
      <w:r w:rsidR="008A49F0" w:rsidRPr="008A49F0">
        <w:rPr>
          <w:rFonts w:ascii="Palatino Linotype" w:eastAsia="Calibri" w:hAnsi="Palatino Linotype" w:cs="Arial"/>
        </w:rPr>
        <w:t>, puso a disposición de las partes el expediente electrónico en la vía interpuesta</w:t>
      </w:r>
      <w:r w:rsidR="008A49F0" w:rsidRPr="008A49F0">
        <w:rPr>
          <w:rFonts w:ascii="Palatino Linotype" w:eastAsia="Calibri" w:hAnsi="Palatino Linotype" w:cs="Arial"/>
          <w:lang w:val="es-AR"/>
        </w:rPr>
        <w:t xml:space="preserve">; </w:t>
      </w:r>
      <w:r w:rsidR="008A49F0" w:rsidRPr="008A49F0">
        <w:rPr>
          <w:rFonts w:ascii="Palatino Linotype" w:eastAsia="Calibri" w:hAnsi="Palatino Linotype" w:cs="Arial"/>
        </w:rPr>
        <w:t xml:space="preserve">a efecto de que en un plazo máximo de siete días manifestaran lo que a su derecho conviniera, ofrecieran pruebas y alegatos según corresponda a los casos concretos, y </w:t>
      </w:r>
      <w:r w:rsidR="00D1102D">
        <w:rPr>
          <w:rFonts w:ascii="Palatino Linotype" w:eastAsia="Calibri" w:hAnsi="Palatino Linotype" w:cs="Arial"/>
        </w:rPr>
        <w:t>manifestaran su voluntad para conciliar en el presente asunto</w:t>
      </w:r>
      <w:r w:rsidR="008A49F0" w:rsidRPr="008A49F0">
        <w:rPr>
          <w:rFonts w:ascii="Palatino Linotype" w:eastAsia="Calibri" w:hAnsi="Palatino Linotype" w:cs="Arial"/>
        </w:rPr>
        <w:t>.</w:t>
      </w:r>
    </w:p>
    <w:p w14:paraId="79D1D332" w14:textId="77777777" w:rsidR="008A49F0" w:rsidRPr="008A49F0" w:rsidRDefault="008A49F0" w:rsidP="008A49F0">
      <w:pPr>
        <w:pStyle w:val="Prrafodelista"/>
        <w:rPr>
          <w:rFonts w:ascii="Palatino Linotype" w:eastAsia="Calibri" w:hAnsi="Palatino Linotype" w:cs="Arial"/>
          <w:lang w:val="es-AR"/>
        </w:rPr>
      </w:pPr>
    </w:p>
    <w:p w14:paraId="420D3404" w14:textId="79A83DB6" w:rsidR="00B526C6" w:rsidRPr="00B526C6" w:rsidRDefault="00B526C6" w:rsidP="00B526C6">
      <w:pPr>
        <w:pStyle w:val="Prrafodelista"/>
        <w:numPr>
          <w:ilvl w:val="0"/>
          <w:numId w:val="24"/>
        </w:numPr>
        <w:spacing w:before="240" w:after="240" w:line="360" w:lineRule="auto"/>
        <w:ind w:left="0" w:firstLine="0"/>
        <w:contextualSpacing/>
        <w:jc w:val="both"/>
        <w:rPr>
          <w:rFonts w:ascii="Palatino Linotype" w:hAnsi="Palatino Linotype"/>
        </w:rPr>
      </w:pPr>
      <w:bookmarkStart w:id="138" w:name="_Toc48841664"/>
      <w:bookmarkStart w:id="139" w:name="_Toc495430768"/>
      <w:r w:rsidRPr="00B526C6">
        <w:rPr>
          <w:rFonts w:ascii="Palatino Linotype" w:hAnsi="Palatino Linotype"/>
        </w:rPr>
        <w:t>El día diecisiete (17) de mayo de dos mil veintiuno, las partes manifestaron su voluntad a conciliar en el asunto.</w:t>
      </w:r>
    </w:p>
    <w:p w14:paraId="0F9150DA" w14:textId="77777777" w:rsidR="00B526C6" w:rsidRPr="00B526C6" w:rsidRDefault="00B526C6" w:rsidP="00B526C6">
      <w:pPr>
        <w:pStyle w:val="Prrafodelista"/>
        <w:spacing w:before="240" w:after="240" w:line="360" w:lineRule="auto"/>
        <w:ind w:left="8582"/>
        <w:contextualSpacing/>
        <w:jc w:val="both"/>
        <w:rPr>
          <w:rFonts w:ascii="Palatino Linotype" w:hAnsi="Palatino Linotype"/>
        </w:rPr>
      </w:pPr>
    </w:p>
    <w:p w14:paraId="68B1E329" w14:textId="5BF277BB" w:rsidR="00B526C6" w:rsidRDefault="00B526C6" w:rsidP="00B526C6">
      <w:pPr>
        <w:pStyle w:val="Prrafodelista"/>
        <w:numPr>
          <w:ilvl w:val="0"/>
          <w:numId w:val="24"/>
        </w:numPr>
        <w:spacing w:before="240" w:after="240" w:line="360" w:lineRule="auto"/>
        <w:ind w:left="0" w:firstLine="0"/>
        <w:contextualSpacing/>
        <w:jc w:val="both"/>
        <w:rPr>
          <w:rFonts w:ascii="Palatino Linotype" w:hAnsi="Palatino Linotype"/>
        </w:rPr>
      </w:pPr>
      <w:r w:rsidRPr="00B526C6">
        <w:rPr>
          <w:rFonts w:ascii="Palatino Linotype" w:hAnsi="Palatino Linotype"/>
        </w:rPr>
        <w:t xml:space="preserve">En fecha diecinueve (19) de mayo de dos mil veintiuno, se notificó el citatorio correspondiente para convocar a las partes a la Audiencia de Conciliación </w:t>
      </w:r>
      <w:r w:rsidR="00D1102D">
        <w:rPr>
          <w:rFonts w:ascii="Palatino Linotype" w:hAnsi="Palatino Linotype"/>
        </w:rPr>
        <w:t>que tendría verificativo el día</w:t>
      </w:r>
      <w:r w:rsidRPr="00B526C6">
        <w:rPr>
          <w:rFonts w:ascii="Palatino Linotype" w:hAnsi="Palatino Linotype"/>
        </w:rPr>
        <w:t xml:space="preserve"> veinticuatro (24) de mayo de dos mil veintiuno.</w:t>
      </w:r>
    </w:p>
    <w:p w14:paraId="65E5FB20" w14:textId="77777777" w:rsidR="00B526C6" w:rsidRPr="00B526C6" w:rsidRDefault="00B526C6" w:rsidP="00B526C6">
      <w:pPr>
        <w:pStyle w:val="Prrafodelista"/>
        <w:rPr>
          <w:rFonts w:ascii="Palatino Linotype" w:hAnsi="Palatino Linotype"/>
        </w:rPr>
      </w:pPr>
    </w:p>
    <w:p w14:paraId="314EC09C" w14:textId="5888C29D" w:rsidR="00B526C6" w:rsidRPr="00B526C6" w:rsidRDefault="00B526C6" w:rsidP="00B526C6">
      <w:pPr>
        <w:pStyle w:val="Prrafodelista"/>
        <w:numPr>
          <w:ilvl w:val="0"/>
          <w:numId w:val="24"/>
        </w:numPr>
        <w:spacing w:before="240" w:after="240" w:line="360" w:lineRule="auto"/>
        <w:ind w:left="0" w:firstLine="0"/>
        <w:contextualSpacing/>
        <w:jc w:val="both"/>
        <w:rPr>
          <w:rFonts w:ascii="Palatino Linotype" w:hAnsi="Palatino Linotype"/>
        </w:rPr>
      </w:pPr>
      <w:r w:rsidRPr="00B526C6">
        <w:rPr>
          <w:rFonts w:ascii="Palatino Linotype" w:hAnsi="Palatino Linotype"/>
        </w:rPr>
        <w:t>En la fecha de referencia,</w:t>
      </w:r>
      <w:r>
        <w:rPr>
          <w:rFonts w:ascii="Palatino Linotype" w:hAnsi="Palatino Linotype"/>
        </w:rPr>
        <w:t xml:space="preserve"> se llevó acabo la Audiencia de Conciliación, en la que</w:t>
      </w:r>
      <w:r w:rsidRPr="00B526C6">
        <w:rPr>
          <w:rFonts w:ascii="Palatino Linotype" w:hAnsi="Palatino Linotype"/>
        </w:rPr>
        <w:t xml:space="preserve"> no se arribó a una conciliación entre las partes</w:t>
      </w:r>
      <w:r>
        <w:rPr>
          <w:rFonts w:ascii="Palatino Linotype" w:hAnsi="Palatino Linotype"/>
        </w:rPr>
        <w:t>.</w:t>
      </w:r>
    </w:p>
    <w:p w14:paraId="2D284921" w14:textId="77777777" w:rsidR="00B526C6" w:rsidRPr="00B526C6" w:rsidRDefault="00B526C6" w:rsidP="00B526C6">
      <w:pPr>
        <w:pStyle w:val="Prrafodelista"/>
        <w:spacing w:before="240" w:after="240" w:line="360" w:lineRule="auto"/>
        <w:ind w:left="0"/>
        <w:contextualSpacing/>
        <w:jc w:val="both"/>
        <w:rPr>
          <w:rFonts w:ascii="Palatino Linotype" w:hAnsi="Palatino Linotype"/>
        </w:rPr>
      </w:pPr>
    </w:p>
    <w:p w14:paraId="781C9503" w14:textId="75CA6614" w:rsidR="008A49F0" w:rsidRPr="00D1102D" w:rsidRDefault="00D1102D" w:rsidP="00AD2E7A">
      <w:pPr>
        <w:pStyle w:val="Prrafodelista"/>
        <w:numPr>
          <w:ilvl w:val="0"/>
          <w:numId w:val="24"/>
        </w:numPr>
        <w:spacing w:before="240" w:after="240" w:line="360" w:lineRule="auto"/>
        <w:ind w:left="0" w:firstLine="0"/>
        <w:contextualSpacing/>
        <w:jc w:val="both"/>
        <w:rPr>
          <w:rFonts w:ascii="Palatino Linotype" w:eastAsia="Calibri" w:hAnsi="Palatino Linotype" w:cs="Arial"/>
          <w:lang w:val="es-AR"/>
        </w:rPr>
      </w:pPr>
      <w:r w:rsidRPr="00D1102D">
        <w:rPr>
          <w:rFonts w:ascii="Palatino Linotype" w:hAnsi="Palatino Linotype"/>
          <w:color w:val="000000"/>
        </w:rPr>
        <w:t>En fecha catorce (14) de junio de dos mil veintiuno,</w:t>
      </w:r>
      <w:r>
        <w:rPr>
          <w:rFonts w:ascii="Palatino Linotype" w:hAnsi="Palatino Linotype"/>
          <w:color w:val="000000"/>
        </w:rPr>
        <w:t xml:space="preserve"> l</w:t>
      </w:r>
      <w:r w:rsidR="00B526C6" w:rsidRPr="00D1102D">
        <w:rPr>
          <w:rFonts w:ascii="Palatino Linotype" w:hAnsi="Palatino Linotype"/>
          <w:color w:val="000000"/>
        </w:rPr>
        <w:t>a particular solicitante se desistió del Recurso de Revisi</w:t>
      </w:r>
      <w:r>
        <w:rPr>
          <w:rFonts w:ascii="Palatino Linotype" w:hAnsi="Palatino Linotype"/>
          <w:color w:val="000000"/>
        </w:rPr>
        <w:t>ón.</w:t>
      </w:r>
    </w:p>
    <w:p w14:paraId="70BB079F" w14:textId="77777777" w:rsidR="00D1102D" w:rsidRPr="00D1102D" w:rsidRDefault="00D1102D" w:rsidP="00D1102D">
      <w:pPr>
        <w:pStyle w:val="Prrafodelista"/>
        <w:rPr>
          <w:rFonts w:ascii="Palatino Linotype" w:eastAsia="Calibri" w:hAnsi="Palatino Linotype" w:cs="Arial"/>
          <w:lang w:val="es-AR"/>
        </w:rPr>
      </w:pPr>
    </w:p>
    <w:p w14:paraId="75F5DC4A" w14:textId="12CE8F8A" w:rsidR="00B526C6" w:rsidRPr="00594166" w:rsidRDefault="00B526C6" w:rsidP="00B526C6">
      <w:pPr>
        <w:pStyle w:val="Prrafodelista"/>
        <w:numPr>
          <w:ilvl w:val="0"/>
          <w:numId w:val="24"/>
        </w:numPr>
        <w:spacing w:before="240" w:after="240" w:line="360" w:lineRule="auto"/>
        <w:ind w:left="0" w:firstLine="0"/>
        <w:contextualSpacing/>
        <w:jc w:val="both"/>
        <w:rPr>
          <w:rFonts w:ascii="Palatino Linotype" w:hAnsi="Palatino Linotype"/>
          <w:b/>
          <w:color w:val="000000" w:themeColor="text1"/>
        </w:rPr>
      </w:pPr>
      <w:r w:rsidRPr="00594166">
        <w:rPr>
          <w:rFonts w:ascii="Palatino Linotype" w:hAnsi="Palatino Linotype" w:cs="Arial"/>
          <w:color w:val="000000" w:themeColor="text1"/>
        </w:rPr>
        <w:t xml:space="preserve">El Pleno de este Órgano Autónomo, en la </w:t>
      </w:r>
      <w:r>
        <w:rPr>
          <w:rFonts w:ascii="Palatino Linotype" w:hAnsi="Palatino Linotype"/>
          <w:color w:val="000000" w:themeColor="text1"/>
        </w:rPr>
        <w:t>Vigésima Segund</w:t>
      </w:r>
      <w:r w:rsidRPr="00594166">
        <w:rPr>
          <w:rFonts w:ascii="Palatino Linotype" w:hAnsi="Palatino Linotype"/>
          <w:color w:val="000000" w:themeColor="text1"/>
        </w:rPr>
        <w:t>a Sesión Ordinaria, de fecha veintitrés (23) de junio de dos mil veintiuno, ordenó el returno del Recurso de Revisión a</w:t>
      </w:r>
      <w:r w:rsidR="00D1102D">
        <w:rPr>
          <w:rFonts w:ascii="Palatino Linotype" w:hAnsi="Palatino Linotype"/>
          <w:color w:val="000000" w:themeColor="text1"/>
        </w:rPr>
        <w:t xml:space="preserve"> </w:t>
      </w:r>
      <w:r w:rsidRPr="00594166">
        <w:rPr>
          <w:rFonts w:ascii="Palatino Linotype" w:hAnsi="Palatino Linotype"/>
          <w:color w:val="000000" w:themeColor="text1"/>
        </w:rPr>
        <w:t>l</w:t>
      </w:r>
      <w:r w:rsidR="00D1102D">
        <w:rPr>
          <w:rFonts w:ascii="Palatino Linotype" w:hAnsi="Palatino Linotype"/>
          <w:color w:val="000000" w:themeColor="text1"/>
        </w:rPr>
        <w:t>a</w:t>
      </w:r>
      <w:r w:rsidRPr="00594166">
        <w:rPr>
          <w:rFonts w:ascii="Palatino Linotype" w:hAnsi="Palatino Linotype"/>
          <w:color w:val="000000" w:themeColor="text1"/>
        </w:rPr>
        <w:t xml:space="preserve"> </w:t>
      </w:r>
      <w:r w:rsidR="00D1102D">
        <w:rPr>
          <w:rFonts w:ascii="Palatino Linotype" w:hAnsi="Palatino Linotype"/>
          <w:b/>
          <w:color w:val="000000" w:themeColor="text1"/>
        </w:rPr>
        <w:t>Comisionada</w:t>
      </w:r>
      <w:r w:rsidRPr="00594166">
        <w:rPr>
          <w:rFonts w:ascii="Palatino Linotype" w:hAnsi="Palatino Linotype"/>
          <w:b/>
          <w:color w:val="000000" w:themeColor="text1"/>
        </w:rPr>
        <w:t xml:space="preserve"> </w:t>
      </w:r>
      <w:r w:rsidR="00D1102D">
        <w:rPr>
          <w:rFonts w:ascii="Palatino Linotype" w:hAnsi="Palatino Linotype"/>
          <w:b/>
          <w:color w:val="000000" w:themeColor="text1"/>
        </w:rPr>
        <w:t>Zulema Martínez Sánchez</w:t>
      </w:r>
      <w:r w:rsidRPr="00594166">
        <w:rPr>
          <w:rFonts w:ascii="Palatino Linotype" w:hAnsi="Palatino Linotype"/>
          <w:color w:val="000000" w:themeColor="text1"/>
        </w:rPr>
        <w:t>, a fin de que presentara el proyecto de resolución correspondiente.</w:t>
      </w:r>
    </w:p>
    <w:p w14:paraId="7B8D9244" w14:textId="2E0C7D05" w:rsidR="008A49F0" w:rsidRPr="008A49F0" w:rsidRDefault="00D1102D"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cs="Tahoma"/>
        </w:rPr>
      </w:pPr>
      <w:r>
        <w:rPr>
          <w:rFonts w:ascii="Palatino Linotype" w:eastAsia="Calibri" w:hAnsi="Palatino Linotype" w:cs="Arial"/>
        </w:rPr>
        <w:lastRenderedPageBreak/>
        <w:t>La</w:t>
      </w:r>
      <w:r w:rsidR="008A49F0" w:rsidRPr="008A49F0">
        <w:rPr>
          <w:rFonts w:ascii="Palatino Linotype" w:eastAsia="Calibri" w:hAnsi="Palatino Linotype" w:cs="Arial"/>
        </w:rPr>
        <w:t xml:space="preserve"> Comisionad</w:t>
      </w:r>
      <w:r>
        <w:rPr>
          <w:rFonts w:ascii="Palatino Linotype" w:eastAsia="Calibri" w:hAnsi="Palatino Linotype" w:cs="Arial"/>
        </w:rPr>
        <w:t>a</w:t>
      </w:r>
      <w:r w:rsidR="008A49F0" w:rsidRPr="008A49F0">
        <w:rPr>
          <w:rFonts w:ascii="Palatino Linotype" w:hAnsi="Palatino Linotype" w:cs="Arial"/>
          <w:color w:val="000000" w:themeColor="text1"/>
        </w:rPr>
        <w:t xml:space="preserve"> Ponente decreto el cierre de instrucción mediante acuerdo de fecha </w:t>
      </w:r>
      <w:r>
        <w:rPr>
          <w:rFonts w:ascii="Palatino Linotype" w:hAnsi="Palatino Linotype" w:cs="Arial"/>
          <w:color w:val="000000" w:themeColor="text1"/>
        </w:rPr>
        <w:t>veintinueve</w:t>
      </w:r>
      <w:r w:rsidR="008A49F0" w:rsidRPr="008A49F0">
        <w:rPr>
          <w:rFonts w:ascii="Palatino Linotype" w:hAnsi="Palatino Linotype" w:cs="Arial"/>
          <w:color w:val="000000" w:themeColor="text1"/>
        </w:rPr>
        <w:t xml:space="preserve"> (</w:t>
      </w:r>
      <w:r>
        <w:rPr>
          <w:rFonts w:ascii="Palatino Linotype" w:hAnsi="Palatino Linotype" w:cs="Arial"/>
          <w:color w:val="000000" w:themeColor="text1"/>
        </w:rPr>
        <w:t>29</w:t>
      </w:r>
      <w:r w:rsidR="008A49F0" w:rsidRPr="008A49F0">
        <w:rPr>
          <w:rFonts w:ascii="Palatino Linotype" w:hAnsi="Palatino Linotype" w:cs="Arial"/>
          <w:color w:val="000000" w:themeColor="text1"/>
        </w:rPr>
        <w:t xml:space="preserve">) de </w:t>
      </w:r>
      <w:r>
        <w:rPr>
          <w:rFonts w:ascii="Palatino Linotype" w:hAnsi="Palatino Linotype" w:cs="Arial"/>
          <w:color w:val="000000" w:themeColor="text1"/>
        </w:rPr>
        <w:t>juni</w:t>
      </w:r>
      <w:r w:rsidR="008A49F0" w:rsidRPr="008A49F0">
        <w:rPr>
          <w:rFonts w:ascii="Palatino Linotype" w:hAnsi="Palatino Linotype" w:cs="Arial"/>
          <w:color w:val="000000" w:themeColor="text1"/>
        </w:rPr>
        <w:t xml:space="preserve">o de la presente anualidad, por lo que ordenó turnar el expediente para su resolución, misma que ahora se pronuncia; y  - - - - - - - - - - - </w:t>
      </w:r>
      <w:r w:rsidR="008A49F0" w:rsidRPr="008A49F0">
        <w:rPr>
          <w:rFonts w:ascii="Palatino Linotype" w:hAnsi="Palatino Linotype" w:cs="Arial"/>
        </w:rPr>
        <w:t xml:space="preserve">- </w:t>
      </w:r>
    </w:p>
    <w:p w14:paraId="013141F4" w14:textId="77777777" w:rsidR="008A49F0" w:rsidRPr="0011121B" w:rsidRDefault="008A49F0" w:rsidP="008A49F0">
      <w:pPr>
        <w:pStyle w:val="Ttulo1"/>
        <w:tabs>
          <w:tab w:val="left" w:pos="567"/>
        </w:tabs>
        <w:jc w:val="center"/>
        <w:rPr>
          <w:rFonts w:ascii="Palatino Linotype" w:hAnsi="Palatino Linotype"/>
          <w:b/>
          <w:color w:val="0D0D0D" w:themeColor="text1" w:themeTint="F2"/>
          <w:sz w:val="24"/>
          <w:szCs w:val="24"/>
        </w:rPr>
      </w:pPr>
      <w:bookmarkStart w:id="140" w:name="_Toc71758072"/>
      <w:r w:rsidRPr="0011121B">
        <w:rPr>
          <w:rFonts w:ascii="Palatino Linotype" w:hAnsi="Palatino Linotype"/>
          <w:b/>
          <w:color w:val="0D0D0D" w:themeColor="text1" w:themeTint="F2"/>
          <w:sz w:val="24"/>
          <w:szCs w:val="24"/>
        </w:rPr>
        <w:t>CONSIDERANDO</w:t>
      </w:r>
      <w:bookmarkEnd w:id="138"/>
      <w:bookmarkEnd w:id="140"/>
    </w:p>
    <w:p w14:paraId="59BBDBDF" w14:textId="77777777" w:rsidR="008A49F0" w:rsidRPr="0011121B" w:rsidRDefault="008A49F0" w:rsidP="008A49F0">
      <w:pPr>
        <w:pStyle w:val="Ttulo1"/>
        <w:tabs>
          <w:tab w:val="left" w:pos="567"/>
        </w:tabs>
        <w:rPr>
          <w:rFonts w:ascii="Palatino Linotype" w:hAnsi="Palatino Linotype"/>
          <w:b/>
          <w:bCs/>
          <w:color w:val="0D0D0D" w:themeColor="text1" w:themeTint="F2"/>
          <w:spacing w:val="60"/>
          <w:sz w:val="24"/>
        </w:rPr>
      </w:pPr>
      <w:bookmarkStart w:id="141" w:name="_Toc48841665"/>
      <w:bookmarkStart w:id="142" w:name="_Toc71758073"/>
      <w:r w:rsidRPr="0011121B">
        <w:rPr>
          <w:rFonts w:ascii="Palatino Linotype" w:hAnsi="Palatino Linotype"/>
          <w:b/>
          <w:color w:val="0D0D0D" w:themeColor="text1" w:themeTint="F2"/>
          <w:sz w:val="24"/>
        </w:rPr>
        <w:t>PRIMERO. De la competencia</w:t>
      </w:r>
      <w:bookmarkEnd w:id="141"/>
      <w:bookmarkEnd w:id="142"/>
    </w:p>
    <w:p w14:paraId="16EED6A1" w14:textId="77777777" w:rsidR="008A49F0" w:rsidRPr="008A49F0" w:rsidRDefault="008A49F0" w:rsidP="008A49F0">
      <w:pPr>
        <w:pStyle w:val="Prrafodelista"/>
        <w:tabs>
          <w:tab w:val="left" w:pos="567"/>
        </w:tabs>
        <w:spacing w:line="360" w:lineRule="auto"/>
        <w:ind w:left="0"/>
        <w:jc w:val="both"/>
        <w:rPr>
          <w:rFonts w:ascii="Palatino Linotype" w:hAnsi="Palatino Linotype"/>
          <w:color w:val="000000"/>
        </w:rPr>
      </w:pPr>
    </w:p>
    <w:bookmarkEnd w:id="0"/>
    <w:bookmarkEnd w:id="1"/>
    <w:bookmarkEnd w:id="139"/>
    <w:p w14:paraId="63AC8A8B" w14:textId="77777777" w:rsidR="008A49F0" w:rsidRP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8A49F0">
        <w:rPr>
          <w:rFonts w:ascii="Palatino Linotype" w:eastAsia="Calibri" w:hAnsi="Palatino Linotype"/>
          <w:b/>
        </w:rPr>
        <w:t>Constitución Política de los Estados Unidos Mexicanos</w:t>
      </w:r>
      <w:r w:rsidRPr="008A49F0">
        <w:rPr>
          <w:rFonts w:ascii="Palatino Linotype" w:eastAsia="Calibri" w:hAnsi="Palatino Linotype"/>
        </w:rPr>
        <w:t xml:space="preserve">; 5, párrafos vigésimo, vigésimo primero y vigésimo segundo fracciones IV, V, VIII de la </w:t>
      </w:r>
      <w:r w:rsidRPr="008A49F0">
        <w:rPr>
          <w:rFonts w:ascii="Palatino Linotype" w:eastAsia="Calibri" w:hAnsi="Palatino Linotype"/>
          <w:b/>
        </w:rPr>
        <w:t>Constitución Política del Estado Libre y Soberano de México</w:t>
      </w:r>
      <w:r w:rsidRPr="008A49F0">
        <w:rPr>
          <w:rFonts w:ascii="Palatino Linotype" w:eastAsia="Calibri" w:hAnsi="Palatino Linotype"/>
        </w:rPr>
        <w:t>; 1, 3 fracción I, 82, 97, 98, 119, 123, 124, 127, 128 y 133</w:t>
      </w:r>
      <w:r w:rsidRPr="008A49F0">
        <w:rPr>
          <w:rFonts w:ascii="Palatino Linotype" w:hAnsi="Palatino Linotype" w:cs="Arial"/>
          <w:szCs w:val="22"/>
        </w:rPr>
        <w:t xml:space="preserve"> </w:t>
      </w:r>
      <w:r w:rsidRPr="008A49F0">
        <w:rPr>
          <w:rFonts w:ascii="Palatino Linotype" w:eastAsia="Calibri" w:hAnsi="Palatino Linotype"/>
          <w:b/>
        </w:rPr>
        <w:t>Ley de Protección de Datos Personales en Posesión de Sujetos Obligados del Estado de México y Municipios</w:t>
      </w:r>
      <w:r w:rsidRPr="008A49F0">
        <w:rPr>
          <w:rFonts w:ascii="Palatino Linotype" w:eastAsia="Calibri" w:hAnsi="Palatino Linotype" w:cs="Arial"/>
        </w:rPr>
        <w:t xml:space="preserve">; y 10, 7, 9 fracciones I y XXIV, y 11 del </w:t>
      </w:r>
      <w:r w:rsidRPr="008A49F0">
        <w:rPr>
          <w:rFonts w:ascii="Palatino Linotype" w:eastAsia="Calibri" w:hAnsi="Palatino Linotype" w:cs="Arial"/>
          <w:b/>
        </w:rPr>
        <w:t>Reglamento Interior del Instituto de Transparencia, Acceso a la Información Pública y Protección de Datos Personales del Estado de México y Municipios.</w:t>
      </w:r>
    </w:p>
    <w:p w14:paraId="6D4BEF34" w14:textId="77777777" w:rsidR="008A49F0" w:rsidRPr="008A49F0" w:rsidRDefault="008A49F0" w:rsidP="008A49F0">
      <w:pPr>
        <w:pStyle w:val="Prrafodelista"/>
        <w:spacing w:before="240" w:after="240" w:line="360" w:lineRule="auto"/>
        <w:ind w:left="0"/>
        <w:jc w:val="both"/>
        <w:rPr>
          <w:rFonts w:ascii="Palatino Linotype" w:hAnsi="Palatino Linotype"/>
        </w:rPr>
      </w:pPr>
    </w:p>
    <w:p w14:paraId="15248FA2" w14:textId="77777777" w:rsidR="008A49F0" w:rsidRPr="00D1102D" w:rsidRDefault="008A49F0" w:rsidP="008A49F0">
      <w:pPr>
        <w:pStyle w:val="Ttulo2"/>
        <w:rPr>
          <w:rFonts w:ascii="Palatino Linotype" w:hAnsi="Palatino Linotype"/>
          <w:b/>
          <w:color w:val="auto"/>
          <w:sz w:val="24"/>
        </w:rPr>
      </w:pPr>
      <w:bookmarkStart w:id="143" w:name="_Toc66315411"/>
      <w:bookmarkStart w:id="144" w:name="_Toc71758074"/>
      <w:r w:rsidRPr="00D1102D">
        <w:rPr>
          <w:rFonts w:ascii="Palatino Linotype" w:hAnsi="Palatino Linotype"/>
          <w:b/>
          <w:color w:val="auto"/>
          <w:sz w:val="24"/>
        </w:rPr>
        <w:t>SEGUNDO. De la oportunidad y procedencia.</w:t>
      </w:r>
      <w:bookmarkEnd w:id="143"/>
      <w:bookmarkEnd w:id="144"/>
    </w:p>
    <w:p w14:paraId="36A70980" w14:textId="77777777" w:rsidR="008A49F0" w:rsidRPr="008A49F0" w:rsidRDefault="008A49F0" w:rsidP="008A49F0">
      <w:pPr>
        <w:rPr>
          <w:rFonts w:ascii="Palatino Linotype" w:hAnsi="Palatino Linotype"/>
          <w:lang w:eastAsia="en-US"/>
        </w:rPr>
      </w:pPr>
    </w:p>
    <w:p w14:paraId="41245090" w14:textId="3F44E711" w:rsidR="008A49F0" w:rsidRP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eastAsia="Calibri" w:hAnsi="Palatino Linotype" w:cs="Arial"/>
        </w:rPr>
        <w:t xml:space="preserve">El medio de impugnación fue presentado a través de </w:t>
      </w:r>
      <w:r w:rsidRPr="008A49F0">
        <w:rPr>
          <w:rFonts w:ascii="Palatino Linotype" w:eastAsia="Calibri" w:hAnsi="Palatino Linotype" w:cs="Arial"/>
          <w:b/>
        </w:rPr>
        <w:t>SARCOEM,</w:t>
      </w:r>
      <w:r w:rsidRPr="008A49F0">
        <w:rPr>
          <w:rFonts w:ascii="Palatino Linotype" w:eastAsia="Calibri" w:hAnsi="Palatino Linotype" w:cs="Arial"/>
        </w:rPr>
        <w:t xml:space="preserve"> dentro del plazo legal de quince días hábiles otorgados; para el caso en particular es de señalar que el </w:t>
      </w:r>
      <w:r w:rsidRPr="008A49F0">
        <w:rPr>
          <w:rFonts w:ascii="Palatino Linotype" w:eastAsia="Calibri" w:hAnsi="Palatino Linotype" w:cs="Arial"/>
          <w:b/>
        </w:rPr>
        <w:t>SUJETO OBLIGADO</w:t>
      </w:r>
      <w:r w:rsidRPr="008A49F0">
        <w:rPr>
          <w:rFonts w:ascii="Palatino Linotype" w:eastAsia="Calibri" w:hAnsi="Palatino Linotype" w:cs="Arial"/>
        </w:rPr>
        <w:t xml:space="preserve"> entrego una contestación en fecha </w:t>
      </w:r>
      <w:r w:rsidR="00D1102D">
        <w:rPr>
          <w:rFonts w:ascii="Palatino Linotype" w:eastAsia="Calibri" w:hAnsi="Palatino Linotype" w:cs="Arial"/>
        </w:rPr>
        <w:t>diecinueve</w:t>
      </w:r>
      <w:r w:rsidRPr="008A49F0">
        <w:rPr>
          <w:rFonts w:ascii="Palatino Linotype" w:eastAsia="Calibri" w:hAnsi="Palatino Linotype" w:cs="Arial"/>
        </w:rPr>
        <w:t xml:space="preserve"> (</w:t>
      </w:r>
      <w:r w:rsidR="00D1102D">
        <w:rPr>
          <w:rFonts w:ascii="Palatino Linotype" w:eastAsia="Calibri" w:hAnsi="Palatino Linotype" w:cs="Arial"/>
        </w:rPr>
        <w:t>19</w:t>
      </w:r>
      <w:r w:rsidRPr="008A49F0">
        <w:rPr>
          <w:rFonts w:ascii="Palatino Linotype" w:eastAsia="Calibri" w:hAnsi="Palatino Linotype" w:cs="Arial"/>
        </w:rPr>
        <w:t xml:space="preserve">) de </w:t>
      </w:r>
      <w:r w:rsidR="00D1102D">
        <w:rPr>
          <w:rFonts w:ascii="Palatino Linotype" w:eastAsia="Calibri" w:hAnsi="Palatino Linotype" w:cs="Arial"/>
        </w:rPr>
        <w:lastRenderedPageBreak/>
        <w:t>abril</w:t>
      </w:r>
      <w:r w:rsidRPr="008A49F0">
        <w:rPr>
          <w:rFonts w:ascii="Palatino Linotype" w:eastAsia="Calibri" w:hAnsi="Palatino Linotype" w:cs="Arial"/>
        </w:rPr>
        <w:t xml:space="preserve"> de la presente anualidad, </w:t>
      </w:r>
      <w:r w:rsidRPr="008A49F0">
        <w:rPr>
          <w:rFonts w:ascii="Palatino Linotype" w:hAnsi="Palatino Linotype" w:cs="Arial"/>
        </w:rPr>
        <w:t>de tal forma que el plazo para interponer el recurso de revisión transcurrió del día veint</w:t>
      </w:r>
      <w:r w:rsidR="00D1102D">
        <w:rPr>
          <w:rFonts w:ascii="Palatino Linotype" w:hAnsi="Palatino Linotype" w:cs="Arial"/>
        </w:rPr>
        <w:t>e</w:t>
      </w:r>
      <w:r w:rsidRPr="008A49F0">
        <w:rPr>
          <w:rFonts w:ascii="Palatino Linotype" w:hAnsi="Palatino Linotype" w:cs="Arial"/>
        </w:rPr>
        <w:t xml:space="preserve"> (2</w:t>
      </w:r>
      <w:r w:rsidR="00D1102D">
        <w:rPr>
          <w:rFonts w:ascii="Palatino Linotype" w:hAnsi="Palatino Linotype" w:cs="Arial"/>
        </w:rPr>
        <w:t>0</w:t>
      </w:r>
      <w:r w:rsidRPr="008A49F0">
        <w:rPr>
          <w:rFonts w:ascii="Palatino Linotype" w:hAnsi="Palatino Linotype" w:cs="Arial"/>
        </w:rPr>
        <w:t xml:space="preserve">) de </w:t>
      </w:r>
      <w:r w:rsidR="00D1102D">
        <w:rPr>
          <w:rFonts w:ascii="Palatino Linotype" w:hAnsi="Palatino Linotype" w:cs="Arial"/>
        </w:rPr>
        <w:t>abril</w:t>
      </w:r>
      <w:r w:rsidRPr="008A49F0">
        <w:rPr>
          <w:rFonts w:ascii="Palatino Linotype" w:hAnsi="Palatino Linotype" w:cs="Arial"/>
        </w:rPr>
        <w:t xml:space="preserve"> al </w:t>
      </w:r>
      <w:r w:rsidR="00D1102D">
        <w:rPr>
          <w:rFonts w:ascii="Palatino Linotype" w:hAnsi="Palatino Linotype" w:cs="Arial"/>
        </w:rPr>
        <w:t>once</w:t>
      </w:r>
      <w:r w:rsidRPr="008A49F0">
        <w:rPr>
          <w:rFonts w:ascii="Palatino Linotype" w:hAnsi="Palatino Linotype" w:cs="Arial"/>
        </w:rPr>
        <w:t xml:space="preserve"> (1</w:t>
      </w:r>
      <w:r w:rsidR="00D1102D">
        <w:rPr>
          <w:rFonts w:ascii="Palatino Linotype" w:hAnsi="Palatino Linotype" w:cs="Arial"/>
        </w:rPr>
        <w:t>1</w:t>
      </w:r>
      <w:r w:rsidRPr="008A49F0">
        <w:rPr>
          <w:rFonts w:ascii="Palatino Linotype" w:hAnsi="Palatino Linotype" w:cs="Arial"/>
        </w:rPr>
        <w:t xml:space="preserve">) de </w:t>
      </w:r>
      <w:r w:rsidR="00D1102D">
        <w:rPr>
          <w:rFonts w:ascii="Palatino Linotype" w:hAnsi="Palatino Linotype" w:cs="Arial"/>
        </w:rPr>
        <w:t>may</w:t>
      </w:r>
      <w:r w:rsidRPr="008A49F0">
        <w:rPr>
          <w:rFonts w:ascii="Palatino Linotype" w:hAnsi="Palatino Linotype" w:cs="Arial"/>
        </w:rPr>
        <w:t xml:space="preserve">o dos mil veintiuno; en consecuencia, presentó su inconformidad el día </w:t>
      </w:r>
      <w:r w:rsidR="00D1102D">
        <w:rPr>
          <w:rFonts w:ascii="Palatino Linotype" w:hAnsi="Palatino Linotype" w:cs="Arial"/>
        </w:rPr>
        <w:t>diez</w:t>
      </w:r>
      <w:r w:rsidRPr="008A49F0">
        <w:rPr>
          <w:rFonts w:ascii="Palatino Linotype" w:hAnsi="Palatino Linotype" w:cs="Arial"/>
        </w:rPr>
        <w:t xml:space="preserve"> (</w:t>
      </w:r>
      <w:r w:rsidR="00D1102D">
        <w:rPr>
          <w:rFonts w:ascii="Palatino Linotype" w:hAnsi="Palatino Linotype" w:cs="Arial"/>
        </w:rPr>
        <w:t>10</w:t>
      </w:r>
      <w:r w:rsidRPr="008A49F0">
        <w:rPr>
          <w:rFonts w:ascii="Palatino Linotype" w:hAnsi="Palatino Linotype" w:cs="Arial"/>
        </w:rPr>
        <w:t>) de ma</w:t>
      </w:r>
      <w:r w:rsidR="00D1102D">
        <w:rPr>
          <w:rFonts w:ascii="Palatino Linotype" w:hAnsi="Palatino Linotype" w:cs="Arial"/>
        </w:rPr>
        <w:t>y</w:t>
      </w:r>
      <w:r w:rsidRPr="008A49F0">
        <w:rPr>
          <w:rFonts w:ascii="Palatino Linotype" w:hAnsi="Palatino Linotype" w:cs="Arial"/>
        </w:rPr>
        <w:t>o de dos mil veintiuno por lo que se encuentra dentro de los márgenes temporales previstos en el artículo</w:t>
      </w:r>
      <w:r w:rsidRPr="008A49F0">
        <w:rPr>
          <w:rFonts w:ascii="Palatino Linotype" w:eastAsia="Calibri" w:hAnsi="Palatino Linotype" w:cs="Arial"/>
        </w:rPr>
        <w:t xml:space="preserve"> </w:t>
      </w:r>
      <w:r w:rsidRPr="008A49F0">
        <w:rPr>
          <w:rFonts w:ascii="Palatino Linotype" w:hAnsi="Palatino Linotype" w:cs="Arial"/>
        </w:rPr>
        <w:t xml:space="preserve">señalados en el artículo 128 de la </w:t>
      </w:r>
      <w:r w:rsidRPr="008A49F0">
        <w:rPr>
          <w:rFonts w:ascii="Palatino Linotype" w:hAnsi="Palatino Linotype" w:cs="Arial"/>
          <w:b/>
        </w:rPr>
        <w:t>Ley de Protección de Datos Personales en Posesión de Sujetos Obligados del Estado de México y Municipios</w:t>
      </w:r>
      <w:r w:rsidRPr="008A49F0">
        <w:rPr>
          <w:rFonts w:ascii="Palatino Linotype" w:hAnsi="Palatino Linotype" w:cs="Arial"/>
        </w:rPr>
        <w:t>.</w:t>
      </w:r>
    </w:p>
    <w:p w14:paraId="51615C54" w14:textId="77777777" w:rsidR="00D1102D" w:rsidRPr="00D1102D" w:rsidRDefault="00D1102D" w:rsidP="00D1102D">
      <w:pPr>
        <w:pStyle w:val="Prrafodelista"/>
        <w:tabs>
          <w:tab w:val="left" w:pos="66"/>
        </w:tabs>
        <w:spacing w:before="240" w:after="240" w:line="360" w:lineRule="auto"/>
        <w:ind w:left="0"/>
        <w:contextualSpacing/>
        <w:jc w:val="both"/>
        <w:rPr>
          <w:rFonts w:ascii="Palatino Linotype" w:hAnsi="Palatino Linotype"/>
        </w:rPr>
      </w:pPr>
    </w:p>
    <w:p w14:paraId="352B4A7B" w14:textId="77777777" w:rsidR="008A49F0" w:rsidRPr="008A49F0" w:rsidRDefault="008A49F0" w:rsidP="008A49F0">
      <w:pPr>
        <w:pStyle w:val="Prrafodelista"/>
        <w:numPr>
          <w:ilvl w:val="0"/>
          <w:numId w:val="24"/>
        </w:numPr>
        <w:tabs>
          <w:tab w:val="left" w:pos="66"/>
        </w:tabs>
        <w:spacing w:before="240" w:after="240" w:line="360" w:lineRule="auto"/>
        <w:ind w:left="0" w:firstLine="0"/>
        <w:contextualSpacing/>
        <w:jc w:val="both"/>
        <w:rPr>
          <w:rFonts w:ascii="Palatino Linotype" w:hAnsi="Palatino Linotype"/>
        </w:rPr>
      </w:pPr>
      <w:r w:rsidRPr="008A49F0">
        <w:rPr>
          <w:rFonts w:ascii="Palatino Linotype" w:eastAsia="Calibri" w:hAnsi="Palatino Linotype" w:cs="Arial"/>
        </w:rPr>
        <w:t>Por otro lado, el escrito contiene las formalidades previstas por el artículo 130 de la Ley de Transparencia y Acceso a la Información Pública del Estado de México y Municipios de aplicación supletoria, por lo que es procedente que este Instituto de Transparencia, Acceso a la Información Pública y Protección de Datos Personales del Estado de México y Municipios, conozca y resuelva el presente recurso.</w:t>
      </w:r>
    </w:p>
    <w:p w14:paraId="58D52F04" w14:textId="77777777" w:rsidR="008A49F0" w:rsidRPr="008A49F0" w:rsidRDefault="008A49F0" w:rsidP="008A49F0">
      <w:pPr>
        <w:pStyle w:val="Prrafodelista"/>
        <w:rPr>
          <w:rFonts w:ascii="Palatino Linotype" w:hAnsi="Palatino Linotype"/>
        </w:rPr>
      </w:pPr>
    </w:p>
    <w:p w14:paraId="0579A099" w14:textId="77777777" w:rsidR="008A49F0" w:rsidRPr="008A49F0" w:rsidRDefault="008A49F0" w:rsidP="008A49F0">
      <w:pPr>
        <w:pStyle w:val="Prrafodelista"/>
        <w:rPr>
          <w:rFonts w:ascii="Palatino Linotype" w:hAnsi="Palatino Linotype"/>
        </w:rPr>
      </w:pPr>
    </w:p>
    <w:p w14:paraId="2612AF87" w14:textId="77777777" w:rsidR="008A49F0" w:rsidRPr="000F3826" w:rsidRDefault="008A49F0" w:rsidP="008A49F0">
      <w:pPr>
        <w:pStyle w:val="Ttulo2"/>
        <w:rPr>
          <w:rFonts w:ascii="Palatino Linotype" w:hAnsi="Palatino Linotype"/>
          <w:b/>
          <w:color w:val="auto"/>
          <w:sz w:val="24"/>
          <w:szCs w:val="24"/>
        </w:rPr>
      </w:pPr>
      <w:bookmarkStart w:id="145" w:name="_Toc66998086"/>
      <w:bookmarkStart w:id="146" w:name="_Toc71758075"/>
      <w:bookmarkStart w:id="147" w:name="_Toc66315412"/>
      <w:r w:rsidRPr="000F3826">
        <w:rPr>
          <w:rFonts w:ascii="Palatino Linotype" w:hAnsi="Palatino Linotype"/>
          <w:b/>
          <w:color w:val="auto"/>
          <w:sz w:val="24"/>
          <w:szCs w:val="24"/>
        </w:rPr>
        <w:t>TERCERO. De previo y especial pronunciamiento.</w:t>
      </w:r>
      <w:bookmarkEnd w:id="145"/>
      <w:bookmarkEnd w:id="146"/>
    </w:p>
    <w:p w14:paraId="35E48C62" w14:textId="77777777" w:rsidR="008A49F0" w:rsidRPr="008A49F0" w:rsidRDefault="008A49F0" w:rsidP="008A49F0">
      <w:pPr>
        <w:pStyle w:val="Prrafodelista"/>
        <w:spacing w:line="360" w:lineRule="auto"/>
        <w:ind w:left="0"/>
        <w:jc w:val="both"/>
        <w:rPr>
          <w:rFonts w:ascii="Palatino Linotype" w:hAnsi="Palatino Linotype"/>
          <w:lang w:val="es-MX"/>
        </w:rPr>
      </w:pPr>
    </w:p>
    <w:p w14:paraId="1BEA6A3D" w14:textId="77777777" w:rsid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eastAsia="Calibri" w:hAnsi="Palatino Linotype" w:cs="Arial"/>
        </w:rPr>
        <w:t>Desde</w:t>
      </w:r>
      <w:r w:rsidRPr="008A49F0">
        <w:rPr>
          <w:rFonts w:ascii="Palatino Linotype" w:hAnsi="Palatino Linotype"/>
        </w:rPr>
        <w:t xml:space="preserve"> que inició, a finales de 2019, la crisis generada por el virus </w:t>
      </w:r>
      <w:r w:rsidRPr="008A49F0">
        <w:rPr>
          <w:rFonts w:ascii="Palatino Linotype" w:hAnsi="Palatino Linotype"/>
          <w:b/>
        </w:rPr>
        <w:t>SARS-Cov-2 - COVID-19</w:t>
      </w:r>
      <w:r w:rsidRPr="008A49F0">
        <w:rPr>
          <w:rFonts w:ascii="Palatino Linotype" w:hAnsi="Palatino Linotype"/>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C05A710" w14:textId="77777777" w:rsidR="000F3826" w:rsidRPr="008A49F0" w:rsidRDefault="000F3826" w:rsidP="000F3826">
      <w:pPr>
        <w:pStyle w:val="Prrafodelista"/>
        <w:tabs>
          <w:tab w:val="left" w:pos="426"/>
          <w:tab w:val="left" w:pos="567"/>
        </w:tabs>
        <w:spacing w:before="240" w:after="240" w:line="360" w:lineRule="auto"/>
        <w:ind w:left="0"/>
        <w:contextualSpacing/>
        <w:jc w:val="both"/>
        <w:rPr>
          <w:rFonts w:ascii="Palatino Linotype" w:hAnsi="Palatino Linotype"/>
        </w:rPr>
      </w:pPr>
    </w:p>
    <w:p w14:paraId="0AFA6973" w14:textId="77777777" w:rsidR="008A49F0" w:rsidRP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hAnsi="Palatino Linotype"/>
        </w:rPr>
        <w:t xml:space="preserve">Las acciones adoptadas al año pasado, y de mayor impacto, llegaron incluso a la </w:t>
      </w:r>
      <w:r w:rsidRPr="008A49F0">
        <w:rPr>
          <w:rFonts w:ascii="Palatino Linotype" w:eastAsia="Calibri" w:hAnsi="Palatino Linotype" w:cs="Arial"/>
        </w:rPr>
        <w:t>suspensión</w:t>
      </w:r>
      <w:r w:rsidRPr="008A49F0">
        <w:rPr>
          <w:rFonts w:ascii="Palatino Linotype" w:hAnsi="Palatino Linotype"/>
        </w:rPr>
        <w:t xml:space="preserve"> de las actividades no prioritarias como una medida indispensable para </w:t>
      </w:r>
      <w:r w:rsidRPr="008A49F0">
        <w:rPr>
          <w:rFonts w:ascii="Palatino Linotype" w:hAnsi="Palatino Linotype"/>
        </w:rPr>
        <w:lastRenderedPageBreak/>
        <w:t>disminuir la concurrencia de personas y, con ello, tratar de disminuir los contagios y sus efectos en la salud y en la vida, especialmente, de los grupos más vulnerables.</w:t>
      </w:r>
    </w:p>
    <w:p w14:paraId="43AC1899" w14:textId="77777777" w:rsidR="008A49F0" w:rsidRPr="008A49F0" w:rsidRDefault="008A49F0" w:rsidP="008A49F0">
      <w:pPr>
        <w:pStyle w:val="Prrafodelista"/>
        <w:rPr>
          <w:rFonts w:ascii="Palatino Linotype" w:hAnsi="Palatino Linotype"/>
        </w:rPr>
      </w:pPr>
    </w:p>
    <w:p w14:paraId="60576E91" w14:textId="48F01AA7" w:rsidR="008A49F0" w:rsidRDefault="008A49F0" w:rsidP="00A47399">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48763A">
        <w:rPr>
          <w:rFonts w:ascii="Palatino Linotype" w:hAnsi="Palatino Linotype"/>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49F997D" w14:textId="77777777" w:rsidR="0048763A" w:rsidRPr="0048763A" w:rsidRDefault="0048763A" w:rsidP="0048763A">
      <w:pPr>
        <w:pStyle w:val="Prrafodelista"/>
        <w:rPr>
          <w:rFonts w:ascii="Palatino Linotype" w:hAnsi="Palatino Linotype"/>
        </w:rPr>
      </w:pPr>
    </w:p>
    <w:p w14:paraId="153994A2" w14:textId="77777777" w:rsidR="008A49F0" w:rsidRP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hAnsi="Palatino Linotype"/>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EE399C2" w14:textId="77777777" w:rsidR="008A49F0" w:rsidRP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hAnsi="Palatino Linotype"/>
        </w:rPr>
        <w:t xml:space="preserve">Sin embargo, también es necesario señalar que, a pesar de las condiciones de suspensión de actividades del año anterior, es evidente y claro que los sujetos </w:t>
      </w:r>
      <w:r w:rsidRPr="008A49F0">
        <w:rPr>
          <w:rFonts w:ascii="Palatino Linotype" w:hAnsi="Palatino Linotype"/>
        </w:rPr>
        <w:lastRenderedPageBreak/>
        <w:t>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FE70360" w14:textId="77777777" w:rsidR="000F3826" w:rsidRDefault="000F3826" w:rsidP="000F3826">
      <w:pPr>
        <w:pStyle w:val="Prrafodelista"/>
        <w:tabs>
          <w:tab w:val="left" w:pos="426"/>
          <w:tab w:val="left" w:pos="567"/>
        </w:tabs>
        <w:spacing w:before="240" w:after="240" w:line="360" w:lineRule="auto"/>
        <w:ind w:left="0"/>
        <w:contextualSpacing/>
        <w:jc w:val="both"/>
        <w:rPr>
          <w:rFonts w:ascii="Palatino Linotype" w:hAnsi="Palatino Linotype"/>
        </w:rPr>
      </w:pPr>
    </w:p>
    <w:p w14:paraId="0C5B1348" w14:textId="77777777" w:rsidR="008A49F0" w:rsidRP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hAnsi="Palatino Linotype"/>
        </w:rPr>
        <w:t>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1CFF6994" w14:textId="77777777" w:rsidR="008A49F0" w:rsidRPr="008A49F0" w:rsidRDefault="008A49F0" w:rsidP="008A49F0">
      <w:pPr>
        <w:pStyle w:val="Prrafodelista"/>
        <w:rPr>
          <w:rFonts w:ascii="Palatino Linotype" w:hAnsi="Palatino Linotype"/>
        </w:rPr>
      </w:pPr>
    </w:p>
    <w:p w14:paraId="0D8223FE" w14:textId="77777777" w:rsidR="008A49F0" w:rsidRP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hAnsi="Palatino Linotype"/>
        </w:rPr>
        <w:t xml:space="preserve">El diseño de los procedimientos para el ejercicio de los derechos de acceso a la información pública y a la protección de los datos personales, ha descansado en </w:t>
      </w:r>
      <w:r w:rsidRPr="008A49F0">
        <w:rPr>
          <w:rFonts w:ascii="Palatino Linotype" w:hAnsi="Palatino Linotype"/>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4AB76DA" w14:textId="77777777" w:rsidR="008A49F0" w:rsidRPr="008A49F0" w:rsidRDefault="008A49F0" w:rsidP="008A49F0">
      <w:pPr>
        <w:pStyle w:val="Prrafodelista"/>
        <w:rPr>
          <w:rFonts w:ascii="Palatino Linotype" w:hAnsi="Palatino Linotype"/>
        </w:rPr>
      </w:pPr>
    </w:p>
    <w:p w14:paraId="50FB7025" w14:textId="77777777" w:rsidR="008A49F0" w:rsidRP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hAnsi="Palatino Linotype"/>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0A2B4F" w14:textId="77777777" w:rsidR="008A49F0" w:rsidRPr="008A49F0" w:rsidRDefault="008A49F0" w:rsidP="008A49F0">
      <w:pPr>
        <w:pStyle w:val="Prrafodelista"/>
        <w:rPr>
          <w:rFonts w:ascii="Palatino Linotype" w:hAnsi="Palatino Linotype"/>
        </w:rPr>
      </w:pPr>
    </w:p>
    <w:p w14:paraId="762C56CE" w14:textId="77777777" w:rsidR="008A49F0" w:rsidRP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hAnsi="Palatino Linotype"/>
        </w:rPr>
        <w:t xml:space="preserve">Si bien esto podría considerarse como una nueva presión sobre el funcionamiento de los sujetos obligados, es muy importante destacar el papel e importancia que el acceso a la información pública, relacionada con las acciones que </w:t>
      </w:r>
      <w:r w:rsidRPr="008A49F0">
        <w:rPr>
          <w:rFonts w:ascii="Palatino Linotype" w:hAnsi="Palatino Linotype"/>
        </w:rPr>
        <w:lastRenderedPageBreak/>
        <w:t>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E0B0643" w14:textId="77777777" w:rsidR="008A49F0" w:rsidRPr="008A49F0" w:rsidRDefault="008A49F0" w:rsidP="008A49F0">
      <w:pPr>
        <w:pStyle w:val="Prrafodelista"/>
        <w:rPr>
          <w:rFonts w:ascii="Palatino Linotype" w:hAnsi="Palatino Linotype"/>
        </w:rPr>
      </w:pPr>
    </w:p>
    <w:p w14:paraId="27FC01B2" w14:textId="77777777" w:rsidR="008A49F0" w:rsidRP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hAnsi="Palatino Linotype"/>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3C796FAA" w14:textId="77777777" w:rsidR="000F3826" w:rsidRDefault="000F3826" w:rsidP="000F3826">
      <w:pPr>
        <w:pStyle w:val="Prrafodelista"/>
        <w:tabs>
          <w:tab w:val="left" w:pos="426"/>
          <w:tab w:val="left" w:pos="567"/>
        </w:tabs>
        <w:spacing w:before="240" w:after="240" w:line="360" w:lineRule="auto"/>
        <w:ind w:left="0"/>
        <w:contextualSpacing/>
        <w:jc w:val="both"/>
        <w:rPr>
          <w:rFonts w:ascii="Palatino Linotype" w:hAnsi="Palatino Linotype"/>
        </w:rPr>
      </w:pPr>
    </w:p>
    <w:p w14:paraId="05F9C90D" w14:textId="77777777" w:rsidR="008A49F0" w:rsidRPr="008A49F0"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rPr>
      </w:pPr>
      <w:r w:rsidRPr="008A49F0">
        <w:rPr>
          <w:rFonts w:ascii="Palatino Linotype" w:hAnsi="Palatino Linotype"/>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AA299E3" w14:textId="77777777" w:rsidR="008A49F0" w:rsidRPr="008A49F0" w:rsidRDefault="008A49F0" w:rsidP="008A49F0">
      <w:pPr>
        <w:pStyle w:val="Prrafodelista"/>
        <w:rPr>
          <w:rFonts w:ascii="Palatino Linotype" w:hAnsi="Palatino Linotype"/>
        </w:rPr>
      </w:pPr>
    </w:p>
    <w:p w14:paraId="2FF8B1CF" w14:textId="77777777" w:rsidR="000F3826" w:rsidRPr="000F3826" w:rsidRDefault="000F3826" w:rsidP="000F3826">
      <w:pPr>
        <w:pStyle w:val="Ttulo1"/>
        <w:rPr>
          <w:rFonts w:ascii="Palatino Linotype" w:hAnsi="Palatino Linotype"/>
          <w:b/>
          <w:color w:val="0D0D0D" w:themeColor="text1" w:themeTint="F2"/>
          <w:sz w:val="24"/>
        </w:rPr>
      </w:pPr>
      <w:bookmarkStart w:id="148" w:name="_Toc67574741"/>
      <w:r w:rsidRPr="000F3826">
        <w:rPr>
          <w:rFonts w:ascii="Palatino Linotype" w:hAnsi="Palatino Linotype"/>
          <w:b/>
          <w:color w:val="0D0D0D" w:themeColor="text1" w:themeTint="F2"/>
          <w:sz w:val="24"/>
        </w:rPr>
        <w:t>CUARTO. De las causales del sobreseimiento.</w:t>
      </w:r>
      <w:bookmarkEnd w:id="148"/>
    </w:p>
    <w:p w14:paraId="5075122C" w14:textId="77777777" w:rsidR="008A49F0" w:rsidRPr="008A49F0" w:rsidRDefault="008A49F0" w:rsidP="008A49F0">
      <w:pPr>
        <w:rPr>
          <w:rFonts w:ascii="Palatino Linotype" w:hAnsi="Palatino Linotype"/>
          <w:lang w:eastAsia="en-US"/>
        </w:rPr>
      </w:pPr>
    </w:p>
    <w:p w14:paraId="36470CC2" w14:textId="77777777" w:rsidR="008A49F0" w:rsidRPr="008A49F0" w:rsidRDefault="008A49F0" w:rsidP="008A49F0">
      <w:pPr>
        <w:numPr>
          <w:ilvl w:val="0"/>
          <w:numId w:val="24"/>
        </w:numPr>
        <w:spacing w:line="360" w:lineRule="auto"/>
        <w:ind w:left="0" w:firstLine="0"/>
        <w:contextualSpacing/>
        <w:jc w:val="both"/>
        <w:rPr>
          <w:rFonts w:ascii="Palatino Linotype" w:hAnsi="Palatino Linotype"/>
          <w:color w:val="000000"/>
          <w:sz w:val="20"/>
          <w:szCs w:val="14"/>
        </w:rPr>
      </w:pPr>
      <w:r w:rsidRPr="008A49F0">
        <w:rPr>
          <w:rFonts w:ascii="Palatino Linotype" w:hAnsi="Palatino Linotype" w:cs="Arial"/>
        </w:rPr>
        <w:t>Se solicitó, tener acceso a los datos siguientes</w:t>
      </w:r>
      <w:r w:rsidRPr="008A49F0">
        <w:rPr>
          <w:rFonts w:ascii="Palatino Linotype" w:hAnsi="Palatino Linotype"/>
          <w:color w:val="000000"/>
        </w:rPr>
        <w:t>:</w:t>
      </w:r>
    </w:p>
    <w:p w14:paraId="5EC14218" w14:textId="77777777" w:rsidR="008A49F0" w:rsidRPr="008A49F0" w:rsidRDefault="008A49F0" w:rsidP="008A49F0">
      <w:pPr>
        <w:spacing w:line="360" w:lineRule="auto"/>
        <w:contextualSpacing/>
        <w:jc w:val="both"/>
        <w:rPr>
          <w:rFonts w:ascii="Palatino Linotype" w:hAnsi="Palatino Linotype"/>
          <w:color w:val="000000"/>
          <w:sz w:val="20"/>
          <w:szCs w:val="14"/>
        </w:rPr>
      </w:pPr>
    </w:p>
    <w:p w14:paraId="371187D5" w14:textId="069FC899" w:rsidR="008A49F0" w:rsidRPr="008A49F0" w:rsidRDefault="005F21B5" w:rsidP="000F3826">
      <w:pPr>
        <w:pStyle w:val="Prrafodelista"/>
        <w:numPr>
          <w:ilvl w:val="0"/>
          <w:numId w:val="9"/>
        </w:numPr>
        <w:spacing w:line="360" w:lineRule="auto"/>
        <w:contextualSpacing/>
        <w:jc w:val="both"/>
        <w:rPr>
          <w:rFonts w:ascii="Palatino Linotype" w:hAnsi="Palatino Linotype"/>
          <w:color w:val="000000"/>
          <w:szCs w:val="14"/>
        </w:rPr>
      </w:pPr>
      <w:r>
        <w:rPr>
          <w:rFonts w:ascii="Palatino Linotype" w:hAnsi="Palatino Linotype"/>
          <w:color w:val="000000"/>
          <w:szCs w:val="14"/>
        </w:rPr>
        <w:t>Expediente</w:t>
      </w:r>
      <w:r w:rsidR="000F3826" w:rsidRPr="000F3826">
        <w:rPr>
          <w:rFonts w:ascii="Palatino Linotype" w:hAnsi="Palatino Linotype"/>
          <w:color w:val="000000"/>
          <w:szCs w:val="14"/>
        </w:rPr>
        <w:t xml:space="preserve"> clínico certificado del Sr. </w:t>
      </w:r>
      <w:r w:rsidR="00810CFC">
        <w:rPr>
          <w:rFonts w:ascii="Palatino Linotype" w:hAnsi="Palatino Linotype"/>
          <w:color w:val="000000"/>
          <w:szCs w:val="14"/>
        </w:rPr>
        <w:t>XXXXXXXXXXXXXX</w:t>
      </w:r>
      <w:r>
        <w:rPr>
          <w:rFonts w:ascii="Palatino Linotype" w:hAnsi="Palatino Linotype"/>
          <w:color w:val="000000"/>
          <w:szCs w:val="14"/>
        </w:rPr>
        <w:t>.</w:t>
      </w:r>
    </w:p>
    <w:p w14:paraId="3694CC8C" w14:textId="77777777" w:rsidR="008A49F0" w:rsidRPr="008A49F0" w:rsidRDefault="008A49F0" w:rsidP="008A49F0">
      <w:pPr>
        <w:pStyle w:val="Prrafodelista"/>
        <w:spacing w:line="360" w:lineRule="auto"/>
        <w:jc w:val="both"/>
        <w:rPr>
          <w:rFonts w:ascii="Palatino Linotype" w:hAnsi="Palatino Linotype"/>
          <w:color w:val="000000"/>
          <w:szCs w:val="14"/>
        </w:rPr>
      </w:pPr>
    </w:p>
    <w:p w14:paraId="0577EC5B" w14:textId="43CF448D" w:rsidR="008A49F0" w:rsidRPr="008A49F0" w:rsidRDefault="005F21B5" w:rsidP="008A49F0">
      <w:pPr>
        <w:pStyle w:val="Prrafodelista"/>
        <w:numPr>
          <w:ilvl w:val="0"/>
          <w:numId w:val="24"/>
        </w:numPr>
        <w:spacing w:line="360" w:lineRule="auto"/>
        <w:ind w:left="0" w:firstLine="0"/>
        <w:contextualSpacing/>
        <w:jc w:val="both"/>
        <w:rPr>
          <w:rFonts w:ascii="Palatino Linotype" w:hAnsi="Palatino Linotype" w:cs="Arial"/>
        </w:rPr>
      </w:pPr>
      <w:r>
        <w:rPr>
          <w:rFonts w:ascii="Palatino Linotype" w:hAnsi="Palatino Linotype" w:cs="Arial"/>
        </w:rPr>
        <w:t xml:space="preserve">De las constancias que obran en el expediente electrónico, se desprende que el titular de los datos personales corresponde una persona fallecida, y que </w:t>
      </w:r>
      <w:proofErr w:type="gramStart"/>
      <w:r>
        <w:rPr>
          <w:rFonts w:ascii="Palatino Linotype" w:hAnsi="Palatino Linotype" w:cs="Arial"/>
        </w:rPr>
        <w:t>la</w:t>
      </w:r>
      <w:proofErr w:type="gramEnd"/>
      <w:r>
        <w:rPr>
          <w:rFonts w:ascii="Palatino Linotype" w:hAnsi="Palatino Linotype" w:cs="Arial"/>
        </w:rPr>
        <w:t xml:space="preserve"> hoy </w:t>
      </w:r>
      <w:r>
        <w:rPr>
          <w:rFonts w:ascii="Palatino Linotype" w:hAnsi="Palatino Linotype" w:cs="Arial"/>
          <w:b/>
        </w:rPr>
        <w:t>RECURRENTE</w:t>
      </w:r>
      <w:r>
        <w:rPr>
          <w:rFonts w:ascii="Palatino Linotype" w:hAnsi="Palatino Linotype" w:cs="Arial"/>
        </w:rPr>
        <w:t xml:space="preserve"> es su esposa</w:t>
      </w:r>
      <w:r>
        <w:rPr>
          <w:rFonts w:ascii="Palatino Linotype" w:hAnsi="Palatino Linotype"/>
        </w:rPr>
        <w:t>,</w:t>
      </w:r>
      <w:r w:rsidRPr="00F43B1D">
        <w:rPr>
          <w:rFonts w:ascii="Palatino Linotype" w:hAnsi="Palatino Linotype"/>
        </w:rPr>
        <w:t xml:space="preserve"> supuesto previsto en el artículo 106, de la Ley de Protección de Datos Personales de</w:t>
      </w:r>
      <w:r>
        <w:rPr>
          <w:rFonts w:ascii="Palatino Linotype" w:hAnsi="Palatino Linotype"/>
        </w:rPr>
        <w:t>l Estado de México y Municipios.</w:t>
      </w:r>
    </w:p>
    <w:p w14:paraId="64B31C33" w14:textId="77777777" w:rsidR="008A49F0" w:rsidRDefault="008A49F0" w:rsidP="008A49F0">
      <w:pPr>
        <w:pStyle w:val="Prrafodelista"/>
        <w:spacing w:line="360" w:lineRule="auto"/>
        <w:ind w:left="0"/>
        <w:jc w:val="both"/>
        <w:rPr>
          <w:rFonts w:ascii="Palatino Linotype" w:hAnsi="Palatino Linotype" w:cs="Arial"/>
        </w:rPr>
      </w:pPr>
    </w:p>
    <w:p w14:paraId="78A41D66" w14:textId="77777777" w:rsidR="005F21B5" w:rsidRDefault="005F21B5" w:rsidP="005F21B5">
      <w:pPr>
        <w:pStyle w:val="Ttulo1"/>
        <w:numPr>
          <w:ilvl w:val="0"/>
          <w:numId w:val="26"/>
        </w:numPr>
        <w:spacing w:line="259" w:lineRule="auto"/>
        <w:rPr>
          <w:rFonts w:ascii="Palatino Linotype" w:hAnsi="Palatino Linotype"/>
          <w:b/>
          <w:color w:val="0D0D0D" w:themeColor="text1" w:themeTint="F2"/>
          <w:sz w:val="24"/>
        </w:rPr>
      </w:pPr>
      <w:bookmarkStart w:id="149" w:name="_Toc66315413"/>
      <w:bookmarkStart w:id="150" w:name="_Toc67574742"/>
      <w:r w:rsidRPr="005F21B5">
        <w:rPr>
          <w:rFonts w:ascii="Palatino Linotype" w:hAnsi="Palatino Linotype"/>
          <w:b/>
          <w:color w:val="0D0D0D" w:themeColor="text1" w:themeTint="F2"/>
          <w:sz w:val="24"/>
        </w:rPr>
        <w:lastRenderedPageBreak/>
        <w:t>De la conciliación.</w:t>
      </w:r>
      <w:bookmarkEnd w:id="149"/>
      <w:bookmarkEnd w:id="150"/>
    </w:p>
    <w:p w14:paraId="5A77025F" w14:textId="77777777" w:rsidR="005F21B5" w:rsidRPr="005F21B5" w:rsidRDefault="005F21B5" w:rsidP="005F21B5">
      <w:pPr>
        <w:rPr>
          <w:lang w:eastAsia="es-ES"/>
        </w:rPr>
      </w:pPr>
    </w:p>
    <w:p w14:paraId="646ABA53" w14:textId="1BFE7F01" w:rsidR="005F21B5" w:rsidRPr="005F21B5" w:rsidRDefault="005F21B5" w:rsidP="005F21B5">
      <w:pPr>
        <w:pStyle w:val="Prrafodelista"/>
        <w:numPr>
          <w:ilvl w:val="0"/>
          <w:numId w:val="24"/>
        </w:numPr>
        <w:spacing w:line="360" w:lineRule="auto"/>
        <w:ind w:left="0" w:firstLine="0"/>
        <w:contextualSpacing/>
        <w:jc w:val="both"/>
        <w:rPr>
          <w:rFonts w:ascii="Palatino Linotype" w:hAnsi="Palatino Linotype" w:cs="Arial"/>
        </w:rPr>
      </w:pPr>
      <w:r>
        <w:rPr>
          <w:rFonts w:ascii="Palatino Linotype" w:eastAsia="Calibri" w:hAnsi="Palatino Linotype" w:cs="Arial"/>
        </w:rPr>
        <w:t>Con fundamento en</w:t>
      </w:r>
      <w:r w:rsidRPr="005F21B5">
        <w:rPr>
          <w:rFonts w:ascii="Palatino Linotype" w:eastAsia="Calibri" w:hAnsi="Palatino Linotype" w:cs="Arial"/>
        </w:rPr>
        <w:t xml:space="preserve"> el artículo 131 de la Ley de Protección de Datos </w:t>
      </w:r>
      <w:r w:rsidRPr="005F21B5">
        <w:rPr>
          <w:rFonts w:ascii="Palatino Linotype" w:hAnsi="Palatino Linotype" w:cs="Arial"/>
        </w:rPr>
        <w:t>Personales</w:t>
      </w:r>
      <w:r w:rsidRPr="005F21B5">
        <w:rPr>
          <w:rFonts w:ascii="Palatino Linotype" w:eastAsia="Calibri" w:hAnsi="Palatino Linotype" w:cs="Arial"/>
        </w:rPr>
        <w:t xml:space="preserve"> en Posesión de Sujetos Obligados del Estado de México y Municipios, y derivado de que ambas partes aceptaron conciliar, este Órgano Garante determinó como fecha de conciliación </w:t>
      </w:r>
      <w:r w:rsidRPr="005F21B5">
        <w:rPr>
          <w:rFonts w:ascii="Palatino Linotype" w:hAnsi="Palatino Linotype"/>
        </w:rPr>
        <w:t xml:space="preserve">el día </w:t>
      </w:r>
      <w:r w:rsidR="00C46E25">
        <w:rPr>
          <w:rFonts w:ascii="Palatino Linotype" w:hAnsi="Palatino Linotype"/>
        </w:rPr>
        <w:t>veinticuatro</w:t>
      </w:r>
      <w:r w:rsidRPr="005F21B5">
        <w:rPr>
          <w:rFonts w:ascii="Palatino Linotype" w:hAnsi="Palatino Linotype"/>
        </w:rPr>
        <w:t xml:space="preserve"> (</w:t>
      </w:r>
      <w:r w:rsidR="00C46E25">
        <w:rPr>
          <w:rFonts w:ascii="Palatino Linotype" w:hAnsi="Palatino Linotype"/>
        </w:rPr>
        <w:t>24</w:t>
      </w:r>
      <w:r w:rsidRPr="005F21B5">
        <w:rPr>
          <w:rFonts w:ascii="Palatino Linotype" w:hAnsi="Palatino Linotype"/>
        </w:rPr>
        <w:t xml:space="preserve">) </w:t>
      </w:r>
      <w:r w:rsidR="00C46E25">
        <w:rPr>
          <w:rFonts w:ascii="Palatino Linotype" w:hAnsi="Palatino Linotype"/>
        </w:rPr>
        <w:t>may</w:t>
      </w:r>
      <w:r w:rsidRPr="005F21B5">
        <w:rPr>
          <w:rFonts w:ascii="Palatino Linotype" w:hAnsi="Palatino Linotype"/>
        </w:rPr>
        <w:t>o del año dos mil veintiuno</w:t>
      </w:r>
      <w:r w:rsidRPr="005F21B5">
        <w:rPr>
          <w:rFonts w:ascii="Palatino Linotype" w:eastAsia="Calibri" w:hAnsi="Palatino Linotype" w:cs="Arial"/>
        </w:rPr>
        <w:t>, vía remota utilizando las tecnologías de la información, derivado de la actual contingencia sanitaria por Covid-19, así como por las circunstancias expuestas por el propio titular de los datos personales en su escrito.</w:t>
      </w:r>
    </w:p>
    <w:p w14:paraId="6D7AED13" w14:textId="77777777" w:rsidR="005F21B5" w:rsidRPr="00F43B1D" w:rsidRDefault="005F21B5" w:rsidP="005F21B5">
      <w:pPr>
        <w:pStyle w:val="Prrafodelista"/>
        <w:spacing w:line="360" w:lineRule="auto"/>
        <w:ind w:left="0"/>
        <w:jc w:val="both"/>
        <w:rPr>
          <w:rFonts w:ascii="Palatino Linotype" w:hAnsi="Palatino Linotype" w:cs="Arial"/>
        </w:rPr>
      </w:pPr>
    </w:p>
    <w:p w14:paraId="1FE5D376" w14:textId="00906BAB" w:rsidR="005F21B5" w:rsidRPr="00F43B1D" w:rsidRDefault="005F21B5" w:rsidP="005F21B5">
      <w:pPr>
        <w:pStyle w:val="Prrafodelista"/>
        <w:numPr>
          <w:ilvl w:val="0"/>
          <w:numId w:val="24"/>
        </w:numPr>
        <w:spacing w:line="360" w:lineRule="auto"/>
        <w:ind w:left="0" w:firstLine="0"/>
        <w:contextualSpacing/>
        <w:jc w:val="both"/>
        <w:rPr>
          <w:rFonts w:ascii="Palatino Linotype" w:hAnsi="Palatino Linotype" w:cs="Arial"/>
        </w:rPr>
      </w:pPr>
      <w:r w:rsidRPr="00F43B1D">
        <w:rPr>
          <w:rFonts w:ascii="Palatino Linotype" w:hAnsi="Palatino Linotype" w:cs="Arial"/>
        </w:rPr>
        <w:t>Una vez que se llevó a cabo la audiencia de conciliación,</w:t>
      </w:r>
      <w:r w:rsidR="00C46E25">
        <w:rPr>
          <w:rFonts w:ascii="Palatino Linotype" w:hAnsi="Palatino Linotype" w:cs="Arial"/>
        </w:rPr>
        <w:t xml:space="preserve"> las partes no llegaron a una conciliación, </w:t>
      </w:r>
      <w:r w:rsidR="003E4B85">
        <w:rPr>
          <w:rFonts w:ascii="Palatino Linotype" w:hAnsi="Palatino Linotype" w:cs="Arial"/>
        </w:rPr>
        <w:t>ello porque</w:t>
      </w:r>
      <w:r w:rsidR="00C46E25">
        <w:rPr>
          <w:rFonts w:ascii="Palatino Linotype" w:hAnsi="Palatino Linotype" w:cs="Arial"/>
        </w:rPr>
        <w:t xml:space="preserve"> la modalidad de entrega de la información correspondía a copias certificadas con costo, y toda vez que el costo que generaba el expediente integro certificado no resultaba costeable para la solicitante, decidi</w:t>
      </w:r>
      <w:r w:rsidR="00D051CD">
        <w:rPr>
          <w:rFonts w:ascii="Palatino Linotype" w:hAnsi="Palatino Linotype" w:cs="Arial"/>
        </w:rPr>
        <w:t>eron ambas partes</w:t>
      </w:r>
      <w:r w:rsidR="00C46E25">
        <w:rPr>
          <w:rFonts w:ascii="Palatino Linotype" w:hAnsi="Palatino Linotype" w:cs="Arial"/>
        </w:rPr>
        <w:t xml:space="preserve"> no llegar a un acuerdo; no obstante se asentaron</w:t>
      </w:r>
      <w:r>
        <w:rPr>
          <w:rFonts w:ascii="Palatino Linotype" w:hAnsi="Palatino Linotype" w:cs="Arial"/>
        </w:rPr>
        <w:t xml:space="preserve"> </w:t>
      </w:r>
      <w:r w:rsidR="0048763A">
        <w:rPr>
          <w:rFonts w:ascii="Palatino Linotype" w:hAnsi="Palatino Linotype" w:cs="Arial"/>
        </w:rPr>
        <w:t xml:space="preserve">en el acta correspondiente </w:t>
      </w:r>
      <w:r>
        <w:rPr>
          <w:rFonts w:ascii="Palatino Linotype" w:hAnsi="Palatino Linotype" w:cs="Arial"/>
        </w:rPr>
        <w:t xml:space="preserve">los </w:t>
      </w:r>
      <w:r w:rsidR="00C46E25">
        <w:rPr>
          <w:rFonts w:ascii="Palatino Linotype" w:hAnsi="Palatino Linotype" w:cs="Arial"/>
        </w:rPr>
        <w:t>siguientes puntos</w:t>
      </w:r>
      <w:r>
        <w:rPr>
          <w:rFonts w:ascii="Palatino Linotype" w:hAnsi="Palatino Linotype" w:cs="Arial"/>
        </w:rPr>
        <w:t>:</w:t>
      </w:r>
    </w:p>
    <w:p w14:paraId="4AE97115" w14:textId="390E1590" w:rsidR="005F21B5" w:rsidRDefault="0048763A" w:rsidP="008A49F0">
      <w:pPr>
        <w:pStyle w:val="Prrafodelista"/>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6C5E1152" wp14:editId="06099E6B">
                <wp:simplePos x="0" y="0"/>
                <wp:positionH relativeFrom="column">
                  <wp:posOffset>9194</wp:posOffset>
                </wp:positionH>
                <wp:positionV relativeFrom="paragraph">
                  <wp:posOffset>129014</wp:posOffset>
                </wp:positionV>
                <wp:extent cx="5588758" cy="2576223"/>
                <wp:effectExtent l="38100" t="38100" r="69215" b="90805"/>
                <wp:wrapNone/>
                <wp:docPr id="14" name="Conector recto 14"/>
                <wp:cNvGraphicFramePr/>
                <a:graphic xmlns:a="http://schemas.openxmlformats.org/drawingml/2006/main">
                  <a:graphicData uri="http://schemas.microsoft.com/office/word/2010/wordprocessingShape">
                    <wps:wsp>
                      <wps:cNvCnPr/>
                      <wps:spPr>
                        <a:xfrm>
                          <a:off x="0" y="0"/>
                          <a:ext cx="5588758" cy="257622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D1180CA" id="Conector recto 1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10.15pt" to="440.7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" strokecolor="black [3200]" strokeweight="2pt">
                <v:shadow on="t" color="black" opacity="24903f" origin=",.5" offset="0,.55556mm"/>
              </v:line>
            </w:pict>
          </mc:Fallback>
        </mc:AlternateContent>
      </w:r>
    </w:p>
    <w:p w14:paraId="687E603C" w14:textId="77777777" w:rsidR="0048763A" w:rsidRDefault="0048763A" w:rsidP="008A49F0">
      <w:pPr>
        <w:pStyle w:val="Prrafodelista"/>
        <w:spacing w:line="360" w:lineRule="auto"/>
        <w:ind w:left="0"/>
        <w:jc w:val="both"/>
        <w:rPr>
          <w:rFonts w:ascii="Palatino Linotype" w:hAnsi="Palatino Linotype" w:cs="Arial"/>
        </w:rPr>
      </w:pPr>
    </w:p>
    <w:p w14:paraId="533EC1E6" w14:textId="77777777" w:rsidR="0048763A" w:rsidRPr="008A49F0" w:rsidRDefault="0048763A" w:rsidP="008A49F0">
      <w:pPr>
        <w:pStyle w:val="Prrafodelista"/>
        <w:spacing w:line="360" w:lineRule="auto"/>
        <w:ind w:left="0"/>
        <w:jc w:val="both"/>
        <w:rPr>
          <w:rFonts w:ascii="Palatino Linotype" w:hAnsi="Palatino Linotype" w:cs="Arial"/>
        </w:rPr>
      </w:pPr>
    </w:p>
    <w:p w14:paraId="0A228900" w14:textId="77777777" w:rsidR="0048763A" w:rsidRDefault="0048763A" w:rsidP="0048763A">
      <w:pPr>
        <w:pStyle w:val="Prrafodelista"/>
        <w:spacing w:line="360" w:lineRule="auto"/>
        <w:ind w:left="0"/>
        <w:contextualSpacing/>
        <w:jc w:val="both"/>
        <w:rPr>
          <w:rFonts w:ascii="Palatino Linotype" w:hAnsi="Palatino Linotype" w:cs="Arial"/>
        </w:rPr>
      </w:pPr>
    </w:p>
    <w:p w14:paraId="7C2C1684" w14:textId="77777777" w:rsidR="0048763A" w:rsidRDefault="0048763A" w:rsidP="0048763A">
      <w:pPr>
        <w:pStyle w:val="Prrafodelista"/>
        <w:spacing w:line="360" w:lineRule="auto"/>
        <w:ind w:left="0"/>
        <w:contextualSpacing/>
        <w:jc w:val="both"/>
        <w:rPr>
          <w:rFonts w:ascii="Palatino Linotype" w:hAnsi="Palatino Linotype" w:cs="Arial"/>
        </w:rPr>
      </w:pPr>
    </w:p>
    <w:p w14:paraId="4268BC7D" w14:textId="3581ABF9" w:rsidR="0048763A" w:rsidRDefault="0048763A" w:rsidP="0048763A">
      <w:pPr>
        <w:pStyle w:val="Prrafodelista"/>
        <w:spacing w:line="360" w:lineRule="auto"/>
        <w:ind w:left="0"/>
        <w:contextualSpacing/>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0D82675F" wp14:editId="41002937">
            <wp:extent cx="5459105" cy="3792264"/>
            <wp:effectExtent l="19050" t="19050" r="27305" b="177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1388" cy="3793850"/>
                    </a:xfrm>
                    <a:prstGeom prst="rect">
                      <a:avLst/>
                    </a:prstGeom>
                    <a:noFill/>
                    <a:ln>
                      <a:solidFill>
                        <a:schemeClr val="tx1"/>
                      </a:solidFill>
                    </a:ln>
                  </pic:spPr>
                </pic:pic>
              </a:graphicData>
            </a:graphic>
          </wp:inline>
        </w:drawing>
      </w:r>
    </w:p>
    <w:p w14:paraId="4713EF09" w14:textId="14A84B36" w:rsidR="0048763A" w:rsidRDefault="0048763A" w:rsidP="0048763A">
      <w:pPr>
        <w:pStyle w:val="Prrafodelista"/>
        <w:spacing w:line="360" w:lineRule="auto"/>
        <w:ind w:left="0"/>
        <w:contextualSpacing/>
        <w:jc w:val="center"/>
        <w:rPr>
          <w:rFonts w:ascii="Palatino Linotype" w:hAnsi="Palatino Linotype" w:cs="Arial"/>
        </w:rPr>
      </w:pPr>
      <w:r>
        <w:rPr>
          <w:rFonts w:ascii="Palatino Linotype" w:hAnsi="Palatino Linotype" w:cs="Arial"/>
          <w:noProof/>
          <w:lang w:val="es-MX" w:eastAsia="es-MX"/>
        </w:rPr>
        <w:drawing>
          <wp:inline distT="0" distB="0" distL="0" distR="0" wp14:anchorId="2A845477" wp14:editId="48A409AC">
            <wp:extent cx="5486400" cy="2262760"/>
            <wp:effectExtent l="19050" t="19050" r="19050" b="2349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2872" cy="2265429"/>
                    </a:xfrm>
                    <a:prstGeom prst="rect">
                      <a:avLst/>
                    </a:prstGeom>
                    <a:noFill/>
                    <a:ln>
                      <a:solidFill>
                        <a:schemeClr val="tx1"/>
                      </a:solidFill>
                    </a:ln>
                  </pic:spPr>
                </pic:pic>
              </a:graphicData>
            </a:graphic>
          </wp:inline>
        </w:drawing>
      </w:r>
    </w:p>
    <w:p w14:paraId="62C60E20" w14:textId="77777777" w:rsidR="0048763A" w:rsidRDefault="0048763A" w:rsidP="0048763A">
      <w:pPr>
        <w:pStyle w:val="Prrafodelista"/>
        <w:spacing w:line="360" w:lineRule="auto"/>
        <w:ind w:left="0"/>
        <w:contextualSpacing/>
        <w:jc w:val="both"/>
        <w:rPr>
          <w:rFonts w:ascii="Palatino Linotype" w:hAnsi="Palatino Linotype" w:cs="Arial"/>
        </w:rPr>
      </w:pPr>
    </w:p>
    <w:p w14:paraId="69EE75DA" w14:textId="3F7F3D76" w:rsidR="0048763A" w:rsidRDefault="00315903" w:rsidP="008A49F0">
      <w:pPr>
        <w:pStyle w:val="Prrafodelista"/>
        <w:numPr>
          <w:ilvl w:val="0"/>
          <w:numId w:val="24"/>
        </w:numPr>
        <w:spacing w:line="360" w:lineRule="auto"/>
        <w:ind w:left="0" w:firstLine="0"/>
        <w:contextualSpacing/>
        <w:jc w:val="both"/>
        <w:rPr>
          <w:rFonts w:ascii="Palatino Linotype" w:hAnsi="Palatino Linotype" w:cs="Arial"/>
        </w:rPr>
      </w:pPr>
      <w:r>
        <w:rPr>
          <w:rFonts w:ascii="Palatino Linotype" w:hAnsi="Palatino Linotype" w:cs="Arial"/>
        </w:rPr>
        <w:t xml:space="preserve">Atento a lo anterior, fue que en fecha </w:t>
      </w:r>
      <w:r w:rsidR="003E4B85" w:rsidRPr="003E4B85">
        <w:rPr>
          <w:rFonts w:ascii="Palatino Linotype" w:hAnsi="Palatino Linotype" w:cs="Arial"/>
        </w:rPr>
        <w:t>veintiséis (26)</w:t>
      </w:r>
      <w:r w:rsidRPr="003E4B85">
        <w:rPr>
          <w:rFonts w:ascii="Palatino Linotype" w:hAnsi="Palatino Linotype" w:cs="Arial"/>
        </w:rPr>
        <w:t xml:space="preserve"> de mayo</w:t>
      </w:r>
      <w:r>
        <w:rPr>
          <w:rFonts w:ascii="Palatino Linotype" w:hAnsi="Palatino Linotype" w:cs="Arial"/>
        </w:rPr>
        <w:t xml:space="preserve"> de dos mil veintiuno, </w:t>
      </w:r>
      <w:r>
        <w:rPr>
          <w:rFonts w:ascii="Palatino Linotype" w:hAnsi="Palatino Linotype" w:cs="Arial"/>
          <w:b/>
        </w:rPr>
        <w:t>EL SUJETO OBLIGADO</w:t>
      </w:r>
      <w:r>
        <w:rPr>
          <w:rFonts w:ascii="Palatino Linotype" w:hAnsi="Palatino Linotype" w:cs="Arial"/>
        </w:rPr>
        <w:t xml:space="preserve"> hizo del conocimiento de este Órgano Garante, </w:t>
      </w:r>
      <w:r w:rsidR="00D051CD">
        <w:rPr>
          <w:rFonts w:ascii="Palatino Linotype" w:hAnsi="Palatino Linotype" w:cs="Arial"/>
        </w:rPr>
        <w:lastRenderedPageBreak/>
        <w:t>la</w:t>
      </w:r>
      <w:r w:rsidR="009E194B">
        <w:rPr>
          <w:rFonts w:ascii="Palatino Linotype" w:hAnsi="Palatino Linotype" w:cs="Arial"/>
        </w:rPr>
        <w:t xml:space="preserve"> determinación</w:t>
      </w:r>
      <w:r w:rsidR="00D051CD">
        <w:rPr>
          <w:rFonts w:ascii="Palatino Linotype" w:hAnsi="Palatino Linotype" w:cs="Arial"/>
        </w:rPr>
        <w:t xml:space="preserve"> de la </w:t>
      </w:r>
      <w:r w:rsidR="00D051CD">
        <w:rPr>
          <w:rFonts w:ascii="Palatino Linotype" w:hAnsi="Palatino Linotype" w:cs="Arial"/>
          <w:b/>
        </w:rPr>
        <w:t>RECURRENTE</w:t>
      </w:r>
      <w:r w:rsidR="009E194B">
        <w:rPr>
          <w:rFonts w:ascii="Palatino Linotype" w:hAnsi="Palatino Linotype" w:cs="Arial"/>
        </w:rPr>
        <w:t xml:space="preserve"> de </w:t>
      </w:r>
      <w:r>
        <w:rPr>
          <w:rFonts w:ascii="Palatino Linotype" w:hAnsi="Palatino Linotype" w:cs="Arial"/>
        </w:rPr>
        <w:t xml:space="preserve">cambiar la entrega de modalidad de la información a copias simples con costo, </w:t>
      </w:r>
      <w:r w:rsidR="003E4B85">
        <w:rPr>
          <w:rFonts w:ascii="Palatino Linotype" w:hAnsi="Palatino Linotype" w:cs="Arial"/>
        </w:rPr>
        <w:t>asistiendo para tal efecto de manera presencial a la Unidad de Transparencia,</w:t>
      </w:r>
      <w:r w:rsidR="00D051CD">
        <w:rPr>
          <w:rFonts w:ascii="Palatino Linotype" w:hAnsi="Palatino Linotype" w:cs="Arial"/>
        </w:rPr>
        <w:t xml:space="preserve"> </w:t>
      </w:r>
      <w:r w:rsidR="003E4B85">
        <w:rPr>
          <w:rFonts w:ascii="Palatino Linotype" w:hAnsi="Palatino Linotype" w:cs="Arial"/>
        </w:rPr>
        <w:t xml:space="preserve">y </w:t>
      </w:r>
      <w:r w:rsidR="00D051CD">
        <w:rPr>
          <w:rFonts w:ascii="Palatino Linotype" w:hAnsi="Palatino Linotype" w:cs="Arial"/>
        </w:rPr>
        <w:t>paga</w:t>
      </w:r>
      <w:r w:rsidR="003E4B85">
        <w:rPr>
          <w:rFonts w:ascii="Palatino Linotype" w:hAnsi="Palatino Linotype" w:cs="Arial"/>
        </w:rPr>
        <w:t>n</w:t>
      </w:r>
      <w:r w:rsidR="00D051CD">
        <w:rPr>
          <w:rFonts w:ascii="Palatino Linotype" w:hAnsi="Palatino Linotype" w:cs="Arial"/>
        </w:rPr>
        <w:t>d</w:t>
      </w:r>
      <w:r w:rsidR="003E4B85">
        <w:rPr>
          <w:rFonts w:ascii="Palatino Linotype" w:hAnsi="Palatino Linotype" w:cs="Arial"/>
        </w:rPr>
        <w:t>o</w:t>
      </w:r>
      <w:r w:rsidR="00D051CD">
        <w:rPr>
          <w:rFonts w:ascii="Palatino Linotype" w:hAnsi="Palatino Linotype" w:cs="Arial"/>
        </w:rPr>
        <w:t xml:space="preserve"> y </w:t>
      </w:r>
      <w:r w:rsidR="003E4B85">
        <w:rPr>
          <w:rFonts w:ascii="Palatino Linotype" w:hAnsi="Palatino Linotype" w:cs="Arial"/>
        </w:rPr>
        <w:t>recibiendo de conformidad las copias simples</w:t>
      </w:r>
      <w:r>
        <w:rPr>
          <w:rFonts w:ascii="Palatino Linotype" w:hAnsi="Palatino Linotype" w:cs="Arial"/>
        </w:rPr>
        <w:t>, adjuntando para tal efecto, los acuses de recibo firmados por l</w:t>
      </w:r>
      <w:r w:rsidR="00D051CD">
        <w:rPr>
          <w:rFonts w:ascii="Palatino Linotype" w:hAnsi="Palatino Linotype" w:cs="Arial"/>
        </w:rPr>
        <w:t>a</w:t>
      </w:r>
      <w:r>
        <w:rPr>
          <w:rFonts w:ascii="Palatino Linotype" w:hAnsi="Palatino Linotype" w:cs="Arial"/>
        </w:rPr>
        <w:t xml:space="preserve"> </w:t>
      </w:r>
      <w:r w:rsidR="009E194B">
        <w:rPr>
          <w:rFonts w:ascii="Palatino Linotype" w:hAnsi="Palatino Linotype" w:cs="Arial"/>
        </w:rPr>
        <w:t>solicitante, como se observa:</w:t>
      </w:r>
    </w:p>
    <w:p w14:paraId="244403B5" w14:textId="77777777" w:rsidR="003E4B85" w:rsidRDefault="003E4B85" w:rsidP="003E4B85">
      <w:pPr>
        <w:pStyle w:val="Prrafodelista"/>
        <w:spacing w:line="360" w:lineRule="auto"/>
        <w:ind w:left="0"/>
        <w:contextualSpacing/>
        <w:jc w:val="both"/>
        <w:rPr>
          <w:rFonts w:ascii="Palatino Linotype" w:hAnsi="Palatino Linotype" w:cs="Arial"/>
        </w:rPr>
      </w:pPr>
    </w:p>
    <w:p w14:paraId="7F9D3D80" w14:textId="22FA361F" w:rsidR="009E194B" w:rsidRDefault="00810CFC" w:rsidP="003E4B85">
      <w:pPr>
        <w:pStyle w:val="Prrafodelista"/>
        <w:spacing w:line="360" w:lineRule="auto"/>
        <w:ind w:left="0"/>
        <w:contextualSpacing/>
        <w:jc w:val="center"/>
        <w:rPr>
          <w:rFonts w:ascii="Palatino Linotype" w:hAnsi="Palatino Linotype" w:cs="Arial"/>
        </w:rPr>
      </w:pPr>
      <w:r>
        <w:rPr>
          <w:rFonts w:ascii="Palatino Linotype" w:hAnsi="Palatino Linotype" w:cs="Arial"/>
          <w:noProof/>
          <w:lang w:val="es-MX" w:eastAsia="es-MX"/>
        </w:rPr>
        <w:drawing>
          <wp:inline distT="0" distB="0" distL="0" distR="0" wp14:anchorId="03ADD1CA" wp14:editId="12D57BC7">
            <wp:extent cx="5394960" cy="37490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4960" cy="3749040"/>
                    </a:xfrm>
                    <a:prstGeom prst="rect">
                      <a:avLst/>
                    </a:prstGeom>
                    <a:noFill/>
                    <a:ln>
                      <a:noFill/>
                    </a:ln>
                  </pic:spPr>
                </pic:pic>
              </a:graphicData>
            </a:graphic>
          </wp:inline>
        </w:drawing>
      </w:r>
    </w:p>
    <w:p w14:paraId="604F05F4" w14:textId="3C9B35FD" w:rsidR="003E4B85" w:rsidRDefault="00810CFC" w:rsidP="003E4B85">
      <w:pPr>
        <w:pStyle w:val="Prrafodelista"/>
        <w:spacing w:line="360" w:lineRule="auto"/>
        <w:ind w:left="0"/>
        <w:contextualSpacing/>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649E03C8" wp14:editId="5A81B21F">
            <wp:extent cx="5255895" cy="6416675"/>
            <wp:effectExtent l="0" t="0" r="1905"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5895" cy="6416675"/>
                    </a:xfrm>
                    <a:prstGeom prst="rect">
                      <a:avLst/>
                    </a:prstGeom>
                    <a:noFill/>
                    <a:ln>
                      <a:noFill/>
                    </a:ln>
                  </pic:spPr>
                </pic:pic>
              </a:graphicData>
            </a:graphic>
          </wp:inline>
        </w:drawing>
      </w:r>
    </w:p>
    <w:p w14:paraId="08DAE8EC" w14:textId="778AFFD2" w:rsidR="009E194B" w:rsidRDefault="00810CFC" w:rsidP="003E4B85">
      <w:pPr>
        <w:pStyle w:val="Prrafodelista"/>
        <w:spacing w:line="360" w:lineRule="auto"/>
        <w:ind w:left="0"/>
        <w:contextualSpacing/>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3807279A" wp14:editId="12A24DAF">
            <wp:extent cx="4929505" cy="5820410"/>
            <wp:effectExtent l="0" t="0" r="4445"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9505" cy="5820410"/>
                    </a:xfrm>
                    <a:prstGeom prst="rect">
                      <a:avLst/>
                    </a:prstGeom>
                    <a:noFill/>
                    <a:ln>
                      <a:noFill/>
                    </a:ln>
                  </pic:spPr>
                </pic:pic>
              </a:graphicData>
            </a:graphic>
          </wp:inline>
        </w:drawing>
      </w:r>
    </w:p>
    <w:p w14:paraId="7A65B90A" w14:textId="77777777" w:rsidR="003E4B85" w:rsidRDefault="003E4B85" w:rsidP="003E4B85">
      <w:pPr>
        <w:pStyle w:val="Prrafodelista"/>
        <w:spacing w:line="360" w:lineRule="auto"/>
        <w:ind w:left="0"/>
        <w:contextualSpacing/>
        <w:jc w:val="center"/>
        <w:rPr>
          <w:rFonts w:ascii="Palatino Linotype" w:hAnsi="Palatino Linotype" w:cs="Arial"/>
        </w:rPr>
      </w:pPr>
    </w:p>
    <w:p w14:paraId="0BA2C464" w14:textId="5122E309" w:rsidR="009E194B" w:rsidRDefault="009E194B" w:rsidP="008A49F0">
      <w:pPr>
        <w:pStyle w:val="Prrafodelista"/>
        <w:numPr>
          <w:ilvl w:val="0"/>
          <w:numId w:val="24"/>
        </w:numPr>
        <w:spacing w:line="360" w:lineRule="auto"/>
        <w:ind w:left="0" w:firstLine="0"/>
        <w:contextualSpacing/>
        <w:jc w:val="both"/>
        <w:rPr>
          <w:rFonts w:ascii="Palatino Linotype" w:hAnsi="Palatino Linotype" w:cs="Arial"/>
        </w:rPr>
      </w:pPr>
      <w:r>
        <w:rPr>
          <w:rFonts w:ascii="Palatino Linotype" w:hAnsi="Palatino Linotype" w:cs="Arial"/>
        </w:rPr>
        <w:t>Posteriormente, en fecha catorce (14) de junio del año en curso, la particular se desistió del recurso de revisión interpuesto</w:t>
      </w:r>
      <w:r w:rsidR="003E4B85">
        <w:rPr>
          <w:rFonts w:ascii="Palatino Linotype" w:hAnsi="Palatino Linotype" w:cs="Arial"/>
        </w:rPr>
        <w:t xml:space="preserve"> dentro del </w:t>
      </w:r>
      <w:r w:rsidR="003E4B85">
        <w:rPr>
          <w:rFonts w:ascii="Palatino Linotype" w:hAnsi="Palatino Linotype" w:cs="Arial"/>
          <w:b/>
        </w:rPr>
        <w:t>SARCOEM</w:t>
      </w:r>
      <w:r w:rsidR="00EC65B1">
        <w:rPr>
          <w:rFonts w:ascii="Palatino Linotype" w:hAnsi="Palatino Linotype" w:cs="Arial"/>
        </w:rPr>
        <w:t>, aduciendo lo que ya se desprendía de</w:t>
      </w:r>
      <w:r>
        <w:rPr>
          <w:rFonts w:ascii="Palatino Linotype" w:hAnsi="Palatino Linotype" w:cs="Arial"/>
        </w:rPr>
        <w:t xml:space="preserve"> los acuses adjuntos por el </w:t>
      </w:r>
      <w:r>
        <w:rPr>
          <w:rFonts w:ascii="Palatino Linotype" w:hAnsi="Palatino Linotype" w:cs="Arial"/>
          <w:b/>
        </w:rPr>
        <w:t>SUJETO OBLIGADO</w:t>
      </w:r>
      <w:r w:rsidR="00EC65B1">
        <w:rPr>
          <w:rFonts w:ascii="Palatino Linotype" w:hAnsi="Palatino Linotype" w:cs="Arial"/>
        </w:rPr>
        <w:t xml:space="preserve">, a saber </w:t>
      </w:r>
      <w:r w:rsidR="00EC65B1">
        <w:rPr>
          <w:rFonts w:ascii="Palatino Linotype" w:hAnsi="Palatino Linotype" w:cs="Arial"/>
        </w:rPr>
        <w:lastRenderedPageBreak/>
        <w:t>que ya contaba con la información que era de su interés, como  se observa tuvo a bien precisarlo:</w:t>
      </w:r>
    </w:p>
    <w:p w14:paraId="2FF36470" w14:textId="77777777" w:rsidR="00EC65B1" w:rsidRDefault="00EC65B1" w:rsidP="00EC65B1">
      <w:pPr>
        <w:pStyle w:val="Prrafodelista"/>
        <w:spacing w:line="360" w:lineRule="auto"/>
        <w:ind w:left="0"/>
        <w:contextualSpacing/>
        <w:jc w:val="both"/>
        <w:rPr>
          <w:rFonts w:ascii="Palatino Linotype" w:hAnsi="Palatino Linotype" w:cs="Arial"/>
        </w:rPr>
      </w:pPr>
    </w:p>
    <w:p w14:paraId="649345C4" w14:textId="21F62430" w:rsidR="00EC65B1" w:rsidRDefault="00810CFC" w:rsidP="00EC65B1">
      <w:pPr>
        <w:pStyle w:val="Prrafodelista"/>
        <w:spacing w:line="360" w:lineRule="auto"/>
        <w:ind w:left="0"/>
        <w:contextualSpacing/>
        <w:jc w:val="both"/>
        <w:rPr>
          <w:rFonts w:ascii="Palatino Linotype" w:hAnsi="Palatino Linotype" w:cs="Arial"/>
        </w:rPr>
      </w:pPr>
      <w:r>
        <w:rPr>
          <w:rFonts w:ascii="Palatino Linotype" w:hAnsi="Palatino Linotype" w:cs="Arial"/>
          <w:noProof/>
          <w:lang w:val="es-MX" w:eastAsia="es-MX"/>
        </w:rPr>
        <w:drawing>
          <wp:inline distT="0" distB="0" distL="0" distR="0" wp14:anchorId="08B160AD" wp14:editId="5D445823">
            <wp:extent cx="5621655" cy="2552065"/>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1655" cy="2552065"/>
                    </a:xfrm>
                    <a:prstGeom prst="rect">
                      <a:avLst/>
                    </a:prstGeom>
                    <a:noFill/>
                    <a:ln>
                      <a:noFill/>
                    </a:ln>
                  </pic:spPr>
                </pic:pic>
              </a:graphicData>
            </a:graphic>
          </wp:inline>
        </w:drawing>
      </w:r>
    </w:p>
    <w:bookmarkEnd w:id="147"/>
    <w:p w14:paraId="690919DD" w14:textId="77777777" w:rsidR="008A49F0" w:rsidRPr="008A49F0" w:rsidRDefault="008A49F0" w:rsidP="008A49F0">
      <w:pPr>
        <w:pStyle w:val="Prrafodelista"/>
        <w:tabs>
          <w:tab w:val="left" w:pos="426"/>
          <w:tab w:val="left" w:pos="567"/>
        </w:tabs>
        <w:spacing w:before="240" w:after="240" w:line="360" w:lineRule="auto"/>
        <w:ind w:left="0"/>
        <w:jc w:val="both"/>
        <w:rPr>
          <w:rFonts w:ascii="Palatino Linotype" w:hAnsi="Palatino Linotype" w:cs="Arial"/>
          <w:b/>
        </w:rPr>
      </w:pPr>
    </w:p>
    <w:p w14:paraId="1D321EA9" w14:textId="65382264" w:rsidR="008A49F0" w:rsidRDefault="00FA035C" w:rsidP="008A49F0">
      <w:pPr>
        <w:pStyle w:val="Ttulo2"/>
        <w:numPr>
          <w:ilvl w:val="0"/>
          <w:numId w:val="27"/>
        </w:numPr>
        <w:spacing w:line="259" w:lineRule="auto"/>
        <w:rPr>
          <w:rFonts w:ascii="Palatino Linotype" w:hAnsi="Palatino Linotype"/>
          <w:b/>
          <w:color w:val="0D0D0D" w:themeColor="text1" w:themeTint="F2"/>
          <w:sz w:val="24"/>
        </w:rPr>
      </w:pPr>
      <w:r>
        <w:rPr>
          <w:rFonts w:ascii="Palatino Linotype" w:hAnsi="Palatino Linotype"/>
          <w:b/>
          <w:color w:val="0D0D0D" w:themeColor="text1" w:themeTint="F2"/>
          <w:sz w:val="24"/>
        </w:rPr>
        <w:t>Del s</w:t>
      </w:r>
      <w:r w:rsidR="00EC65B1">
        <w:rPr>
          <w:rFonts w:ascii="Palatino Linotype" w:hAnsi="Palatino Linotype"/>
          <w:b/>
          <w:color w:val="0D0D0D" w:themeColor="text1" w:themeTint="F2"/>
          <w:sz w:val="24"/>
        </w:rPr>
        <w:t xml:space="preserve">obreseimiento por </w:t>
      </w:r>
      <w:proofErr w:type="spellStart"/>
      <w:r w:rsidR="00EC65B1">
        <w:rPr>
          <w:rFonts w:ascii="Palatino Linotype" w:hAnsi="Palatino Linotype"/>
          <w:b/>
          <w:color w:val="0D0D0D" w:themeColor="text1" w:themeTint="F2"/>
          <w:sz w:val="24"/>
        </w:rPr>
        <w:t>desestimiento</w:t>
      </w:r>
      <w:proofErr w:type="spellEnd"/>
    </w:p>
    <w:p w14:paraId="5CF1B969" w14:textId="77777777" w:rsidR="00EC65B1" w:rsidRPr="00EC65B1" w:rsidRDefault="00EC65B1" w:rsidP="00EC65B1">
      <w:pPr>
        <w:rPr>
          <w:lang w:eastAsia="en-US"/>
        </w:rPr>
      </w:pPr>
    </w:p>
    <w:p w14:paraId="20C7DE20" w14:textId="6C2D9080" w:rsidR="00EC65B1" w:rsidRPr="00435A7C" w:rsidRDefault="00FA035C" w:rsidP="00FA035C">
      <w:pPr>
        <w:pStyle w:val="Prrafodelista"/>
        <w:numPr>
          <w:ilvl w:val="0"/>
          <w:numId w:val="24"/>
        </w:numPr>
        <w:spacing w:line="360" w:lineRule="auto"/>
        <w:ind w:left="0" w:firstLine="0"/>
        <w:contextualSpacing/>
        <w:jc w:val="both"/>
        <w:rPr>
          <w:rFonts w:ascii="Palatino Linotype" w:eastAsia="Calibri" w:hAnsi="Palatino Linotype"/>
        </w:rPr>
      </w:pPr>
      <w:r>
        <w:rPr>
          <w:rFonts w:ascii="Palatino Linotype" w:eastAsia="Calibri" w:hAnsi="Palatino Linotype"/>
        </w:rPr>
        <w:t>Atento a lo anterior</w:t>
      </w:r>
      <w:r w:rsidR="00EC65B1">
        <w:rPr>
          <w:rFonts w:ascii="Palatino Linotype" w:eastAsia="Calibri" w:hAnsi="Palatino Linotype"/>
        </w:rPr>
        <w:t>, se actualiza</w:t>
      </w:r>
      <w:r w:rsidR="00EC65B1" w:rsidRPr="00435A7C">
        <w:rPr>
          <w:rFonts w:ascii="Palatino Linotype" w:eastAsia="Calibri" w:hAnsi="Palatino Linotype"/>
        </w:rPr>
        <w:t xml:space="preserve"> la causal de sobreseimi</w:t>
      </w:r>
      <w:r w:rsidR="00EC65B1">
        <w:rPr>
          <w:rFonts w:ascii="Palatino Linotype" w:eastAsia="Calibri" w:hAnsi="Palatino Linotype"/>
        </w:rPr>
        <w:t>ento prevista en la fracción I</w:t>
      </w:r>
      <w:r w:rsidR="00EC65B1" w:rsidRPr="00435A7C">
        <w:rPr>
          <w:rFonts w:ascii="Palatino Linotype" w:eastAsia="Calibri" w:hAnsi="Palatino Linotype"/>
        </w:rPr>
        <w:t xml:space="preserve"> del artículo </w:t>
      </w:r>
      <w:r>
        <w:rPr>
          <w:rFonts w:ascii="Palatino Linotype" w:eastAsia="Calibri" w:hAnsi="Palatino Linotype"/>
        </w:rPr>
        <w:t>139</w:t>
      </w:r>
      <w:r w:rsidR="00EC65B1" w:rsidRPr="00435A7C">
        <w:rPr>
          <w:rFonts w:ascii="Palatino Linotype" w:eastAsia="Calibri" w:hAnsi="Palatino Linotype"/>
        </w:rPr>
        <w:t xml:space="preserve"> de la </w:t>
      </w:r>
      <w:r>
        <w:rPr>
          <w:rFonts w:ascii="Palatino Linotype" w:eastAsia="Calibri" w:hAnsi="Palatino Linotype" w:cs="Arial"/>
        </w:rPr>
        <w:t>Ley de Protección d</w:t>
      </w:r>
      <w:r w:rsidRPr="00FA035C">
        <w:rPr>
          <w:rFonts w:ascii="Palatino Linotype" w:eastAsia="Calibri" w:hAnsi="Palatino Linotype" w:cs="Arial"/>
        </w:rPr>
        <w:t xml:space="preserve">e Datos Personales </w:t>
      </w:r>
      <w:r>
        <w:rPr>
          <w:rFonts w:ascii="Palatino Linotype" w:eastAsia="Calibri" w:hAnsi="Palatino Linotype" w:cs="Arial"/>
        </w:rPr>
        <w:t>e</w:t>
      </w:r>
      <w:r w:rsidRPr="00FA035C">
        <w:rPr>
          <w:rFonts w:ascii="Palatino Linotype" w:eastAsia="Calibri" w:hAnsi="Palatino Linotype" w:cs="Arial"/>
        </w:rPr>
        <w:t xml:space="preserve">n Posesión </w:t>
      </w:r>
      <w:r>
        <w:rPr>
          <w:rFonts w:ascii="Palatino Linotype" w:eastAsia="Calibri" w:hAnsi="Palatino Linotype" w:cs="Arial"/>
        </w:rPr>
        <w:t>d</w:t>
      </w:r>
      <w:r w:rsidRPr="00FA035C">
        <w:rPr>
          <w:rFonts w:ascii="Palatino Linotype" w:eastAsia="Calibri" w:hAnsi="Palatino Linotype" w:cs="Arial"/>
        </w:rPr>
        <w:t xml:space="preserve">e Sujetos Obligados </w:t>
      </w:r>
      <w:r>
        <w:rPr>
          <w:rFonts w:ascii="Palatino Linotype" w:eastAsia="Calibri" w:hAnsi="Palatino Linotype" w:cs="Arial"/>
        </w:rPr>
        <w:t>d</w:t>
      </w:r>
      <w:r w:rsidRPr="00FA035C">
        <w:rPr>
          <w:rFonts w:ascii="Palatino Linotype" w:eastAsia="Calibri" w:hAnsi="Palatino Linotype" w:cs="Arial"/>
        </w:rPr>
        <w:t xml:space="preserve">el Estado </w:t>
      </w:r>
      <w:r>
        <w:rPr>
          <w:rFonts w:ascii="Palatino Linotype" w:eastAsia="Calibri" w:hAnsi="Palatino Linotype" w:cs="Arial"/>
        </w:rPr>
        <w:t>d</w:t>
      </w:r>
      <w:r w:rsidRPr="00FA035C">
        <w:rPr>
          <w:rFonts w:ascii="Palatino Linotype" w:eastAsia="Calibri" w:hAnsi="Palatino Linotype" w:cs="Arial"/>
        </w:rPr>
        <w:t xml:space="preserve">e México </w:t>
      </w:r>
      <w:r>
        <w:rPr>
          <w:rFonts w:ascii="Palatino Linotype" w:eastAsia="Calibri" w:hAnsi="Palatino Linotype" w:cs="Arial"/>
        </w:rPr>
        <w:t>y</w:t>
      </w:r>
      <w:r w:rsidRPr="00FA035C">
        <w:rPr>
          <w:rFonts w:ascii="Palatino Linotype" w:eastAsia="Calibri" w:hAnsi="Palatino Linotype" w:cs="Arial"/>
        </w:rPr>
        <w:t xml:space="preserve"> Municipios</w:t>
      </w:r>
      <w:r w:rsidR="00EC65B1" w:rsidRPr="00435A7C">
        <w:rPr>
          <w:rFonts w:ascii="Palatino Linotype" w:eastAsia="Calibri" w:hAnsi="Palatino Linotype"/>
        </w:rPr>
        <w:t>, que a la letra dispone:</w:t>
      </w:r>
    </w:p>
    <w:p w14:paraId="02601419" w14:textId="77777777" w:rsidR="00FA035C" w:rsidRPr="00FA035C" w:rsidRDefault="00FA035C" w:rsidP="00FA035C">
      <w:pPr>
        <w:autoSpaceDE w:val="0"/>
        <w:autoSpaceDN w:val="0"/>
        <w:adjustRightInd w:val="0"/>
        <w:spacing w:before="240" w:after="240"/>
        <w:ind w:left="992" w:right="1043"/>
        <w:jc w:val="both"/>
        <w:rPr>
          <w:rFonts w:ascii="Palatino Linotype" w:hAnsi="Palatino Linotype" w:cs="Bookman Old Style"/>
          <w:b/>
          <w:bCs/>
          <w:i/>
        </w:rPr>
      </w:pPr>
      <w:r w:rsidRPr="00FA035C">
        <w:rPr>
          <w:rFonts w:ascii="Palatino Linotype" w:hAnsi="Palatino Linotype" w:cs="Bookman Old Style"/>
          <w:b/>
          <w:bCs/>
          <w:i/>
        </w:rPr>
        <w:t>Causales de Sobreseimiento</w:t>
      </w:r>
    </w:p>
    <w:p w14:paraId="3AEFBFB3" w14:textId="77777777" w:rsidR="00FA035C" w:rsidRPr="00FA035C" w:rsidRDefault="00FA035C" w:rsidP="00FA035C">
      <w:pPr>
        <w:autoSpaceDE w:val="0"/>
        <w:autoSpaceDN w:val="0"/>
        <w:adjustRightInd w:val="0"/>
        <w:spacing w:before="240" w:after="240"/>
        <w:ind w:left="992" w:right="1043"/>
        <w:jc w:val="both"/>
        <w:rPr>
          <w:rFonts w:ascii="Palatino Linotype" w:hAnsi="Palatino Linotype" w:cs="Bookman Old Style"/>
          <w:bCs/>
          <w:i/>
        </w:rPr>
      </w:pPr>
      <w:r w:rsidRPr="00FA035C">
        <w:rPr>
          <w:rFonts w:ascii="Palatino Linotype" w:hAnsi="Palatino Linotype" w:cs="Bookman Old Style"/>
          <w:bCs/>
          <w:i/>
        </w:rPr>
        <w:t>Artículo 139. El recurso de revisión sólo podrá ser sobreseído cuando:</w:t>
      </w:r>
    </w:p>
    <w:p w14:paraId="1A9A0DD9" w14:textId="77777777" w:rsidR="00FA035C" w:rsidRPr="00FA035C" w:rsidRDefault="00FA035C" w:rsidP="00FA035C">
      <w:pPr>
        <w:autoSpaceDE w:val="0"/>
        <w:autoSpaceDN w:val="0"/>
        <w:adjustRightInd w:val="0"/>
        <w:spacing w:before="240" w:after="240"/>
        <w:ind w:left="992" w:right="1043"/>
        <w:jc w:val="both"/>
        <w:rPr>
          <w:rFonts w:ascii="Palatino Linotype" w:hAnsi="Palatino Linotype" w:cs="Bookman Old Style"/>
          <w:b/>
          <w:bCs/>
          <w:i/>
        </w:rPr>
      </w:pPr>
      <w:r w:rsidRPr="00FA035C">
        <w:rPr>
          <w:rFonts w:ascii="Palatino Linotype" w:hAnsi="Palatino Linotype" w:cs="Bookman Old Style"/>
          <w:b/>
          <w:bCs/>
          <w:i/>
        </w:rPr>
        <w:t>...</w:t>
      </w:r>
    </w:p>
    <w:p w14:paraId="231203D1" w14:textId="77777777" w:rsidR="00FA035C" w:rsidRPr="00FA035C" w:rsidRDefault="00FA035C" w:rsidP="00FA035C">
      <w:pPr>
        <w:autoSpaceDE w:val="0"/>
        <w:autoSpaceDN w:val="0"/>
        <w:adjustRightInd w:val="0"/>
        <w:spacing w:before="240" w:after="240"/>
        <w:ind w:left="992" w:right="1043"/>
        <w:jc w:val="both"/>
        <w:rPr>
          <w:rFonts w:ascii="Palatino Linotype" w:hAnsi="Palatino Linotype" w:cs="Bookman Old Style"/>
          <w:b/>
          <w:bCs/>
          <w:i/>
        </w:rPr>
      </w:pPr>
      <w:r w:rsidRPr="00FA035C">
        <w:rPr>
          <w:rFonts w:ascii="Palatino Linotype" w:hAnsi="Palatino Linotype" w:cs="Bookman Old Style"/>
          <w:b/>
          <w:bCs/>
          <w:i/>
        </w:rPr>
        <w:t>I. El recurrente se desista expresamente.</w:t>
      </w:r>
    </w:p>
    <w:p w14:paraId="56CFC2E1" w14:textId="0529356E" w:rsidR="00EC65B1" w:rsidRPr="009D7069" w:rsidRDefault="00FA035C" w:rsidP="00FA035C">
      <w:pPr>
        <w:autoSpaceDE w:val="0"/>
        <w:autoSpaceDN w:val="0"/>
        <w:adjustRightInd w:val="0"/>
        <w:spacing w:before="240" w:after="240"/>
        <w:ind w:left="992" w:right="1043"/>
        <w:jc w:val="both"/>
        <w:rPr>
          <w:rFonts w:ascii="Palatino Linotype" w:hAnsi="Palatino Linotype" w:cs="Bookman Old Style"/>
          <w:i/>
        </w:rPr>
      </w:pPr>
      <w:r w:rsidRPr="00FA035C">
        <w:rPr>
          <w:rFonts w:ascii="Palatino Linotype" w:hAnsi="Palatino Linotype" w:cs="Bookman Old Style"/>
          <w:b/>
          <w:bCs/>
          <w:i/>
        </w:rPr>
        <w:t>..."</w:t>
      </w:r>
    </w:p>
    <w:p w14:paraId="7B7418B0" w14:textId="50CB0C3A" w:rsidR="00EC65B1" w:rsidRPr="00FA035C" w:rsidRDefault="00EC65B1" w:rsidP="00EC65B1">
      <w:pPr>
        <w:pStyle w:val="Prrafodelista"/>
        <w:autoSpaceDE w:val="0"/>
        <w:autoSpaceDN w:val="0"/>
        <w:adjustRightInd w:val="0"/>
        <w:spacing w:before="240" w:after="240"/>
        <w:ind w:left="1080" w:right="1043"/>
        <w:jc w:val="both"/>
        <w:rPr>
          <w:rFonts w:ascii="Palatino Linotype" w:hAnsi="Palatino Linotype" w:cs="Bookman Old Style"/>
          <w:bCs/>
        </w:rPr>
      </w:pPr>
      <w:r w:rsidRPr="00FA035C">
        <w:rPr>
          <w:rFonts w:ascii="Palatino Linotype" w:hAnsi="Palatino Linotype" w:cs="Bookman Old Style"/>
          <w:bCs/>
        </w:rPr>
        <w:lastRenderedPageBreak/>
        <w:t>(</w:t>
      </w:r>
      <w:r w:rsidR="00FA035C" w:rsidRPr="00FA035C">
        <w:rPr>
          <w:rFonts w:ascii="Palatino Linotype" w:hAnsi="Palatino Linotype" w:cs="Bookman Old Style"/>
          <w:bCs/>
        </w:rPr>
        <w:t>Énfasis</w:t>
      </w:r>
      <w:r w:rsidRPr="00FA035C">
        <w:rPr>
          <w:rFonts w:ascii="Palatino Linotype" w:hAnsi="Palatino Linotype" w:cs="Bookman Old Style"/>
          <w:bCs/>
        </w:rPr>
        <w:t xml:space="preserve"> añadido)</w:t>
      </w:r>
    </w:p>
    <w:p w14:paraId="579D5EBD" w14:textId="77777777" w:rsidR="00EC65B1" w:rsidRPr="00D867A2" w:rsidRDefault="00EC65B1" w:rsidP="00EC65B1">
      <w:pPr>
        <w:pStyle w:val="Prrafodelista"/>
        <w:autoSpaceDE w:val="0"/>
        <w:autoSpaceDN w:val="0"/>
        <w:adjustRightInd w:val="0"/>
        <w:spacing w:before="240" w:after="240"/>
        <w:ind w:left="1080" w:right="1043"/>
        <w:jc w:val="both"/>
        <w:rPr>
          <w:rFonts w:ascii="Palatino Linotype" w:hAnsi="Palatino Linotype" w:cs="Bookman Old Style"/>
          <w:bCs/>
          <w:i/>
        </w:rPr>
      </w:pPr>
    </w:p>
    <w:p w14:paraId="2FE407CF" w14:textId="77777777" w:rsidR="00EC65B1" w:rsidRPr="003E4B85" w:rsidRDefault="00EC65B1" w:rsidP="00EC65B1">
      <w:pPr>
        <w:pStyle w:val="Prrafodelista"/>
        <w:numPr>
          <w:ilvl w:val="0"/>
          <w:numId w:val="24"/>
        </w:numPr>
        <w:spacing w:line="360" w:lineRule="auto"/>
        <w:ind w:left="0" w:firstLine="0"/>
        <w:contextualSpacing/>
        <w:jc w:val="both"/>
        <w:rPr>
          <w:rFonts w:ascii="Palatino Linotype" w:hAnsi="Palatino Linotype"/>
        </w:rPr>
      </w:pPr>
      <w:r>
        <w:rPr>
          <w:rFonts w:ascii="Palatino Linotype" w:hAnsi="Palatino Linotype"/>
        </w:rPr>
        <w:t xml:space="preserve">Así, </w:t>
      </w:r>
      <w:r w:rsidRPr="00EC65B1">
        <w:rPr>
          <w:rFonts w:ascii="Palatino Linotype" w:eastAsia="Calibri" w:hAnsi="Palatino Linotype"/>
        </w:rPr>
        <w:t>siendo</w:t>
      </w:r>
      <w:r>
        <w:rPr>
          <w:rFonts w:ascii="Palatino Linotype" w:hAnsi="Palatino Linotype"/>
        </w:rPr>
        <w:t xml:space="preserve"> el  </w:t>
      </w:r>
      <w:r w:rsidRPr="0049314A">
        <w:rPr>
          <w:rFonts w:ascii="Palatino Linotype" w:hAnsi="Palatino Linotype"/>
          <w:i/>
        </w:rPr>
        <w:t>sobreseimiento</w:t>
      </w:r>
      <w:r>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 </w:t>
      </w:r>
      <w:r w:rsidRPr="0076753C">
        <w:rPr>
          <w:rFonts w:ascii="Palatino Linotype" w:hAnsi="Palatino Linotype"/>
          <w:b/>
        </w:rPr>
        <w:t>SOBRESEIMIENTO, NO PERMITE ENTRAR AL ESTUDIO DE LAS CUESTIONES DE FONDO</w:t>
      </w:r>
      <w:r>
        <w:rPr>
          <w:rStyle w:val="Refdenotaalpie"/>
          <w:rFonts w:ascii="Palatino Linotype" w:hAnsi="Palatino Linotype"/>
          <w:b/>
        </w:rPr>
        <w:footnoteReference w:id="1"/>
      </w:r>
      <w:r>
        <w:rPr>
          <w:rFonts w:ascii="Palatino Linotype" w:hAnsi="Palatino Linotype"/>
          <w:b/>
        </w:rPr>
        <w:t>.</w:t>
      </w:r>
    </w:p>
    <w:p w14:paraId="426CC0D0" w14:textId="77777777" w:rsidR="003E4B85" w:rsidRDefault="003E4B85" w:rsidP="003E4B85">
      <w:pPr>
        <w:pStyle w:val="Prrafodelista"/>
        <w:spacing w:line="360" w:lineRule="auto"/>
        <w:ind w:left="0"/>
        <w:contextualSpacing/>
        <w:jc w:val="both"/>
        <w:rPr>
          <w:rFonts w:ascii="Palatino Linotype" w:hAnsi="Palatino Linotype"/>
        </w:rPr>
      </w:pPr>
    </w:p>
    <w:p w14:paraId="5A0C4B04" w14:textId="77777777" w:rsidR="00EC65B1" w:rsidRDefault="00EC65B1" w:rsidP="00EC65B1">
      <w:pPr>
        <w:pStyle w:val="Prrafodelista"/>
        <w:numPr>
          <w:ilvl w:val="0"/>
          <w:numId w:val="24"/>
        </w:numPr>
        <w:spacing w:line="360" w:lineRule="auto"/>
        <w:ind w:left="0" w:firstLine="0"/>
        <w:contextualSpacing/>
        <w:jc w:val="both"/>
        <w:rPr>
          <w:rFonts w:ascii="Palatino Linotype" w:hAnsi="Palatino Linotype" w:cs="Arial"/>
        </w:rPr>
      </w:pPr>
      <w:r w:rsidRPr="00EC65B1">
        <w:rPr>
          <w:rFonts w:ascii="Palatino Linotype" w:hAnsi="Palatino Linotype"/>
        </w:rPr>
        <w:t>Finalmente</w:t>
      </w:r>
      <w:r>
        <w:rPr>
          <w:rFonts w:ascii="Palatino Linotype" w:hAnsi="Palatino Linotype" w:cs="Arial"/>
        </w:rPr>
        <w:t xml:space="preserve">, cabe destacar que la decisión de este órgano colegiado de sobreseer el recurso de revisión no implica una limitación o negación a la justicia, según lo ha establecido el Poder Judicial Federal, criterio con rubro </w:t>
      </w:r>
      <w:r w:rsidRPr="00E61AC0">
        <w:rPr>
          <w:rFonts w:ascii="Palatino Linotype" w:hAnsi="Palatino Linotype"/>
          <w:b/>
        </w:rPr>
        <w:t>DESECHAMIENTO O SOBRESEIMIENTO EN EL JUICIO DE AMPARO. NO IMPLICA DENEGACIÓN DE JUSTICIA NI GENERA INSEGURIDAD JURÍDICA</w:t>
      </w:r>
      <w:r>
        <w:rPr>
          <w:rStyle w:val="Refdenotaalpie"/>
          <w:rFonts w:ascii="Palatino Linotype" w:hAnsi="Palatino Linotype"/>
          <w:b/>
        </w:rPr>
        <w:footnoteReference w:id="2"/>
      </w:r>
      <w:r>
        <w:rPr>
          <w:rFonts w:ascii="Palatino Linotype" w:hAnsi="Palatino Linotype" w:cs="Arial"/>
        </w:rPr>
        <w:t xml:space="preserve"> que es aplicable por analogía.</w:t>
      </w:r>
    </w:p>
    <w:p w14:paraId="183CE863" w14:textId="77777777" w:rsidR="00EC65B1" w:rsidRDefault="00EC65B1" w:rsidP="00EC65B1">
      <w:pPr>
        <w:pStyle w:val="Prrafodelista"/>
        <w:spacing w:line="360" w:lineRule="auto"/>
        <w:ind w:left="0"/>
        <w:contextualSpacing/>
        <w:jc w:val="both"/>
        <w:rPr>
          <w:rFonts w:ascii="Palatino Linotype" w:hAnsi="Palatino Linotype" w:cs="Arial"/>
        </w:rPr>
      </w:pPr>
    </w:p>
    <w:p w14:paraId="24A6C8D9" w14:textId="6F34D2C6" w:rsidR="00EC65B1" w:rsidRDefault="00EC65B1" w:rsidP="00EC65B1">
      <w:pPr>
        <w:pStyle w:val="Prrafodelista"/>
        <w:numPr>
          <w:ilvl w:val="0"/>
          <w:numId w:val="24"/>
        </w:numPr>
        <w:spacing w:line="360" w:lineRule="auto"/>
        <w:ind w:left="0" w:firstLine="0"/>
        <w:contextualSpacing/>
        <w:jc w:val="both"/>
        <w:rPr>
          <w:rFonts w:ascii="Palatino Linotype" w:hAnsi="Palatino Linotype" w:cs="Arial"/>
        </w:rPr>
      </w:pPr>
      <w:r w:rsidRPr="00B453A0">
        <w:rPr>
          <w:rFonts w:ascii="Palatino Linotype" w:hAnsi="Palatino Linotype" w:cs="Arial"/>
        </w:rPr>
        <w:t xml:space="preserve">En </w:t>
      </w:r>
      <w:r w:rsidRPr="00EC65B1">
        <w:rPr>
          <w:rFonts w:ascii="Palatino Linotype" w:hAnsi="Palatino Linotype"/>
        </w:rPr>
        <w:t>consecuencia</w:t>
      </w:r>
      <w:r w:rsidRPr="00B453A0">
        <w:rPr>
          <w:rFonts w:ascii="Palatino Linotype" w:hAnsi="Palatino Linotype" w:cs="Arial"/>
        </w:rPr>
        <w:t xml:space="preserve"> de</w:t>
      </w:r>
      <w:r>
        <w:rPr>
          <w:rFonts w:ascii="Palatino Linotype" w:hAnsi="Palatino Linotype" w:cs="Arial"/>
        </w:rPr>
        <w:t xml:space="preserve"> lo hasta aquí razonado, ante la actualización de la causal de sobreseimiento prevista en el </w:t>
      </w:r>
      <w:r>
        <w:rPr>
          <w:rFonts w:ascii="Palatino Linotype" w:hAnsi="Palatino Linotype"/>
        </w:rPr>
        <w:t xml:space="preserve">artículo </w:t>
      </w:r>
      <w:r w:rsidR="00FA035C">
        <w:rPr>
          <w:rFonts w:ascii="Palatino Linotype" w:hAnsi="Palatino Linotype"/>
        </w:rPr>
        <w:t>139</w:t>
      </w:r>
      <w:r>
        <w:rPr>
          <w:rFonts w:ascii="Palatino Linotype" w:hAnsi="Palatino Linotype"/>
        </w:rPr>
        <w:t>, fracción I</w:t>
      </w:r>
      <w:r w:rsidRPr="005F5BED">
        <w:rPr>
          <w:rFonts w:ascii="Palatino Linotype" w:hAnsi="Palatino Linotype"/>
        </w:rPr>
        <w:t xml:space="preserve"> de la </w:t>
      </w:r>
      <w:r w:rsidR="00FA035C">
        <w:rPr>
          <w:rFonts w:ascii="Palatino Linotype" w:eastAsia="Calibri" w:hAnsi="Palatino Linotype" w:cs="Arial"/>
        </w:rPr>
        <w:t>Ley de Protección d</w:t>
      </w:r>
      <w:r w:rsidR="00FA035C" w:rsidRPr="00FA035C">
        <w:rPr>
          <w:rFonts w:ascii="Palatino Linotype" w:eastAsia="Calibri" w:hAnsi="Palatino Linotype" w:cs="Arial"/>
        </w:rPr>
        <w:t xml:space="preserve">e Datos Personales </w:t>
      </w:r>
      <w:r w:rsidR="00FA035C">
        <w:rPr>
          <w:rFonts w:ascii="Palatino Linotype" w:eastAsia="Calibri" w:hAnsi="Palatino Linotype" w:cs="Arial"/>
        </w:rPr>
        <w:t>e</w:t>
      </w:r>
      <w:r w:rsidR="00FA035C" w:rsidRPr="00FA035C">
        <w:rPr>
          <w:rFonts w:ascii="Palatino Linotype" w:eastAsia="Calibri" w:hAnsi="Palatino Linotype" w:cs="Arial"/>
        </w:rPr>
        <w:t xml:space="preserve">n Posesión </w:t>
      </w:r>
      <w:r w:rsidR="00FA035C">
        <w:rPr>
          <w:rFonts w:ascii="Palatino Linotype" w:eastAsia="Calibri" w:hAnsi="Palatino Linotype" w:cs="Arial"/>
        </w:rPr>
        <w:t>d</w:t>
      </w:r>
      <w:r w:rsidR="00FA035C" w:rsidRPr="00FA035C">
        <w:rPr>
          <w:rFonts w:ascii="Palatino Linotype" w:eastAsia="Calibri" w:hAnsi="Palatino Linotype" w:cs="Arial"/>
        </w:rPr>
        <w:t xml:space="preserve">e Sujetos Obligados </w:t>
      </w:r>
      <w:r w:rsidR="00FA035C">
        <w:rPr>
          <w:rFonts w:ascii="Palatino Linotype" w:eastAsia="Calibri" w:hAnsi="Palatino Linotype" w:cs="Arial"/>
        </w:rPr>
        <w:t>d</w:t>
      </w:r>
      <w:r w:rsidR="00FA035C" w:rsidRPr="00FA035C">
        <w:rPr>
          <w:rFonts w:ascii="Palatino Linotype" w:eastAsia="Calibri" w:hAnsi="Palatino Linotype" w:cs="Arial"/>
        </w:rPr>
        <w:t xml:space="preserve">el Estado </w:t>
      </w:r>
      <w:r w:rsidR="00FA035C">
        <w:rPr>
          <w:rFonts w:ascii="Palatino Linotype" w:eastAsia="Calibri" w:hAnsi="Palatino Linotype" w:cs="Arial"/>
        </w:rPr>
        <w:t>d</w:t>
      </w:r>
      <w:r w:rsidR="00FA035C" w:rsidRPr="00FA035C">
        <w:rPr>
          <w:rFonts w:ascii="Palatino Linotype" w:eastAsia="Calibri" w:hAnsi="Palatino Linotype" w:cs="Arial"/>
        </w:rPr>
        <w:t xml:space="preserve">e México </w:t>
      </w:r>
      <w:r w:rsidR="00FA035C">
        <w:rPr>
          <w:rFonts w:ascii="Palatino Linotype" w:eastAsia="Calibri" w:hAnsi="Palatino Linotype" w:cs="Arial"/>
        </w:rPr>
        <w:t>y</w:t>
      </w:r>
      <w:r w:rsidR="00FA035C" w:rsidRPr="00FA035C">
        <w:rPr>
          <w:rFonts w:ascii="Palatino Linotype" w:eastAsia="Calibri" w:hAnsi="Palatino Linotype" w:cs="Arial"/>
        </w:rPr>
        <w:t xml:space="preserve"> Municipios</w:t>
      </w:r>
      <w:r w:rsidRPr="00B453A0">
        <w:rPr>
          <w:rFonts w:ascii="Palatino Linotype" w:hAnsi="Palatino Linotype" w:cs="Arial"/>
        </w:rPr>
        <w:t xml:space="preserve">, se </w:t>
      </w:r>
      <w:r>
        <w:rPr>
          <w:rFonts w:ascii="Palatino Linotype" w:hAnsi="Palatino Linotype" w:cs="Arial"/>
          <w:i/>
        </w:rPr>
        <w:t>sobresee</w:t>
      </w:r>
      <w:r w:rsidRPr="00B453A0">
        <w:rPr>
          <w:rFonts w:ascii="Palatino Linotype" w:hAnsi="Palatino Linotype" w:cs="Arial"/>
        </w:rPr>
        <w:t xml:space="preserve"> </w:t>
      </w:r>
      <w:r>
        <w:rPr>
          <w:rFonts w:ascii="Palatino Linotype" w:hAnsi="Palatino Linotype" w:cs="Arial"/>
        </w:rPr>
        <w:t>el recurso de revisión</w:t>
      </w:r>
      <w:r w:rsidR="00FA035C">
        <w:rPr>
          <w:rFonts w:ascii="Palatino Linotype" w:hAnsi="Palatino Linotype" w:cs="Arial"/>
        </w:rPr>
        <w:t xml:space="preserve"> por haberse desistido expresamente la parte recurrente</w:t>
      </w:r>
      <w:r>
        <w:rPr>
          <w:rFonts w:ascii="Palatino Linotype" w:hAnsi="Palatino Linotype" w:cs="Arial"/>
        </w:rPr>
        <w:t>.</w:t>
      </w:r>
    </w:p>
    <w:p w14:paraId="4A2204C1" w14:textId="77777777" w:rsidR="00FA035C" w:rsidRPr="00FA035C" w:rsidRDefault="00FA035C" w:rsidP="00FA035C">
      <w:pPr>
        <w:pStyle w:val="Prrafodelista"/>
        <w:rPr>
          <w:rFonts w:ascii="Palatino Linotype" w:hAnsi="Palatino Linotype" w:cs="Arial"/>
        </w:rPr>
      </w:pPr>
    </w:p>
    <w:p w14:paraId="5789CCAC" w14:textId="77777777" w:rsidR="008A49F0" w:rsidRPr="003E4B85" w:rsidRDefault="008A49F0" w:rsidP="008A49F0">
      <w:pPr>
        <w:pStyle w:val="Prrafodelista"/>
        <w:numPr>
          <w:ilvl w:val="0"/>
          <w:numId w:val="24"/>
        </w:numPr>
        <w:tabs>
          <w:tab w:val="left" w:pos="426"/>
          <w:tab w:val="left" w:pos="567"/>
        </w:tabs>
        <w:spacing w:before="240" w:after="240" w:line="360" w:lineRule="auto"/>
        <w:ind w:left="0" w:firstLine="0"/>
        <w:contextualSpacing/>
        <w:jc w:val="both"/>
        <w:rPr>
          <w:rFonts w:ascii="Palatino Linotype" w:hAnsi="Palatino Linotype" w:cs="Arial"/>
        </w:rPr>
      </w:pPr>
      <w:r w:rsidRPr="008A49F0">
        <w:rPr>
          <w:rFonts w:ascii="Palatino Linotype" w:hAnsi="Palatino Linotype"/>
          <w:color w:val="000000"/>
          <w:lang w:eastAsia="es-MX"/>
        </w:rPr>
        <w:t xml:space="preserve">Por lo anteriormente expuesto y fundado, este </w:t>
      </w:r>
      <w:r w:rsidRPr="008A49F0">
        <w:rPr>
          <w:rFonts w:ascii="Palatino Linotype" w:hAnsi="Palatino Linotype"/>
          <w:b/>
          <w:bCs/>
          <w:color w:val="000000"/>
          <w:lang w:eastAsia="es-MX"/>
        </w:rPr>
        <w:t>ÓRGANO GARANTE</w:t>
      </w:r>
      <w:r w:rsidRPr="008A49F0">
        <w:rPr>
          <w:rFonts w:ascii="Palatino Linotype" w:hAnsi="Palatino Linotype"/>
          <w:color w:val="000000"/>
          <w:lang w:eastAsia="es-MX"/>
        </w:rPr>
        <w:t xml:space="preserve"> emite los siguientes:</w:t>
      </w:r>
    </w:p>
    <w:p w14:paraId="56B9B53D" w14:textId="22E733F2" w:rsidR="003E4B85" w:rsidRPr="003E4B85" w:rsidRDefault="003E4B85" w:rsidP="003E4B85">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1AC08CA1" wp14:editId="5E5DBEFF">
                <wp:simplePos x="0" y="0"/>
                <wp:positionH relativeFrom="column">
                  <wp:posOffset>-1963</wp:posOffset>
                </wp:positionH>
                <wp:positionV relativeFrom="paragraph">
                  <wp:posOffset>203701</wp:posOffset>
                </wp:positionV>
                <wp:extent cx="5670645" cy="1917511"/>
                <wp:effectExtent l="38100" t="38100" r="63500" b="83185"/>
                <wp:wrapNone/>
                <wp:docPr id="4" name="Conector recto 4"/>
                <wp:cNvGraphicFramePr/>
                <a:graphic xmlns:a="http://schemas.openxmlformats.org/drawingml/2006/main">
                  <a:graphicData uri="http://schemas.microsoft.com/office/word/2010/wordprocessingShape">
                    <wps:wsp>
                      <wps:cNvCnPr/>
                      <wps:spPr>
                        <a:xfrm>
                          <a:off x="0" y="0"/>
                          <a:ext cx="5670645" cy="191751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61DAFF"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6.05pt" to="446.35pt,1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" strokecolor="black [3200]" strokeweight="2pt">
                <v:shadow on="t" color="black" opacity="24903f" origin=",.5" offset="0,.55556mm"/>
              </v:line>
            </w:pict>
          </mc:Fallback>
        </mc:AlternateContent>
      </w:r>
    </w:p>
    <w:p w14:paraId="4A205DC2" w14:textId="77777777" w:rsidR="003E4B85" w:rsidRDefault="003E4B85" w:rsidP="003E4B85">
      <w:pPr>
        <w:tabs>
          <w:tab w:val="left" w:pos="426"/>
          <w:tab w:val="left" w:pos="567"/>
        </w:tabs>
        <w:spacing w:before="240" w:after="240" w:line="360" w:lineRule="auto"/>
        <w:contextualSpacing/>
        <w:jc w:val="both"/>
        <w:rPr>
          <w:rFonts w:ascii="Palatino Linotype" w:hAnsi="Palatino Linotype" w:cs="Arial"/>
        </w:rPr>
      </w:pPr>
    </w:p>
    <w:p w14:paraId="7BFBD667" w14:textId="77777777" w:rsidR="003E4B85" w:rsidRDefault="003E4B85" w:rsidP="003E4B85">
      <w:pPr>
        <w:tabs>
          <w:tab w:val="left" w:pos="426"/>
          <w:tab w:val="left" w:pos="567"/>
        </w:tabs>
        <w:spacing w:before="240" w:after="240" w:line="360" w:lineRule="auto"/>
        <w:contextualSpacing/>
        <w:jc w:val="both"/>
        <w:rPr>
          <w:rFonts w:ascii="Palatino Linotype" w:hAnsi="Palatino Linotype" w:cs="Arial"/>
        </w:rPr>
      </w:pPr>
    </w:p>
    <w:p w14:paraId="605A010B" w14:textId="77777777" w:rsidR="003E4B85" w:rsidRDefault="003E4B85" w:rsidP="003E4B85">
      <w:pPr>
        <w:tabs>
          <w:tab w:val="left" w:pos="426"/>
          <w:tab w:val="left" w:pos="567"/>
        </w:tabs>
        <w:spacing w:before="240" w:after="240" w:line="360" w:lineRule="auto"/>
        <w:contextualSpacing/>
        <w:jc w:val="both"/>
        <w:rPr>
          <w:rFonts w:ascii="Palatino Linotype" w:hAnsi="Palatino Linotype" w:cs="Arial"/>
        </w:rPr>
      </w:pPr>
    </w:p>
    <w:p w14:paraId="77E6FD80" w14:textId="77777777" w:rsidR="003E4B85" w:rsidRDefault="003E4B85" w:rsidP="003E4B85">
      <w:pPr>
        <w:tabs>
          <w:tab w:val="left" w:pos="426"/>
          <w:tab w:val="left" w:pos="567"/>
        </w:tabs>
        <w:spacing w:before="240" w:after="240" w:line="360" w:lineRule="auto"/>
        <w:contextualSpacing/>
        <w:jc w:val="both"/>
        <w:rPr>
          <w:rFonts w:ascii="Palatino Linotype" w:hAnsi="Palatino Linotype" w:cs="Arial"/>
        </w:rPr>
      </w:pPr>
    </w:p>
    <w:p w14:paraId="73981706" w14:textId="77777777" w:rsidR="003E4B85" w:rsidRDefault="003E4B85" w:rsidP="003E4B85">
      <w:pPr>
        <w:tabs>
          <w:tab w:val="left" w:pos="426"/>
          <w:tab w:val="left" w:pos="567"/>
        </w:tabs>
        <w:spacing w:before="240" w:after="240" w:line="360" w:lineRule="auto"/>
        <w:contextualSpacing/>
        <w:jc w:val="both"/>
        <w:rPr>
          <w:rFonts w:ascii="Palatino Linotype" w:hAnsi="Palatino Linotype" w:cs="Arial"/>
        </w:rPr>
      </w:pPr>
    </w:p>
    <w:p w14:paraId="2CB84761" w14:textId="77777777" w:rsidR="003E4B85" w:rsidRPr="003E4B85" w:rsidRDefault="003E4B85" w:rsidP="003E4B85">
      <w:pPr>
        <w:tabs>
          <w:tab w:val="left" w:pos="426"/>
          <w:tab w:val="left" w:pos="567"/>
        </w:tabs>
        <w:spacing w:before="240" w:after="240" w:line="360" w:lineRule="auto"/>
        <w:contextualSpacing/>
        <w:jc w:val="both"/>
        <w:rPr>
          <w:rFonts w:ascii="Palatino Linotype" w:hAnsi="Palatino Linotype" w:cs="Arial"/>
        </w:rPr>
      </w:pPr>
    </w:p>
    <w:p w14:paraId="47E3C0FB" w14:textId="77777777" w:rsidR="008A49F0" w:rsidRPr="00FA035C" w:rsidRDefault="008A49F0" w:rsidP="008A49F0">
      <w:pPr>
        <w:pStyle w:val="Ttulo1"/>
        <w:jc w:val="center"/>
        <w:rPr>
          <w:rFonts w:ascii="Palatino Linotype" w:eastAsia="Times New Roman" w:hAnsi="Palatino Linotype"/>
          <w:b/>
          <w:color w:val="0D0D0D" w:themeColor="text1" w:themeTint="F2"/>
          <w:sz w:val="24"/>
        </w:rPr>
      </w:pPr>
      <w:bookmarkStart w:id="151" w:name="_Toc447699324"/>
      <w:bookmarkStart w:id="152" w:name="_Toc445745148"/>
      <w:bookmarkStart w:id="153" w:name="_Toc486525261"/>
      <w:bookmarkStart w:id="154" w:name="_Toc21628107"/>
      <w:bookmarkStart w:id="155" w:name="_Toc66315416"/>
      <w:bookmarkStart w:id="156" w:name="_Toc71758080"/>
      <w:r w:rsidRPr="00FA035C">
        <w:rPr>
          <w:rFonts w:ascii="Palatino Linotype" w:eastAsia="Times New Roman" w:hAnsi="Palatino Linotype"/>
          <w:b/>
          <w:color w:val="0D0D0D" w:themeColor="text1" w:themeTint="F2"/>
          <w:sz w:val="24"/>
        </w:rPr>
        <w:lastRenderedPageBreak/>
        <w:t>R E S O L U T I V O S</w:t>
      </w:r>
      <w:bookmarkEnd w:id="151"/>
      <w:bookmarkEnd w:id="152"/>
      <w:bookmarkEnd w:id="153"/>
      <w:bookmarkEnd w:id="154"/>
      <w:bookmarkEnd w:id="155"/>
      <w:bookmarkEnd w:id="156"/>
    </w:p>
    <w:p w14:paraId="076F2A5D" w14:textId="77777777" w:rsidR="008A49F0" w:rsidRPr="008A49F0" w:rsidRDefault="008A49F0" w:rsidP="008A49F0">
      <w:pPr>
        <w:rPr>
          <w:rFonts w:ascii="Palatino Linotype" w:hAnsi="Palatino Linotype"/>
          <w:lang w:eastAsia="en-US"/>
        </w:rPr>
      </w:pPr>
    </w:p>
    <w:p w14:paraId="463076E9" w14:textId="09F7EA51" w:rsidR="00FA035C" w:rsidRPr="00FA035C" w:rsidRDefault="00FA035C" w:rsidP="00FA035C">
      <w:pPr>
        <w:spacing w:before="240" w:after="240" w:line="360" w:lineRule="auto"/>
        <w:jc w:val="both"/>
        <w:rPr>
          <w:rFonts w:ascii="Palatino Linotype" w:hAnsi="Palatino Linotype" w:cs="Arial"/>
        </w:rPr>
      </w:pPr>
      <w:r w:rsidRPr="00FA035C">
        <w:rPr>
          <w:rFonts w:ascii="Palatino Linotype" w:hAnsi="Palatino Linotype" w:cs="Arial"/>
          <w:b/>
          <w:bCs/>
        </w:rPr>
        <w:t>PRIMERO</w:t>
      </w:r>
      <w:r w:rsidRPr="00FA035C">
        <w:rPr>
          <w:rFonts w:ascii="Palatino Linotype" w:hAnsi="Palatino Linotype" w:cs="Arial"/>
        </w:rPr>
        <w:t xml:space="preserve">. Se </w:t>
      </w:r>
      <w:r w:rsidRPr="00FA035C">
        <w:rPr>
          <w:rFonts w:ascii="Palatino Linotype" w:hAnsi="Palatino Linotype" w:cs="Arial"/>
          <w:b/>
        </w:rPr>
        <w:t xml:space="preserve">SOBRESEE </w:t>
      </w:r>
      <w:r w:rsidRPr="00FA035C">
        <w:rPr>
          <w:rFonts w:ascii="Palatino Linotype" w:hAnsi="Palatino Linotype" w:cs="Arial"/>
        </w:rPr>
        <w:t>el recurso de revisión</w:t>
      </w:r>
      <w:r w:rsidRPr="00FA035C">
        <w:rPr>
          <w:rFonts w:ascii="Palatino Linotype" w:hAnsi="Palatino Linotype" w:cs="Arial"/>
          <w:b/>
        </w:rPr>
        <w:t xml:space="preserve"> </w:t>
      </w:r>
      <w:r w:rsidRPr="00FA035C">
        <w:rPr>
          <w:rFonts w:ascii="Palatino Linotype" w:hAnsi="Palatino Linotype" w:cs="Arial"/>
        </w:rPr>
        <w:t xml:space="preserve">número </w:t>
      </w:r>
      <w:r w:rsidRPr="00FA035C">
        <w:rPr>
          <w:rFonts w:ascii="Palatino Linotype" w:hAnsi="Palatino Linotype" w:cs="Arial"/>
          <w:b/>
          <w:bCs/>
        </w:rPr>
        <w:t>02753/INFOEM/AD/RR/2021</w:t>
      </w:r>
      <w:r w:rsidRPr="00FA035C">
        <w:rPr>
          <w:rFonts w:ascii="Palatino Linotype" w:hAnsi="Palatino Linotype" w:cs="Arial"/>
        </w:rPr>
        <w:t xml:space="preserve"> </w:t>
      </w:r>
      <w:r>
        <w:rPr>
          <w:rFonts w:ascii="Palatino Linotype" w:hAnsi="Palatino Linotype" w:cs="Arial"/>
          <w:b/>
        </w:rPr>
        <w:t xml:space="preserve">por haberse desistido expresamente </w:t>
      </w:r>
      <w:r w:rsidRPr="00D051CD">
        <w:rPr>
          <w:rFonts w:ascii="Palatino Linotype" w:hAnsi="Palatino Linotype" w:cs="Arial"/>
        </w:rPr>
        <w:t xml:space="preserve">la </w:t>
      </w:r>
      <w:r>
        <w:rPr>
          <w:rFonts w:ascii="Palatino Linotype" w:hAnsi="Palatino Linotype" w:cs="Arial"/>
          <w:b/>
        </w:rPr>
        <w:t>RECURRENTE</w:t>
      </w:r>
      <w:r w:rsidRPr="00FA035C">
        <w:rPr>
          <w:rFonts w:ascii="Palatino Linotype" w:hAnsi="Palatino Linotype" w:cs="Arial"/>
          <w:b/>
        </w:rPr>
        <w:t xml:space="preserve">, </w:t>
      </w:r>
      <w:r w:rsidRPr="00FA035C">
        <w:rPr>
          <w:rFonts w:ascii="Palatino Linotype" w:hAnsi="Palatino Linotype" w:cs="Arial"/>
        </w:rPr>
        <w:t xml:space="preserve">en términos del Considerando </w:t>
      </w:r>
      <w:r w:rsidRPr="00FA035C">
        <w:rPr>
          <w:rFonts w:ascii="Palatino Linotype" w:hAnsi="Palatino Linotype" w:cs="Arial"/>
          <w:b/>
        </w:rPr>
        <w:t>CUARTO</w:t>
      </w:r>
      <w:r w:rsidRPr="00FA035C">
        <w:rPr>
          <w:rFonts w:ascii="Palatino Linotype" w:hAnsi="Palatino Linotype" w:cs="Arial"/>
        </w:rPr>
        <w:t xml:space="preserve"> de la presente resolución.</w:t>
      </w:r>
    </w:p>
    <w:p w14:paraId="4C4EB49E" w14:textId="34DF0B80" w:rsidR="00FA035C" w:rsidRPr="00FA035C" w:rsidRDefault="00FA035C" w:rsidP="00FA035C">
      <w:pPr>
        <w:shd w:val="clear" w:color="auto" w:fill="FFFFFF"/>
        <w:spacing w:before="240" w:after="360" w:line="360" w:lineRule="auto"/>
        <w:jc w:val="both"/>
        <w:rPr>
          <w:rStyle w:val="Ttulo2Car"/>
          <w:b/>
          <w:sz w:val="24"/>
          <w:szCs w:val="24"/>
        </w:rPr>
      </w:pPr>
      <w:bookmarkStart w:id="157" w:name="_Toc461648590"/>
      <w:bookmarkStart w:id="158" w:name="_Toc461648682"/>
      <w:bookmarkStart w:id="159" w:name="_Toc462228049"/>
      <w:bookmarkStart w:id="160" w:name="_Toc462228129"/>
      <w:bookmarkStart w:id="161" w:name="_Toc496099789"/>
      <w:bookmarkStart w:id="162" w:name="_Toc496100166"/>
      <w:bookmarkStart w:id="163" w:name="_Toc499756977"/>
      <w:bookmarkStart w:id="164" w:name="_Toc499757020"/>
      <w:bookmarkStart w:id="165" w:name="_Toc504377974"/>
      <w:r w:rsidRPr="00FA035C">
        <w:rPr>
          <w:rFonts w:ascii="Palatino Linotype" w:hAnsi="Palatino Linotype" w:cs="Arial"/>
          <w:b/>
        </w:rPr>
        <w:t>SEGUNDO.</w:t>
      </w:r>
      <w:bookmarkEnd w:id="157"/>
      <w:bookmarkEnd w:id="158"/>
      <w:bookmarkEnd w:id="159"/>
      <w:bookmarkEnd w:id="160"/>
      <w:bookmarkEnd w:id="161"/>
      <w:bookmarkEnd w:id="162"/>
      <w:bookmarkEnd w:id="163"/>
      <w:bookmarkEnd w:id="164"/>
      <w:bookmarkEnd w:id="165"/>
      <w:r w:rsidRPr="00FA035C">
        <w:rPr>
          <w:rStyle w:val="Ttulo2Car"/>
          <w:sz w:val="24"/>
          <w:szCs w:val="24"/>
        </w:rPr>
        <w:t xml:space="preserve"> </w:t>
      </w:r>
      <w:r w:rsidRPr="00FA035C">
        <w:rPr>
          <w:rFonts w:ascii="Palatino Linotype" w:eastAsia="MS Mincho" w:hAnsi="Palatino Linotype" w:cs="Arial"/>
          <w:b/>
          <w:bCs/>
          <w:color w:val="000000" w:themeColor="text1"/>
          <w:shd w:val="clear" w:color="auto" w:fill="FFFFFF"/>
        </w:rPr>
        <w:t xml:space="preserve">Remítase </w:t>
      </w:r>
      <w:r w:rsidRPr="00FA035C">
        <w:rPr>
          <w:rFonts w:ascii="Palatino Linotype" w:eastAsia="MS Mincho" w:hAnsi="Palatino Linotype"/>
          <w:color w:val="000000" w:themeColor="text1"/>
          <w:shd w:val="clear" w:color="auto" w:fill="FFFFFF"/>
        </w:rPr>
        <w:t>al Titular de la Unidad de Transparencia del</w:t>
      </w:r>
      <w:r w:rsidRPr="00FA035C">
        <w:rPr>
          <w:rFonts w:ascii="Palatino Linotype" w:eastAsia="MS Mincho" w:hAnsi="Palatino Linotype"/>
          <w:b/>
          <w:bCs/>
          <w:color w:val="000000" w:themeColor="text1"/>
          <w:shd w:val="clear" w:color="auto" w:fill="FFFFFF"/>
        </w:rPr>
        <w:t xml:space="preserve"> SUJETO OBLIGADO</w:t>
      </w:r>
      <w:r w:rsidRPr="00FA035C">
        <w:rPr>
          <w:rFonts w:ascii="Palatino Linotype" w:eastAsia="MS Mincho" w:hAnsi="Palatino Linotype"/>
          <w:color w:val="000000" w:themeColor="text1"/>
          <w:shd w:val="clear" w:color="auto" w:fill="FFFFFF"/>
        </w:rPr>
        <w:t xml:space="preserve"> vía</w:t>
      </w:r>
      <w:r w:rsidRPr="00FA035C">
        <w:rPr>
          <w:rFonts w:ascii="Palatino Linotype" w:eastAsia="MS Mincho" w:hAnsi="Palatino Linotype"/>
          <w:b/>
          <w:color w:val="000000" w:themeColor="text1"/>
          <w:shd w:val="clear" w:color="auto" w:fill="FFFFFF"/>
        </w:rPr>
        <w:t xml:space="preserve"> </w:t>
      </w:r>
      <w:r w:rsidR="0005720D">
        <w:rPr>
          <w:rFonts w:ascii="Palatino Linotype" w:eastAsia="MS Mincho" w:hAnsi="Palatino Linotype"/>
          <w:b/>
          <w:color w:val="000000" w:themeColor="text1"/>
          <w:shd w:val="clear" w:color="auto" w:fill="FFFFFF"/>
        </w:rPr>
        <w:t>SARCOEM.</w:t>
      </w:r>
    </w:p>
    <w:p w14:paraId="0273E16D" w14:textId="3B19A436" w:rsidR="00FA035C" w:rsidRPr="00FA035C" w:rsidRDefault="00FA035C" w:rsidP="00FA035C">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FA035C">
        <w:rPr>
          <w:rFonts w:ascii="Palatino Linotype" w:hAnsi="Palatino Linotype" w:cs="Arial"/>
          <w:b/>
        </w:rPr>
        <w:t>TERCERO</w:t>
      </w:r>
      <w:r w:rsidRPr="00FA035C">
        <w:rPr>
          <w:rFonts w:ascii="Palatino Linotype" w:hAnsi="Palatino Linotype"/>
          <w:b/>
          <w:color w:val="222222"/>
          <w:lang w:eastAsia="es-ES_tradnl"/>
        </w:rPr>
        <w:t xml:space="preserve">. Notifíquese a </w:t>
      </w:r>
      <w:r w:rsidRPr="00FA035C">
        <w:rPr>
          <w:rFonts w:ascii="Palatino Linotype" w:hAnsi="Palatino Linotype"/>
          <w:b/>
        </w:rPr>
        <w:t>EL RECURRENTE</w:t>
      </w:r>
      <w:r w:rsidRPr="00FA035C">
        <w:rPr>
          <w:rFonts w:ascii="Palatino Linotype" w:hAnsi="Palatino Linotype"/>
          <w:color w:val="222222"/>
          <w:lang w:eastAsia="es-ES_tradnl"/>
        </w:rPr>
        <w:t xml:space="preserve"> la presente resolución </w:t>
      </w:r>
      <w:r w:rsidR="00DF2545">
        <w:rPr>
          <w:rFonts w:ascii="Palatino Linotype" w:hAnsi="Palatino Linotype"/>
          <w:color w:val="222222"/>
          <w:lang w:eastAsia="es-ES_tradnl"/>
        </w:rPr>
        <w:t xml:space="preserve">vía </w:t>
      </w:r>
      <w:r w:rsidR="00DF2545" w:rsidRPr="00DF2545">
        <w:rPr>
          <w:rFonts w:ascii="Palatino Linotype" w:hAnsi="Palatino Linotype"/>
          <w:b/>
          <w:color w:val="222222"/>
          <w:lang w:eastAsia="es-ES_tradnl"/>
        </w:rPr>
        <w:t>SA</w:t>
      </w:r>
      <w:r w:rsidR="00146B18">
        <w:rPr>
          <w:rFonts w:ascii="Palatino Linotype" w:hAnsi="Palatino Linotype"/>
          <w:b/>
          <w:color w:val="222222"/>
          <w:lang w:eastAsia="es-ES_tradnl"/>
        </w:rPr>
        <w:t>RCOEM.</w:t>
      </w:r>
    </w:p>
    <w:p w14:paraId="1CFF1919" w14:textId="74BCCF00" w:rsidR="00FA035C" w:rsidRPr="00FA035C" w:rsidRDefault="00FA035C" w:rsidP="00FA035C">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FA035C">
        <w:rPr>
          <w:rFonts w:ascii="Palatino Linotype" w:hAnsi="Palatino Linotype"/>
          <w:b/>
          <w:color w:val="222222"/>
          <w:lang w:eastAsia="es-ES_tradnl"/>
        </w:rPr>
        <w:t xml:space="preserve">CUARTO. </w:t>
      </w:r>
      <w:r w:rsidRPr="00FA035C">
        <w:rPr>
          <w:rFonts w:ascii="Palatino Linotype" w:hAnsi="Palatino Linotype"/>
          <w:color w:val="222222"/>
          <w:lang w:eastAsia="es-ES_tradnl"/>
        </w:rPr>
        <w:t xml:space="preserve">Se hace de conocimiento a </w:t>
      </w:r>
      <w:r w:rsidR="00DF2545">
        <w:rPr>
          <w:rFonts w:ascii="Palatino Linotype" w:hAnsi="Palatino Linotype"/>
          <w:color w:val="222222"/>
          <w:lang w:eastAsia="es-ES_tradnl"/>
        </w:rPr>
        <w:t>la</w:t>
      </w:r>
      <w:r w:rsidRPr="00FA035C">
        <w:rPr>
          <w:rFonts w:ascii="Palatino Linotype" w:hAnsi="Palatino Linotype"/>
          <w:b/>
        </w:rPr>
        <w:t xml:space="preserve"> RECURRENTE</w:t>
      </w:r>
      <w:r w:rsidRPr="00FA035C">
        <w:rPr>
          <w:rFonts w:ascii="Palatino Linotype" w:hAnsi="Palatino Linotype"/>
          <w:color w:val="222222"/>
          <w:lang w:eastAsia="es-ES_tradnl"/>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33B162E5" w14:textId="2F367651" w:rsidR="008A49F0" w:rsidRPr="008A49F0" w:rsidRDefault="008A49F0" w:rsidP="008A49F0">
      <w:pPr>
        <w:shd w:val="clear" w:color="auto" w:fill="FFFFFF"/>
        <w:spacing w:before="240" w:after="360" w:line="360" w:lineRule="auto"/>
        <w:jc w:val="both"/>
        <w:rPr>
          <w:rFonts w:ascii="Palatino Linotype" w:hAnsi="Palatino Linotype" w:cs="Arial"/>
        </w:rPr>
      </w:pPr>
      <w:r w:rsidRPr="008A49F0">
        <w:rPr>
          <w:rFonts w:ascii="Palatino Linotype" w:hAnsi="Palatino Linotype"/>
          <w:sz w:val="22"/>
          <w:szCs w:val="22"/>
        </w:rPr>
        <w:t>ASÍ LO RESUELVE, POR UNANIMIDAD DE VOTOS, EL PLENO DEL INSTITUTO DE TRANSPARENCIA, ACCESO A LA INFORMACIÓN PÚBLICA Y PROTECCIÓN DE DATOS PERSONALES DEL ESTADO DE MÉXICO Y MUNICIPIOS, CONFORMADO POR LOS COMISIONADOS ZULEMA MARTÍNEZ SÁNCHEZ; EVA ABA</w:t>
      </w:r>
      <w:r w:rsidR="00D5782C">
        <w:rPr>
          <w:rFonts w:ascii="Palatino Linotype" w:hAnsi="Palatino Linotype"/>
          <w:sz w:val="22"/>
          <w:szCs w:val="22"/>
        </w:rPr>
        <w:t xml:space="preserve">ID YAPUR;  JAVIER MARTÍNEZ CRUZ </w:t>
      </w:r>
      <w:r w:rsidR="00D5782C">
        <w:rPr>
          <w:rFonts w:ascii="Palatino Linotype" w:hAnsi="Palatino Linotype"/>
          <w:sz w:val="22"/>
          <w:szCs w:val="22"/>
        </w:rPr>
        <w:t>Y LUIS GUSTAVO PARRA NORIEGA</w:t>
      </w:r>
      <w:r w:rsidR="00D5782C">
        <w:rPr>
          <w:rFonts w:ascii="Palatino Linotype" w:hAnsi="Palatino Linotype"/>
          <w:sz w:val="22"/>
          <w:szCs w:val="22"/>
        </w:rPr>
        <w:t>,</w:t>
      </w:r>
      <w:r w:rsidRPr="008A49F0">
        <w:rPr>
          <w:rFonts w:ascii="Palatino Linotype" w:hAnsi="Palatino Linotype"/>
          <w:sz w:val="22"/>
          <w:szCs w:val="22"/>
        </w:rPr>
        <w:t xml:space="preserve"> EN LA </w:t>
      </w:r>
      <w:r w:rsidR="00EE6567">
        <w:rPr>
          <w:rFonts w:ascii="Palatino Linotype" w:hAnsi="Palatino Linotype"/>
          <w:sz w:val="22"/>
          <w:szCs w:val="22"/>
        </w:rPr>
        <w:t>VIGÉSIMA CUARTA</w:t>
      </w:r>
      <w:r w:rsidRPr="008A49F0">
        <w:rPr>
          <w:rFonts w:ascii="Palatino Linotype" w:hAnsi="Palatino Linotype"/>
          <w:sz w:val="22"/>
          <w:szCs w:val="22"/>
        </w:rPr>
        <w:t xml:space="preserve"> SESIÓN ORDINARIA CELEBRADA EL DÍA </w:t>
      </w:r>
      <w:r w:rsidR="00EE6567">
        <w:rPr>
          <w:rFonts w:ascii="Palatino Linotype" w:hAnsi="Palatino Linotype"/>
          <w:sz w:val="22"/>
          <w:szCs w:val="22"/>
        </w:rPr>
        <w:t>SIETE (07)</w:t>
      </w:r>
      <w:r w:rsidRPr="008A49F0">
        <w:rPr>
          <w:rFonts w:ascii="Palatino Linotype" w:hAnsi="Palatino Linotype"/>
          <w:sz w:val="22"/>
          <w:szCs w:val="22"/>
        </w:rPr>
        <w:t xml:space="preserve"> DE </w:t>
      </w:r>
      <w:r w:rsidR="00EE6567">
        <w:rPr>
          <w:rFonts w:ascii="Palatino Linotype" w:hAnsi="Palatino Linotype"/>
          <w:sz w:val="22"/>
          <w:szCs w:val="22"/>
        </w:rPr>
        <w:t>JULI</w:t>
      </w:r>
      <w:r w:rsidRPr="008A49F0">
        <w:rPr>
          <w:rFonts w:ascii="Palatino Linotype" w:hAnsi="Palatino Linotype"/>
          <w:sz w:val="22"/>
          <w:szCs w:val="22"/>
        </w:rPr>
        <w:t>O DE DOS MIL VEINTIUNO, ANTE EL SECRETARIO TÉCNICO DEL PLENO ALEXIS TAPIA RAMÍREZ.</w:t>
      </w:r>
      <w:r w:rsidRPr="008A49F0">
        <w:rPr>
          <w:rFonts w:ascii="Palatino Linotype" w:hAnsi="Palatino Linotype" w:cs="Arial"/>
        </w:rPr>
        <w:t xml:space="preserve">  </w:t>
      </w:r>
    </w:p>
    <w:p w14:paraId="1911EFF0" w14:textId="77777777" w:rsidR="00750CDE" w:rsidRPr="008A49F0" w:rsidRDefault="00750CDE" w:rsidP="008A49F0">
      <w:pPr>
        <w:rPr>
          <w:rFonts w:ascii="Palatino Linotype" w:hAnsi="Palatino Linotype"/>
        </w:rPr>
      </w:pPr>
    </w:p>
    <w:sectPr w:rsidR="00750CDE" w:rsidRPr="008A49F0" w:rsidSect="00750CDE">
      <w:headerReference w:type="default" r:id="rId16"/>
      <w:footerReference w:type="default" r:id="rId17"/>
      <w:headerReference w:type="first" r:id="rId18"/>
      <w:footerReference w:type="first" r:id="rId19"/>
      <w:pgSz w:w="12240" w:h="15840"/>
      <w:pgMar w:top="2552"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17A72" w14:textId="77777777" w:rsidR="003519D5" w:rsidRDefault="003519D5" w:rsidP="00C80F8C">
      <w:r>
        <w:separator/>
      </w:r>
    </w:p>
  </w:endnote>
  <w:endnote w:type="continuationSeparator" w:id="0">
    <w:p w14:paraId="4C06610D" w14:textId="77777777" w:rsidR="003519D5" w:rsidRDefault="003519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49300B" w:rsidRDefault="0049300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5782C">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5782C">
      <w:rPr>
        <w:rFonts w:ascii="Arial" w:hAnsi="Arial" w:cs="Arial"/>
        <w:b/>
        <w:bCs/>
        <w:noProof/>
        <w:sz w:val="20"/>
        <w:szCs w:val="20"/>
      </w:rPr>
      <w:t>22</w:t>
    </w:r>
    <w:r>
      <w:rPr>
        <w:rFonts w:ascii="Arial" w:hAnsi="Arial" w:cs="Arial"/>
        <w:b/>
        <w:bCs/>
        <w:sz w:val="20"/>
        <w:szCs w:val="20"/>
      </w:rPr>
      <w:fldChar w:fldCharType="end"/>
    </w:r>
  </w:p>
  <w:p w14:paraId="1192A578" w14:textId="77777777" w:rsidR="0049300B" w:rsidRDefault="0049300B" w:rsidP="00935A0D">
    <w:pPr>
      <w:pStyle w:val="Piedepgina"/>
      <w:rPr>
        <w:rFonts w:ascii="Times New Roman" w:hAnsi="Times New Roman" w:cs="Times New Roman"/>
      </w:rPr>
    </w:pPr>
  </w:p>
  <w:p w14:paraId="14A770F8" w14:textId="77777777" w:rsidR="0049300B" w:rsidRDefault="0049300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49300B" w:rsidRDefault="0049300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5782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5782C">
      <w:rPr>
        <w:rFonts w:ascii="Arial" w:hAnsi="Arial" w:cs="Arial"/>
        <w:b/>
        <w:bCs/>
        <w:noProof/>
        <w:sz w:val="20"/>
        <w:szCs w:val="20"/>
      </w:rPr>
      <w:t>22</w:t>
    </w:r>
    <w:r>
      <w:rPr>
        <w:rFonts w:ascii="Arial" w:hAnsi="Arial" w:cs="Arial"/>
        <w:b/>
        <w:bCs/>
        <w:sz w:val="20"/>
        <w:szCs w:val="20"/>
      </w:rPr>
      <w:fldChar w:fldCharType="end"/>
    </w:r>
  </w:p>
  <w:p w14:paraId="5D98ABD5" w14:textId="77777777" w:rsidR="0049300B" w:rsidRDefault="004930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8DCB2" w14:textId="77777777" w:rsidR="003519D5" w:rsidRDefault="003519D5" w:rsidP="00C80F8C">
      <w:r>
        <w:separator/>
      </w:r>
    </w:p>
  </w:footnote>
  <w:footnote w:type="continuationSeparator" w:id="0">
    <w:p w14:paraId="57A01428" w14:textId="77777777" w:rsidR="003519D5" w:rsidRDefault="003519D5" w:rsidP="00C80F8C">
      <w:r>
        <w:continuationSeparator/>
      </w:r>
    </w:p>
  </w:footnote>
  <w:footnote w:id="1">
    <w:p w14:paraId="2D73F1FE" w14:textId="77777777" w:rsidR="00EC65B1" w:rsidRPr="00C50518" w:rsidRDefault="00EC65B1" w:rsidP="00EC65B1">
      <w:pPr>
        <w:pStyle w:val="Textonotapie"/>
        <w:spacing w:before="120" w:after="120"/>
        <w:jc w:val="both"/>
        <w:rPr>
          <w:rFonts w:ascii="Palatino Linotype" w:hAnsi="Palatino Linotype"/>
          <w:sz w:val="22"/>
          <w:szCs w:val="22"/>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C50518">
        <w:rPr>
          <w:rFonts w:ascii="Palatino Linotype" w:hAnsi="Palatino Linotype"/>
          <w:b/>
          <w:sz w:val="22"/>
          <w:szCs w:val="22"/>
        </w:rPr>
        <w:t>Cuerpo de tesis:</w:t>
      </w:r>
      <w:r w:rsidRPr="00C50518">
        <w:rPr>
          <w:rFonts w:ascii="Palatino Linotype" w:hAnsi="Palatino Linotype"/>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541769D9" w14:textId="77777777" w:rsidR="00EC65B1" w:rsidRDefault="00EC65B1" w:rsidP="00EC65B1">
      <w:pPr>
        <w:pStyle w:val="Textonotapie"/>
        <w:spacing w:before="120" w:after="120"/>
        <w:jc w:val="both"/>
      </w:pPr>
      <w:r w:rsidRPr="00C50518">
        <w:rPr>
          <w:rFonts w:ascii="Palatino Linotype" w:hAnsi="Palatino Linotype"/>
          <w:b/>
          <w:sz w:val="22"/>
          <w:szCs w:val="22"/>
        </w:rPr>
        <w:t>Localización</w:t>
      </w:r>
      <w:r w:rsidRPr="00C50518">
        <w:rPr>
          <w:rFonts w:ascii="Palatino Linotype" w:hAnsi="Palatino Linotype"/>
          <w:sz w:val="22"/>
          <w:szCs w:val="22"/>
        </w:rPr>
        <w:t>: 2</w:t>
      </w:r>
      <w:r w:rsidRPr="00C50518">
        <w:rPr>
          <w:rFonts w:ascii="Palatino Linotype" w:hAnsi="Palatino Linotype"/>
          <w:color w:val="000000"/>
          <w:sz w:val="22"/>
          <w:szCs w:val="22"/>
          <w:shd w:val="clear" w:color="auto" w:fill="FFFFFF"/>
        </w:rPr>
        <w:t>13609. II.2o.183 K. Tribunales Colegiados de Circuito. Octava Época. Semanario Judicial de la Federación. Tomo XIII, Febrero de 1994, Pág. 420</w:t>
      </w:r>
    </w:p>
  </w:footnote>
  <w:footnote w:id="2">
    <w:p w14:paraId="21449C1A" w14:textId="77777777" w:rsidR="00EC65B1" w:rsidRPr="00E61AC0" w:rsidRDefault="00EC65B1" w:rsidP="00EC65B1">
      <w:pPr>
        <w:pStyle w:val="Textonotapie"/>
        <w:jc w:val="both"/>
        <w:rPr>
          <w:rFonts w:ascii="Palatino Linotype" w:hAnsi="Palatino Linotype"/>
        </w:rPr>
      </w:pPr>
      <w:r w:rsidRPr="00E61AC0">
        <w:rPr>
          <w:rStyle w:val="Refdenotaalpie"/>
          <w:rFonts w:ascii="Palatino Linotype" w:hAnsi="Palatino Linotype"/>
        </w:rPr>
        <w:footnoteRef/>
      </w:r>
      <w:r w:rsidRPr="00E61AC0">
        <w:rPr>
          <w:rFonts w:ascii="Palatino Linotype" w:hAnsi="Palatino Linotype"/>
        </w:rPr>
        <w:t xml:space="preserve"> </w:t>
      </w:r>
      <w:r w:rsidRPr="00BD2907">
        <w:rPr>
          <w:rFonts w:ascii="Palatino Linotype" w:hAnsi="Palatino Linotype"/>
          <w:b/>
        </w:rPr>
        <w:t>Cuerpo de la tesis</w:t>
      </w:r>
      <w:r w:rsidRPr="00E61AC0">
        <w:rPr>
          <w:rFonts w:ascii="Palatino Linotype" w:hAnsi="Palatino Linotype"/>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9300B" w14:paraId="6B4E3B81" w14:textId="77777777" w:rsidTr="007E2BE8">
      <w:tc>
        <w:tcPr>
          <w:tcW w:w="2552" w:type="dxa"/>
          <w:vAlign w:val="center"/>
          <w:hideMark/>
        </w:tcPr>
        <w:p w14:paraId="0ABBC6C0" w14:textId="7C21B4C9" w:rsidR="0049300B" w:rsidRDefault="0049300B" w:rsidP="00FB7FB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29C71B12" w:rsidR="0049300B" w:rsidRDefault="0011121B" w:rsidP="00FB7FB8">
          <w:pPr>
            <w:jc w:val="both"/>
            <w:rPr>
              <w:rFonts w:ascii="Palatino Linotype" w:hAnsi="Palatino Linotype"/>
              <w:b/>
              <w:sz w:val="22"/>
              <w:szCs w:val="22"/>
              <w:lang w:val="es-ES_tradnl"/>
            </w:rPr>
          </w:pPr>
          <w:r>
            <w:rPr>
              <w:rFonts w:ascii="Palatino Linotype" w:hAnsi="Palatino Linotype" w:cs="Arial"/>
              <w:b/>
              <w:bCs/>
              <w:sz w:val="22"/>
              <w:szCs w:val="22"/>
            </w:rPr>
            <w:t>0275</w:t>
          </w:r>
          <w:r w:rsidRPr="00A07966">
            <w:rPr>
              <w:rFonts w:ascii="Palatino Linotype" w:hAnsi="Palatino Linotype" w:cs="Arial"/>
              <w:b/>
              <w:bCs/>
              <w:sz w:val="22"/>
              <w:szCs w:val="22"/>
            </w:rPr>
            <w:t>3/INFOEM/AD/RR/2021</w:t>
          </w:r>
        </w:p>
      </w:tc>
    </w:tr>
    <w:tr w:rsidR="0049300B" w14:paraId="31CB780F" w14:textId="77777777" w:rsidTr="007E2BE8">
      <w:trPr>
        <w:trHeight w:val="228"/>
      </w:trPr>
      <w:tc>
        <w:tcPr>
          <w:tcW w:w="2552" w:type="dxa"/>
          <w:vAlign w:val="center"/>
          <w:hideMark/>
        </w:tcPr>
        <w:p w14:paraId="4F49CB4A" w14:textId="77777777" w:rsidR="0049300B" w:rsidRDefault="0049300B" w:rsidP="00FB7FB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40102619" w:rsidR="0049300B" w:rsidRDefault="008251F0" w:rsidP="00FB7FB8">
          <w:pPr>
            <w:jc w:val="both"/>
            <w:rPr>
              <w:rFonts w:ascii="Palatino Linotype" w:hAnsi="Palatino Linotype"/>
              <w:b/>
              <w:sz w:val="22"/>
              <w:szCs w:val="22"/>
              <w:lang w:val="es-ES_tradnl"/>
            </w:rPr>
          </w:pPr>
          <w:r w:rsidRPr="00B37AEC">
            <w:rPr>
              <w:rFonts w:ascii="Palatino Linotype" w:hAnsi="Palatino Linotype"/>
              <w:b/>
              <w:sz w:val="20"/>
              <w:szCs w:val="20"/>
            </w:rPr>
            <w:t>Instituto de Seguridad Social del Estado de México y Municipios</w:t>
          </w:r>
        </w:p>
      </w:tc>
    </w:tr>
    <w:tr w:rsidR="0049300B" w14:paraId="69050F56" w14:textId="77777777" w:rsidTr="007E2BE8">
      <w:tc>
        <w:tcPr>
          <w:tcW w:w="2552" w:type="dxa"/>
          <w:vAlign w:val="center"/>
          <w:hideMark/>
        </w:tcPr>
        <w:p w14:paraId="65C9B735" w14:textId="3CB772C2" w:rsidR="0049300B" w:rsidRDefault="0049300B" w:rsidP="00FB7FB8">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571572F" w:rsidR="0049300B" w:rsidRDefault="0011121B" w:rsidP="00FB7FB8">
          <w:pPr>
            <w:ind w:right="-533"/>
            <w:jc w:val="both"/>
            <w:rPr>
              <w:rFonts w:ascii="Palatino Linotype" w:hAnsi="Palatino Linotype"/>
              <w:b/>
              <w:sz w:val="22"/>
              <w:szCs w:val="22"/>
              <w:lang w:val="es-ES_tradnl"/>
            </w:rPr>
          </w:pPr>
          <w:r>
            <w:rPr>
              <w:rFonts w:ascii="Palatino Linotype" w:hAnsi="Palatino Linotype"/>
              <w:b/>
              <w:sz w:val="22"/>
              <w:szCs w:val="22"/>
            </w:rPr>
            <w:t xml:space="preserve">Zulema Martínez Sánchez </w:t>
          </w:r>
        </w:p>
      </w:tc>
    </w:tr>
  </w:tbl>
  <w:p w14:paraId="0F9141D0" w14:textId="34218B3D" w:rsidR="0049300B" w:rsidRDefault="0049300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49300B" w:rsidRDefault="0049300B"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49300B" w14:paraId="477E149B" w14:textId="77777777" w:rsidTr="00750CDE">
      <w:tc>
        <w:tcPr>
          <w:tcW w:w="2551" w:type="dxa"/>
          <w:vAlign w:val="center"/>
          <w:hideMark/>
        </w:tcPr>
        <w:p w14:paraId="5C0586E4" w14:textId="77777777" w:rsidR="0049300B" w:rsidRDefault="0049300B"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544" w:type="dxa"/>
          <w:vAlign w:val="center"/>
          <w:hideMark/>
        </w:tcPr>
        <w:p w14:paraId="5B14C95E" w14:textId="339F8674" w:rsidR="0049300B" w:rsidRPr="00A07966" w:rsidRDefault="008251F0" w:rsidP="008F435C">
          <w:pPr>
            <w:jc w:val="both"/>
            <w:rPr>
              <w:rFonts w:ascii="Palatino Linotype" w:hAnsi="Palatino Linotype"/>
              <w:b/>
              <w:sz w:val="22"/>
              <w:szCs w:val="22"/>
              <w:lang w:val="es-ES_tradnl"/>
            </w:rPr>
          </w:pPr>
          <w:r>
            <w:rPr>
              <w:rFonts w:ascii="Palatino Linotype" w:hAnsi="Palatino Linotype" w:cs="Arial"/>
              <w:b/>
              <w:bCs/>
              <w:sz w:val="22"/>
              <w:szCs w:val="22"/>
            </w:rPr>
            <w:t>0275</w:t>
          </w:r>
          <w:r w:rsidR="00A07966" w:rsidRPr="00A07966">
            <w:rPr>
              <w:rFonts w:ascii="Palatino Linotype" w:hAnsi="Palatino Linotype" w:cs="Arial"/>
              <w:b/>
              <w:bCs/>
              <w:sz w:val="22"/>
              <w:szCs w:val="22"/>
            </w:rPr>
            <w:t>3/INFOEM/AD/RR/2021</w:t>
          </w:r>
        </w:p>
      </w:tc>
    </w:tr>
    <w:tr w:rsidR="0049300B" w14:paraId="5B5BE21C" w14:textId="77777777" w:rsidTr="00750CDE">
      <w:tc>
        <w:tcPr>
          <w:tcW w:w="2551" w:type="dxa"/>
          <w:vAlign w:val="center"/>
          <w:hideMark/>
        </w:tcPr>
        <w:p w14:paraId="4AE96902" w14:textId="77777777" w:rsidR="0049300B" w:rsidRDefault="0049300B"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544" w:type="dxa"/>
          <w:vAlign w:val="center"/>
          <w:hideMark/>
        </w:tcPr>
        <w:p w14:paraId="776E3E60" w14:textId="33BC9DEB" w:rsidR="0049300B" w:rsidRPr="00A07966" w:rsidRDefault="00A84830" w:rsidP="000A3F51">
          <w:pPr>
            <w:rPr>
              <w:sz w:val="22"/>
              <w:szCs w:val="22"/>
            </w:rPr>
          </w:pPr>
          <w:r>
            <w:rPr>
              <w:rFonts w:ascii="Palatino Linotype" w:hAnsi="Palatino Linotype"/>
              <w:b/>
              <w:sz w:val="22"/>
              <w:szCs w:val="22"/>
            </w:rPr>
            <w:t>XXXXXXXXXXXXXXXXXXX</w:t>
          </w:r>
        </w:p>
      </w:tc>
    </w:tr>
    <w:tr w:rsidR="00750CDE" w14:paraId="22601A11" w14:textId="77777777" w:rsidTr="00750CDE">
      <w:trPr>
        <w:trHeight w:val="228"/>
      </w:trPr>
      <w:tc>
        <w:tcPr>
          <w:tcW w:w="2551" w:type="dxa"/>
          <w:vAlign w:val="center"/>
          <w:hideMark/>
        </w:tcPr>
        <w:p w14:paraId="6EFE221D" w14:textId="77777777" w:rsidR="00750CDE" w:rsidRDefault="00750CDE" w:rsidP="00750CD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544" w:type="dxa"/>
          <w:vAlign w:val="center"/>
          <w:hideMark/>
        </w:tcPr>
        <w:p w14:paraId="266F997D" w14:textId="55333D2B" w:rsidR="00750CDE" w:rsidRPr="00A07966" w:rsidRDefault="008251F0" w:rsidP="00750CDE">
          <w:pPr>
            <w:ind w:left="35" w:hanging="35"/>
            <w:rPr>
              <w:sz w:val="22"/>
              <w:szCs w:val="22"/>
            </w:rPr>
          </w:pPr>
          <w:r w:rsidRPr="00B37AEC">
            <w:rPr>
              <w:rFonts w:ascii="Palatino Linotype" w:hAnsi="Palatino Linotype"/>
              <w:b/>
              <w:sz w:val="20"/>
              <w:szCs w:val="20"/>
            </w:rPr>
            <w:t>Instituto de Seguridad Social del Estado de México y Municipios</w:t>
          </w:r>
        </w:p>
      </w:tc>
    </w:tr>
    <w:tr w:rsidR="00750CDE" w14:paraId="2D6C630E" w14:textId="77777777" w:rsidTr="00750CDE">
      <w:tc>
        <w:tcPr>
          <w:tcW w:w="2551" w:type="dxa"/>
          <w:vAlign w:val="center"/>
          <w:hideMark/>
        </w:tcPr>
        <w:p w14:paraId="5BD4C6DB" w14:textId="656677ED" w:rsidR="00750CDE" w:rsidRDefault="00750CDE" w:rsidP="00750CDE">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544" w:type="dxa"/>
          <w:vAlign w:val="center"/>
          <w:hideMark/>
        </w:tcPr>
        <w:p w14:paraId="0CDDA0BE" w14:textId="1785F42A" w:rsidR="00750CDE" w:rsidRPr="00A07966" w:rsidRDefault="0011121B" w:rsidP="00750CDE">
          <w:pPr>
            <w:ind w:right="-533"/>
            <w:jc w:val="both"/>
            <w:rPr>
              <w:rFonts w:ascii="Palatino Linotype" w:hAnsi="Palatino Linotype"/>
              <w:b/>
              <w:sz w:val="22"/>
              <w:szCs w:val="22"/>
              <w:lang w:val="es-ES_tradnl"/>
            </w:rPr>
          </w:pPr>
          <w:r>
            <w:rPr>
              <w:rFonts w:ascii="Palatino Linotype" w:hAnsi="Palatino Linotype"/>
              <w:b/>
              <w:sz w:val="22"/>
              <w:szCs w:val="22"/>
              <w:lang w:val="es-ES_tradnl"/>
            </w:rPr>
            <w:t xml:space="preserve">Zulema Martínez Sánchez </w:t>
          </w:r>
        </w:p>
      </w:tc>
    </w:tr>
  </w:tbl>
  <w:p w14:paraId="59DE3767" w14:textId="6FD10F8D" w:rsidR="0049300B" w:rsidRDefault="0049300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32F1"/>
    <w:multiLevelType w:val="hybridMultilevel"/>
    <w:tmpl w:val="51CC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7802E71"/>
    <w:multiLevelType w:val="hybridMultilevel"/>
    <w:tmpl w:val="DEE80A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F1125F"/>
    <w:multiLevelType w:val="hybridMultilevel"/>
    <w:tmpl w:val="10F27E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34317490"/>
    <w:multiLevelType w:val="hybridMultilevel"/>
    <w:tmpl w:val="DDB04FF0"/>
    <w:lvl w:ilvl="0" w:tplc="92BE0B36">
      <w:start w:val="1"/>
      <w:numFmt w:val="decimal"/>
      <w:lvlText w:val="%1."/>
      <w:lvlJc w:val="left"/>
      <w:pPr>
        <w:ind w:left="502"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640125"/>
    <w:multiLevelType w:val="hybridMultilevel"/>
    <w:tmpl w:val="C39CC668"/>
    <w:lvl w:ilvl="0" w:tplc="2206CAEA">
      <w:start w:val="1"/>
      <w:numFmt w:val="bullet"/>
      <w:lvlText w:val=""/>
      <w:lvlJc w:val="left"/>
      <w:pPr>
        <w:ind w:left="720" w:hanging="360"/>
      </w:pPr>
      <w:rPr>
        <w:rFonts w:ascii="Wingdings" w:hAnsi="Wingdings"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9DB280A"/>
    <w:multiLevelType w:val="hybridMultilevel"/>
    <w:tmpl w:val="71DC68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4B6F279B"/>
    <w:multiLevelType w:val="hybridMultilevel"/>
    <w:tmpl w:val="51CC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A457B5"/>
    <w:multiLevelType w:val="hybridMultilevel"/>
    <w:tmpl w:val="12F0F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E4F41A0"/>
    <w:multiLevelType w:val="hybridMultilevel"/>
    <w:tmpl w:val="BFDCD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06E1E4E"/>
    <w:multiLevelType w:val="hybridMultilevel"/>
    <w:tmpl w:val="110A2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4347C71"/>
    <w:multiLevelType w:val="hybridMultilevel"/>
    <w:tmpl w:val="EB84C516"/>
    <w:lvl w:ilvl="0" w:tplc="6DB64852">
      <w:start w:val="9"/>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8">
    <w:nsid w:val="67CF3914"/>
    <w:multiLevelType w:val="hybridMultilevel"/>
    <w:tmpl w:val="51CC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97478C"/>
    <w:multiLevelType w:val="hybridMultilevel"/>
    <w:tmpl w:val="258CB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D16310A"/>
    <w:multiLevelType w:val="hybridMultilevel"/>
    <w:tmpl w:val="33129ADE"/>
    <w:lvl w:ilvl="0" w:tplc="9E584794">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2A1A03"/>
    <w:multiLevelType w:val="hybridMultilevel"/>
    <w:tmpl w:val="2F2652A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E6911E1"/>
    <w:multiLevelType w:val="hybridMultilevel"/>
    <w:tmpl w:val="456828FA"/>
    <w:lvl w:ilvl="0" w:tplc="37E82B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659769D"/>
    <w:multiLevelType w:val="hybridMultilevel"/>
    <w:tmpl w:val="1A64C0AC"/>
    <w:lvl w:ilvl="0" w:tplc="3F44891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DDB1773"/>
    <w:multiLevelType w:val="multilevel"/>
    <w:tmpl w:val="B6A0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0"/>
  </w:num>
  <w:num w:numId="4">
    <w:abstractNumId w:val="27"/>
  </w:num>
  <w:num w:numId="5">
    <w:abstractNumId w:val="22"/>
  </w:num>
  <w:num w:numId="6">
    <w:abstractNumId w:val="18"/>
  </w:num>
  <w:num w:numId="7">
    <w:abstractNumId w:val="15"/>
  </w:num>
  <w:num w:numId="8">
    <w:abstractNumId w:val="21"/>
  </w:num>
  <w:num w:numId="9">
    <w:abstractNumId w:val="24"/>
  </w:num>
  <w:num w:numId="10">
    <w:abstractNumId w:val="12"/>
  </w:num>
  <w:num w:numId="11">
    <w:abstractNumId w:val="17"/>
  </w:num>
  <w:num w:numId="12">
    <w:abstractNumId w:val="16"/>
  </w:num>
  <w:num w:numId="13">
    <w:abstractNumId w:val="2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num>
  <w:num w:numId="17">
    <w:abstractNumId w:val="6"/>
  </w:num>
  <w:num w:numId="18">
    <w:abstractNumId w:val="8"/>
  </w:num>
  <w:num w:numId="19">
    <w:abstractNumId w:val="10"/>
  </w:num>
  <w:num w:numId="20">
    <w:abstractNumId w:val="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
  </w:num>
  <w:num w:numId="26">
    <w:abstractNumId w:val="20"/>
  </w:num>
  <w:num w:numId="27">
    <w:abstractNumId w:val="26"/>
  </w:num>
  <w:num w:numId="2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346C"/>
    <w:rsid w:val="0000355C"/>
    <w:rsid w:val="00004432"/>
    <w:rsid w:val="000054B4"/>
    <w:rsid w:val="00007F6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5720D"/>
    <w:rsid w:val="00060DA9"/>
    <w:rsid w:val="00061207"/>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2927"/>
    <w:rsid w:val="000B3FFD"/>
    <w:rsid w:val="000B4FE8"/>
    <w:rsid w:val="000B7976"/>
    <w:rsid w:val="000C06EC"/>
    <w:rsid w:val="000C09FB"/>
    <w:rsid w:val="000C15E2"/>
    <w:rsid w:val="000C223E"/>
    <w:rsid w:val="000C26D4"/>
    <w:rsid w:val="000C2B90"/>
    <w:rsid w:val="000C2DC4"/>
    <w:rsid w:val="000C418D"/>
    <w:rsid w:val="000C4453"/>
    <w:rsid w:val="000C4F0B"/>
    <w:rsid w:val="000C52FE"/>
    <w:rsid w:val="000C5AA6"/>
    <w:rsid w:val="000C6B3B"/>
    <w:rsid w:val="000C7A6B"/>
    <w:rsid w:val="000D05A8"/>
    <w:rsid w:val="000D0875"/>
    <w:rsid w:val="000D1CE4"/>
    <w:rsid w:val="000D20AF"/>
    <w:rsid w:val="000D23E1"/>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30D91"/>
    <w:rsid w:val="00131A23"/>
    <w:rsid w:val="00132ABE"/>
    <w:rsid w:val="0013510C"/>
    <w:rsid w:val="00135834"/>
    <w:rsid w:val="00135983"/>
    <w:rsid w:val="00136C1F"/>
    <w:rsid w:val="00136E02"/>
    <w:rsid w:val="00137EEF"/>
    <w:rsid w:val="001409A7"/>
    <w:rsid w:val="001455DE"/>
    <w:rsid w:val="00146B18"/>
    <w:rsid w:val="00147BF2"/>
    <w:rsid w:val="00150121"/>
    <w:rsid w:val="00152EB9"/>
    <w:rsid w:val="001549A5"/>
    <w:rsid w:val="00154A89"/>
    <w:rsid w:val="0015543A"/>
    <w:rsid w:val="00155EE8"/>
    <w:rsid w:val="0016185D"/>
    <w:rsid w:val="001623C4"/>
    <w:rsid w:val="00164786"/>
    <w:rsid w:val="001650BF"/>
    <w:rsid w:val="00172CF4"/>
    <w:rsid w:val="001735DB"/>
    <w:rsid w:val="001764BD"/>
    <w:rsid w:val="001766A8"/>
    <w:rsid w:val="00176A2B"/>
    <w:rsid w:val="001810BD"/>
    <w:rsid w:val="00181731"/>
    <w:rsid w:val="00183588"/>
    <w:rsid w:val="001877E3"/>
    <w:rsid w:val="00190C0E"/>
    <w:rsid w:val="001910A9"/>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741C"/>
    <w:rsid w:val="001C12F4"/>
    <w:rsid w:val="001C1D66"/>
    <w:rsid w:val="001C32EB"/>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C43"/>
    <w:rsid w:val="00230740"/>
    <w:rsid w:val="00231386"/>
    <w:rsid w:val="0023264F"/>
    <w:rsid w:val="002328ED"/>
    <w:rsid w:val="002345CA"/>
    <w:rsid w:val="00234EF0"/>
    <w:rsid w:val="002351C8"/>
    <w:rsid w:val="00235A99"/>
    <w:rsid w:val="00235FA6"/>
    <w:rsid w:val="002373CE"/>
    <w:rsid w:val="002401DC"/>
    <w:rsid w:val="0024021F"/>
    <w:rsid w:val="002433EF"/>
    <w:rsid w:val="00246016"/>
    <w:rsid w:val="00250254"/>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40BE"/>
    <w:rsid w:val="00275929"/>
    <w:rsid w:val="00276430"/>
    <w:rsid w:val="002774F3"/>
    <w:rsid w:val="00277826"/>
    <w:rsid w:val="00280EE2"/>
    <w:rsid w:val="00281764"/>
    <w:rsid w:val="002829D3"/>
    <w:rsid w:val="0028416D"/>
    <w:rsid w:val="00284B27"/>
    <w:rsid w:val="00285B91"/>
    <w:rsid w:val="002901AF"/>
    <w:rsid w:val="00290B7F"/>
    <w:rsid w:val="00292319"/>
    <w:rsid w:val="00293B56"/>
    <w:rsid w:val="002A091E"/>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3055B9"/>
    <w:rsid w:val="00310308"/>
    <w:rsid w:val="00311057"/>
    <w:rsid w:val="00311EA8"/>
    <w:rsid w:val="003152EB"/>
    <w:rsid w:val="0031573E"/>
    <w:rsid w:val="00315903"/>
    <w:rsid w:val="003164B0"/>
    <w:rsid w:val="0031693A"/>
    <w:rsid w:val="00316E9E"/>
    <w:rsid w:val="00317987"/>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9D5"/>
    <w:rsid w:val="00351F28"/>
    <w:rsid w:val="0035245F"/>
    <w:rsid w:val="00352755"/>
    <w:rsid w:val="0035321B"/>
    <w:rsid w:val="00356FE9"/>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1156"/>
    <w:rsid w:val="003C1949"/>
    <w:rsid w:val="003C5A7C"/>
    <w:rsid w:val="003C632F"/>
    <w:rsid w:val="003C7890"/>
    <w:rsid w:val="003C7EB2"/>
    <w:rsid w:val="003D0DF5"/>
    <w:rsid w:val="003D2D92"/>
    <w:rsid w:val="003D349B"/>
    <w:rsid w:val="003D3669"/>
    <w:rsid w:val="003E02C8"/>
    <w:rsid w:val="003E1884"/>
    <w:rsid w:val="003E249C"/>
    <w:rsid w:val="003E25E5"/>
    <w:rsid w:val="003E3309"/>
    <w:rsid w:val="003E4B85"/>
    <w:rsid w:val="003E53D7"/>
    <w:rsid w:val="003E55B7"/>
    <w:rsid w:val="003E5E1B"/>
    <w:rsid w:val="003E5F2F"/>
    <w:rsid w:val="003E64E2"/>
    <w:rsid w:val="003E68C4"/>
    <w:rsid w:val="003E6ADA"/>
    <w:rsid w:val="003F09EB"/>
    <w:rsid w:val="003F3551"/>
    <w:rsid w:val="003F5CF9"/>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4C11"/>
    <w:rsid w:val="0044547C"/>
    <w:rsid w:val="00447AF6"/>
    <w:rsid w:val="00447D32"/>
    <w:rsid w:val="00450966"/>
    <w:rsid w:val="00450F9B"/>
    <w:rsid w:val="00451EBC"/>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628A"/>
    <w:rsid w:val="0048763A"/>
    <w:rsid w:val="004877F8"/>
    <w:rsid w:val="00487F15"/>
    <w:rsid w:val="0049032D"/>
    <w:rsid w:val="00491A66"/>
    <w:rsid w:val="0049300B"/>
    <w:rsid w:val="004937D6"/>
    <w:rsid w:val="004945C6"/>
    <w:rsid w:val="004957EE"/>
    <w:rsid w:val="004A0C64"/>
    <w:rsid w:val="004A0F2E"/>
    <w:rsid w:val="004A21C5"/>
    <w:rsid w:val="004A2300"/>
    <w:rsid w:val="004A284F"/>
    <w:rsid w:val="004A2A04"/>
    <w:rsid w:val="004A3ABC"/>
    <w:rsid w:val="004A4371"/>
    <w:rsid w:val="004A7606"/>
    <w:rsid w:val="004B02AB"/>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576E"/>
    <w:rsid w:val="004D693B"/>
    <w:rsid w:val="004D7BA8"/>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C75"/>
    <w:rsid w:val="00553CA8"/>
    <w:rsid w:val="00553FBF"/>
    <w:rsid w:val="00553FDC"/>
    <w:rsid w:val="005542B0"/>
    <w:rsid w:val="00554349"/>
    <w:rsid w:val="00555C9B"/>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4485"/>
    <w:rsid w:val="0063689D"/>
    <w:rsid w:val="00636F39"/>
    <w:rsid w:val="00637249"/>
    <w:rsid w:val="0063754F"/>
    <w:rsid w:val="00637FF0"/>
    <w:rsid w:val="00643479"/>
    <w:rsid w:val="00643D76"/>
    <w:rsid w:val="00645150"/>
    <w:rsid w:val="006463BD"/>
    <w:rsid w:val="006500E7"/>
    <w:rsid w:val="0065133A"/>
    <w:rsid w:val="00651BDC"/>
    <w:rsid w:val="00651E76"/>
    <w:rsid w:val="00652DED"/>
    <w:rsid w:val="00654C45"/>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5149"/>
    <w:rsid w:val="006D57AB"/>
    <w:rsid w:val="006D709E"/>
    <w:rsid w:val="006E0CD5"/>
    <w:rsid w:val="006E2945"/>
    <w:rsid w:val="006E2B0C"/>
    <w:rsid w:val="006E5110"/>
    <w:rsid w:val="006E6389"/>
    <w:rsid w:val="006E7F99"/>
    <w:rsid w:val="006F2374"/>
    <w:rsid w:val="006F30F8"/>
    <w:rsid w:val="006F411B"/>
    <w:rsid w:val="007023EF"/>
    <w:rsid w:val="007026A7"/>
    <w:rsid w:val="00703BB9"/>
    <w:rsid w:val="00704AF9"/>
    <w:rsid w:val="0071123A"/>
    <w:rsid w:val="007137D7"/>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8F"/>
    <w:rsid w:val="00740476"/>
    <w:rsid w:val="0074064F"/>
    <w:rsid w:val="00740D10"/>
    <w:rsid w:val="007418CB"/>
    <w:rsid w:val="00741F3B"/>
    <w:rsid w:val="0074210C"/>
    <w:rsid w:val="00743800"/>
    <w:rsid w:val="00743ACF"/>
    <w:rsid w:val="00743F45"/>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16BD"/>
    <w:rsid w:val="007A18BB"/>
    <w:rsid w:val="007A2187"/>
    <w:rsid w:val="007A21C4"/>
    <w:rsid w:val="007A2913"/>
    <w:rsid w:val="007A4939"/>
    <w:rsid w:val="007A713D"/>
    <w:rsid w:val="007A73BE"/>
    <w:rsid w:val="007A7B20"/>
    <w:rsid w:val="007B1FF9"/>
    <w:rsid w:val="007B271A"/>
    <w:rsid w:val="007B4CD6"/>
    <w:rsid w:val="007B5680"/>
    <w:rsid w:val="007B584D"/>
    <w:rsid w:val="007B75DC"/>
    <w:rsid w:val="007C06FD"/>
    <w:rsid w:val="007C077C"/>
    <w:rsid w:val="007C2155"/>
    <w:rsid w:val="007C3045"/>
    <w:rsid w:val="007C5C23"/>
    <w:rsid w:val="007C75CA"/>
    <w:rsid w:val="007C7783"/>
    <w:rsid w:val="007D088F"/>
    <w:rsid w:val="007D0C42"/>
    <w:rsid w:val="007D11B3"/>
    <w:rsid w:val="007D18CC"/>
    <w:rsid w:val="007D1D5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0CFC"/>
    <w:rsid w:val="008112A9"/>
    <w:rsid w:val="0081205D"/>
    <w:rsid w:val="00812CD5"/>
    <w:rsid w:val="00813EBD"/>
    <w:rsid w:val="008176B3"/>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3EED"/>
    <w:rsid w:val="008B5D75"/>
    <w:rsid w:val="008B6033"/>
    <w:rsid w:val="008B69A2"/>
    <w:rsid w:val="008B73DA"/>
    <w:rsid w:val="008B784E"/>
    <w:rsid w:val="008C0A06"/>
    <w:rsid w:val="008C0B1E"/>
    <w:rsid w:val="008C1B85"/>
    <w:rsid w:val="008C263F"/>
    <w:rsid w:val="008C3674"/>
    <w:rsid w:val="008C3B4F"/>
    <w:rsid w:val="008C550D"/>
    <w:rsid w:val="008D0A0E"/>
    <w:rsid w:val="008D0E05"/>
    <w:rsid w:val="008D1526"/>
    <w:rsid w:val="008D19D8"/>
    <w:rsid w:val="008D1F97"/>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5A0D"/>
    <w:rsid w:val="00940311"/>
    <w:rsid w:val="00940C54"/>
    <w:rsid w:val="00940E50"/>
    <w:rsid w:val="0094116E"/>
    <w:rsid w:val="009413B1"/>
    <w:rsid w:val="00942EE5"/>
    <w:rsid w:val="00944CA2"/>
    <w:rsid w:val="00945246"/>
    <w:rsid w:val="00945611"/>
    <w:rsid w:val="00945BE0"/>
    <w:rsid w:val="0094776B"/>
    <w:rsid w:val="00951195"/>
    <w:rsid w:val="009511A7"/>
    <w:rsid w:val="00952C40"/>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4197"/>
    <w:rsid w:val="009E5A7D"/>
    <w:rsid w:val="009E7BFE"/>
    <w:rsid w:val="009F121C"/>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21C7"/>
    <w:rsid w:val="00A12516"/>
    <w:rsid w:val="00A12C94"/>
    <w:rsid w:val="00A135CC"/>
    <w:rsid w:val="00A138DC"/>
    <w:rsid w:val="00A15FEC"/>
    <w:rsid w:val="00A166A3"/>
    <w:rsid w:val="00A17788"/>
    <w:rsid w:val="00A17B62"/>
    <w:rsid w:val="00A22137"/>
    <w:rsid w:val="00A22414"/>
    <w:rsid w:val="00A249A8"/>
    <w:rsid w:val="00A26A80"/>
    <w:rsid w:val="00A30A8F"/>
    <w:rsid w:val="00A33FC6"/>
    <w:rsid w:val="00A343BA"/>
    <w:rsid w:val="00A34CB7"/>
    <w:rsid w:val="00A358F4"/>
    <w:rsid w:val="00A36876"/>
    <w:rsid w:val="00A36D31"/>
    <w:rsid w:val="00A41A76"/>
    <w:rsid w:val="00A41BFA"/>
    <w:rsid w:val="00A4602C"/>
    <w:rsid w:val="00A51515"/>
    <w:rsid w:val="00A5237E"/>
    <w:rsid w:val="00A56380"/>
    <w:rsid w:val="00A569F6"/>
    <w:rsid w:val="00A57155"/>
    <w:rsid w:val="00A60EB7"/>
    <w:rsid w:val="00A61366"/>
    <w:rsid w:val="00A64716"/>
    <w:rsid w:val="00A650D8"/>
    <w:rsid w:val="00A65346"/>
    <w:rsid w:val="00A65D15"/>
    <w:rsid w:val="00A65F66"/>
    <w:rsid w:val="00A6764E"/>
    <w:rsid w:val="00A6776A"/>
    <w:rsid w:val="00A71A17"/>
    <w:rsid w:val="00A726E7"/>
    <w:rsid w:val="00A736B4"/>
    <w:rsid w:val="00A74766"/>
    <w:rsid w:val="00A77719"/>
    <w:rsid w:val="00A803AD"/>
    <w:rsid w:val="00A80521"/>
    <w:rsid w:val="00A80DEE"/>
    <w:rsid w:val="00A80FAC"/>
    <w:rsid w:val="00A81140"/>
    <w:rsid w:val="00A826C0"/>
    <w:rsid w:val="00A82D3C"/>
    <w:rsid w:val="00A84830"/>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10AD"/>
    <w:rsid w:val="00AB155A"/>
    <w:rsid w:val="00AB2A1E"/>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356B"/>
    <w:rsid w:val="00B03AE5"/>
    <w:rsid w:val="00B042BD"/>
    <w:rsid w:val="00B043FD"/>
    <w:rsid w:val="00B05920"/>
    <w:rsid w:val="00B06891"/>
    <w:rsid w:val="00B07ADF"/>
    <w:rsid w:val="00B108D9"/>
    <w:rsid w:val="00B10CD5"/>
    <w:rsid w:val="00B1123E"/>
    <w:rsid w:val="00B11FAF"/>
    <w:rsid w:val="00B13149"/>
    <w:rsid w:val="00B132B4"/>
    <w:rsid w:val="00B227DA"/>
    <w:rsid w:val="00B242AD"/>
    <w:rsid w:val="00B252A8"/>
    <w:rsid w:val="00B2538C"/>
    <w:rsid w:val="00B256C6"/>
    <w:rsid w:val="00B269D2"/>
    <w:rsid w:val="00B2705D"/>
    <w:rsid w:val="00B277E7"/>
    <w:rsid w:val="00B27FF6"/>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F78"/>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51CD"/>
    <w:rsid w:val="00C26A11"/>
    <w:rsid w:val="00C30F22"/>
    <w:rsid w:val="00C3269C"/>
    <w:rsid w:val="00C32D1D"/>
    <w:rsid w:val="00C33279"/>
    <w:rsid w:val="00C351AA"/>
    <w:rsid w:val="00C365D6"/>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48AF"/>
    <w:rsid w:val="00CC1C85"/>
    <w:rsid w:val="00CC2001"/>
    <w:rsid w:val="00CC280D"/>
    <w:rsid w:val="00CC4CD0"/>
    <w:rsid w:val="00CC5554"/>
    <w:rsid w:val="00CD2E12"/>
    <w:rsid w:val="00CD43D2"/>
    <w:rsid w:val="00CD5285"/>
    <w:rsid w:val="00CE1831"/>
    <w:rsid w:val="00CE62C7"/>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FAF"/>
    <w:rsid w:val="00D21FF8"/>
    <w:rsid w:val="00D23B51"/>
    <w:rsid w:val="00D2554F"/>
    <w:rsid w:val="00D263C5"/>
    <w:rsid w:val="00D27239"/>
    <w:rsid w:val="00D27517"/>
    <w:rsid w:val="00D279D5"/>
    <w:rsid w:val="00D27A6E"/>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5E0"/>
    <w:rsid w:val="00D538F8"/>
    <w:rsid w:val="00D56842"/>
    <w:rsid w:val="00D57345"/>
    <w:rsid w:val="00D5782C"/>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472"/>
    <w:rsid w:val="00DB26F7"/>
    <w:rsid w:val="00DB3791"/>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2A00"/>
    <w:rsid w:val="00E266F0"/>
    <w:rsid w:val="00E26ED8"/>
    <w:rsid w:val="00E32C55"/>
    <w:rsid w:val="00E3486E"/>
    <w:rsid w:val="00E363DA"/>
    <w:rsid w:val="00E36D3B"/>
    <w:rsid w:val="00E40D8E"/>
    <w:rsid w:val="00E40F47"/>
    <w:rsid w:val="00E40FE2"/>
    <w:rsid w:val="00E41855"/>
    <w:rsid w:val="00E429D8"/>
    <w:rsid w:val="00E43294"/>
    <w:rsid w:val="00E443FF"/>
    <w:rsid w:val="00E51FC4"/>
    <w:rsid w:val="00E54D3C"/>
    <w:rsid w:val="00E56CD4"/>
    <w:rsid w:val="00E60710"/>
    <w:rsid w:val="00E60927"/>
    <w:rsid w:val="00E616BB"/>
    <w:rsid w:val="00E62DC0"/>
    <w:rsid w:val="00E6366A"/>
    <w:rsid w:val="00E64FC8"/>
    <w:rsid w:val="00E6639F"/>
    <w:rsid w:val="00E6658E"/>
    <w:rsid w:val="00E66E90"/>
    <w:rsid w:val="00E67242"/>
    <w:rsid w:val="00E719A5"/>
    <w:rsid w:val="00E71DCE"/>
    <w:rsid w:val="00E72087"/>
    <w:rsid w:val="00E72338"/>
    <w:rsid w:val="00E74FE8"/>
    <w:rsid w:val="00E76824"/>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B0769"/>
    <w:rsid w:val="00EB20EB"/>
    <w:rsid w:val="00EB22EA"/>
    <w:rsid w:val="00EB2C90"/>
    <w:rsid w:val="00EB3173"/>
    <w:rsid w:val="00EB4790"/>
    <w:rsid w:val="00EB49E8"/>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610B"/>
    <w:rsid w:val="00ED63B2"/>
    <w:rsid w:val="00ED6D1E"/>
    <w:rsid w:val="00EE197F"/>
    <w:rsid w:val="00EE1E1A"/>
    <w:rsid w:val="00EE3F2B"/>
    <w:rsid w:val="00EE6402"/>
    <w:rsid w:val="00EE6567"/>
    <w:rsid w:val="00EF08D2"/>
    <w:rsid w:val="00EF1322"/>
    <w:rsid w:val="00EF210B"/>
    <w:rsid w:val="00EF35A8"/>
    <w:rsid w:val="00EF4435"/>
    <w:rsid w:val="00EF63C9"/>
    <w:rsid w:val="00EF7A7F"/>
    <w:rsid w:val="00F03889"/>
    <w:rsid w:val="00F04354"/>
    <w:rsid w:val="00F04DC7"/>
    <w:rsid w:val="00F05081"/>
    <w:rsid w:val="00F06A6A"/>
    <w:rsid w:val="00F11768"/>
    <w:rsid w:val="00F11EC3"/>
    <w:rsid w:val="00F12EFF"/>
    <w:rsid w:val="00F1354C"/>
    <w:rsid w:val="00F141CD"/>
    <w:rsid w:val="00F147AA"/>
    <w:rsid w:val="00F155EC"/>
    <w:rsid w:val="00F15A20"/>
    <w:rsid w:val="00F16F9E"/>
    <w:rsid w:val="00F16FA3"/>
    <w:rsid w:val="00F20C33"/>
    <w:rsid w:val="00F21F38"/>
    <w:rsid w:val="00F22414"/>
    <w:rsid w:val="00F22FBF"/>
    <w:rsid w:val="00F238A4"/>
    <w:rsid w:val="00F23A16"/>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17DE"/>
    <w:rsid w:val="00F52722"/>
    <w:rsid w:val="00F5298F"/>
    <w:rsid w:val="00F53135"/>
    <w:rsid w:val="00F555CC"/>
    <w:rsid w:val="00F565D7"/>
    <w:rsid w:val="00F56B8D"/>
    <w:rsid w:val="00F56F30"/>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4B7"/>
    <w:rsid w:val="00F87768"/>
    <w:rsid w:val="00F87BA5"/>
    <w:rsid w:val="00F9071C"/>
    <w:rsid w:val="00F90C9F"/>
    <w:rsid w:val="00F9254D"/>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4C4E"/>
    <w:rsid w:val="00FD552E"/>
    <w:rsid w:val="00FD5946"/>
    <w:rsid w:val="00FD5E90"/>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DCCE7-10BE-4DD9-A848-41964E3B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3335</Words>
  <Characters>18344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2019-04-02T22:25:00Z</cp:lastPrinted>
  <dcterms:created xsi:type="dcterms:W3CDTF">2021-08-03T16:17:00Z</dcterms:created>
  <dcterms:modified xsi:type="dcterms:W3CDTF">2021-08-03T16:17:00Z</dcterms:modified>
</cp:coreProperties>
</file>