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ADC" w:rsidRDefault="0099078C">
      <w:pPr>
        <w:shd w:val="clear" w:color="auto" w:fill="FFFFFF"/>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a tres de marzo de dos mil veintidós.</w:t>
      </w:r>
    </w:p>
    <w:p w:rsidR="00A31ADC" w:rsidRDefault="0099078C">
      <w:pPr>
        <w:tabs>
          <w:tab w:val="left" w:pos="1701"/>
        </w:tabs>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número </w:t>
      </w:r>
      <w:r>
        <w:rPr>
          <w:rFonts w:ascii="Palatino Linotype" w:eastAsia="Palatino Linotype" w:hAnsi="Palatino Linotype" w:cs="Palatino Linotype"/>
          <w:b/>
        </w:rPr>
        <w:t>05939/INFOEM/AD/RR/2021</w:t>
      </w:r>
      <w:r>
        <w:rPr>
          <w:rFonts w:ascii="Palatino Linotype" w:eastAsia="Palatino Linotype" w:hAnsi="Palatino Linotype" w:cs="Palatino Linotype"/>
        </w:rPr>
        <w:t>, promovido por el</w:t>
      </w:r>
      <w:r w:rsidR="000C1955">
        <w:rPr>
          <w:rFonts w:ascii="Palatino Linotype" w:eastAsia="Palatino Linotype" w:hAnsi="Palatino Linotype" w:cs="Palatino Linotype"/>
        </w:rPr>
        <w:t xml:space="preserve"> C.</w:t>
      </w:r>
      <w:r>
        <w:rPr>
          <w:rFonts w:ascii="Palatino Linotype" w:eastAsia="Palatino Linotype" w:hAnsi="Palatino Linotype" w:cs="Palatino Linotype"/>
        </w:rPr>
        <w:t xml:space="preserve"> </w:t>
      </w:r>
      <w:r w:rsidR="000C1955">
        <w:rPr>
          <w:rFonts w:ascii="Palatino Linotype" w:eastAsia="Palatino Linotype" w:hAnsi="Palatino Linotype" w:cs="Palatino Linotype"/>
          <w:b/>
          <w:sz w:val="22"/>
          <w:szCs w:val="22"/>
        </w:rPr>
        <w:t xml:space="preserve">XXXXX </w:t>
      </w:r>
      <w:proofErr w:type="spellStart"/>
      <w:r w:rsidR="000C1955">
        <w:rPr>
          <w:rFonts w:ascii="Palatino Linotype" w:eastAsia="Palatino Linotype" w:hAnsi="Palatino Linotype" w:cs="Palatino Linotype"/>
          <w:b/>
          <w:sz w:val="22"/>
          <w:szCs w:val="22"/>
        </w:rPr>
        <w:t>XXXXX</w:t>
      </w:r>
      <w:proofErr w:type="spellEnd"/>
      <w:r w:rsidR="000C1955">
        <w:rPr>
          <w:rFonts w:ascii="Palatino Linotype" w:eastAsia="Palatino Linotype" w:hAnsi="Palatino Linotype" w:cs="Palatino Linotype"/>
          <w:b/>
          <w:sz w:val="22"/>
          <w:szCs w:val="22"/>
        </w:rPr>
        <w:t xml:space="preserve"> XXXXXX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Secretaría de Educación</w:t>
      </w:r>
      <w:r>
        <w:rPr>
          <w:rFonts w:ascii="Palatino Linotype" w:eastAsia="Palatino Linotype" w:hAnsi="Palatino Linotype" w:cs="Palatino Linotype"/>
        </w:rPr>
        <w:t xml:space="preserve">, </w:t>
      </w:r>
      <w:r>
        <w:rPr>
          <w:rFonts w:ascii="Palatino Linotype" w:eastAsia="Palatino Linotype" w:hAnsi="Palatino Linotype" w:cs="Palatino Linotype"/>
        </w:rPr>
        <w:t>en lo subsecuente</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o</w:t>
      </w:r>
      <w:r>
        <w:rPr>
          <w:rFonts w:ascii="Palatino Linotype" w:eastAsia="Palatino Linotype" w:hAnsi="Palatino Linotype" w:cs="Palatino Linotype"/>
          <w:b/>
        </w:rPr>
        <w:t xml:space="preserve"> RESPONSABLE, </w:t>
      </w:r>
      <w:r>
        <w:rPr>
          <w:rFonts w:ascii="Palatino Linotype" w:eastAsia="Palatino Linotype" w:hAnsi="Palatino Linotype" w:cs="Palatino Linotype"/>
        </w:rPr>
        <w:t>se procede a dictar la presente resolución.</w:t>
      </w:r>
    </w:p>
    <w:p w:rsidR="00A31ADC" w:rsidRDefault="0099078C">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diecinueve de noviembre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Rectificación, C</w:t>
      </w:r>
      <w:r>
        <w:rPr>
          <w:rFonts w:ascii="Palatino Linotype" w:eastAsia="Palatino Linotype" w:hAnsi="Palatino Linotype" w:cs="Palatino Linotype"/>
        </w:rPr>
        <w:t xml:space="preserve">ancelación y Oposición de Datos Personales del Estado de México, en lo subsecuente </w:t>
      </w:r>
      <w:r>
        <w:rPr>
          <w:rFonts w:ascii="Palatino Linotype" w:eastAsia="Palatino Linotype" w:hAnsi="Palatino Linotype" w:cs="Palatino Linotype"/>
          <w:b/>
        </w:rPr>
        <w:t>SARCOEM</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la solicitud de acceso a  datos personales, registrada bajo el número de expediente</w:t>
      </w:r>
      <w:r>
        <w:rPr>
          <w:rFonts w:ascii="Palatino Linotype" w:eastAsia="Palatino Linotype" w:hAnsi="Palatino Linotype" w:cs="Palatino Linotype"/>
          <w:b/>
        </w:rPr>
        <w:t xml:space="preserve"> 00018/SE/AD/2021, </w:t>
      </w:r>
      <w:r>
        <w:rPr>
          <w:rFonts w:ascii="Palatino Linotype" w:eastAsia="Palatino Linotype" w:hAnsi="Palatino Linotype" w:cs="Palatino Linotype"/>
        </w:rPr>
        <w:t>mediante la cual solicitó lo siguient</w:t>
      </w:r>
      <w:r>
        <w:rPr>
          <w:rFonts w:ascii="Palatino Linotype" w:eastAsia="Palatino Linotype" w:hAnsi="Palatino Linotype" w:cs="Palatino Linotype"/>
        </w:rPr>
        <w:t>e:</w:t>
      </w:r>
    </w:p>
    <w:p w:rsidR="00A31ADC" w:rsidRDefault="0099078C">
      <w:pPr>
        <w:jc w:val="both"/>
        <w:rPr>
          <w:rFonts w:ascii="Palatino Linotype" w:eastAsia="Palatino Linotype" w:hAnsi="Palatino Linotype" w:cs="Palatino Linotype"/>
          <w:b/>
        </w:rPr>
      </w:pPr>
      <w:r>
        <w:rPr>
          <w:rFonts w:ascii="Palatino Linotype" w:eastAsia="Palatino Linotype" w:hAnsi="Palatino Linotype" w:cs="Palatino Linotype"/>
          <w:b/>
        </w:rPr>
        <w:t>Datos personales a los que desea tener el acceso:</w:t>
      </w:r>
    </w:p>
    <w:p w:rsidR="00A31ADC" w:rsidRDefault="00A31ADC">
      <w:pPr>
        <w:jc w:val="both"/>
        <w:rPr>
          <w:rFonts w:ascii="Palatino Linotype" w:eastAsia="Palatino Linotype" w:hAnsi="Palatino Linotype" w:cs="Palatino Linotype"/>
        </w:rPr>
      </w:pPr>
    </w:p>
    <w:p w:rsidR="00A31ADC" w:rsidRDefault="0099078C">
      <w:pPr>
        <w:ind w:left="426"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“Por medio de este medio solicito de la manera </w:t>
      </w:r>
      <w:proofErr w:type="spellStart"/>
      <w:r>
        <w:rPr>
          <w:rFonts w:ascii="Palatino Linotype" w:eastAsia="Palatino Linotype" w:hAnsi="Palatino Linotype" w:cs="Palatino Linotype"/>
          <w:i/>
          <w:color w:val="000000"/>
        </w:rPr>
        <w:t>mas</w:t>
      </w:r>
      <w:proofErr w:type="spellEnd"/>
      <w:r>
        <w:rPr>
          <w:rFonts w:ascii="Palatino Linotype" w:eastAsia="Palatino Linotype" w:hAnsi="Palatino Linotype" w:cs="Palatino Linotype"/>
          <w:i/>
          <w:color w:val="000000"/>
        </w:rPr>
        <w:t xml:space="preserve"> atenta me pudieran proporcionar datos escolares relacionados con mi hija menor de edad </w:t>
      </w:r>
      <w:r w:rsidR="000C1955">
        <w:rPr>
          <w:rFonts w:ascii="Palatino Linotype" w:eastAsia="Palatino Linotype" w:hAnsi="Palatino Linotype" w:cs="Palatino Linotype"/>
          <w:b/>
          <w:sz w:val="22"/>
          <w:szCs w:val="22"/>
        </w:rPr>
        <w:t xml:space="preserve">XXXXX </w:t>
      </w:r>
      <w:proofErr w:type="spellStart"/>
      <w:r w:rsidR="000C1955">
        <w:rPr>
          <w:rFonts w:ascii="Palatino Linotype" w:eastAsia="Palatino Linotype" w:hAnsi="Palatino Linotype" w:cs="Palatino Linotype"/>
          <w:b/>
          <w:sz w:val="22"/>
          <w:szCs w:val="22"/>
        </w:rPr>
        <w:t>XXXXX</w:t>
      </w:r>
      <w:proofErr w:type="spellEnd"/>
      <w:r w:rsidR="000C1955">
        <w:rPr>
          <w:rFonts w:ascii="Palatino Linotype" w:eastAsia="Palatino Linotype" w:hAnsi="Palatino Linotype" w:cs="Palatino Linotype"/>
          <w:b/>
          <w:sz w:val="22"/>
          <w:szCs w:val="22"/>
        </w:rPr>
        <w:t xml:space="preserve"> XXXXXX</w:t>
      </w:r>
      <w:r>
        <w:rPr>
          <w:rFonts w:ascii="Palatino Linotype" w:eastAsia="Palatino Linotype" w:hAnsi="Palatino Linotype" w:cs="Palatino Linotype"/>
          <w:i/>
          <w:color w:val="000000"/>
        </w:rPr>
        <w:t xml:space="preserve">, la información solicitada consiste </w:t>
      </w:r>
      <w:r>
        <w:rPr>
          <w:rFonts w:ascii="Palatino Linotype" w:eastAsia="Palatino Linotype" w:hAnsi="Palatino Linotype" w:cs="Palatino Linotype"/>
          <w:i/>
          <w:color w:val="000000"/>
        </w:rPr>
        <w:t xml:space="preserve">en lo siguiente: 1.- Escuela primaria donde se encuentra inscrita actualmente, 2.- Clave de trabajo </w:t>
      </w:r>
      <w:proofErr w:type="spellStart"/>
      <w:r>
        <w:rPr>
          <w:rFonts w:ascii="Palatino Linotype" w:eastAsia="Palatino Linotype" w:hAnsi="Palatino Linotype" w:cs="Palatino Linotype"/>
          <w:i/>
          <w:color w:val="000000"/>
        </w:rPr>
        <w:t>cct</w:t>
      </w:r>
      <w:proofErr w:type="spellEnd"/>
      <w:r>
        <w:rPr>
          <w:rFonts w:ascii="Palatino Linotype" w:eastAsia="Palatino Linotype" w:hAnsi="Palatino Linotype" w:cs="Palatino Linotype"/>
          <w:i/>
          <w:color w:val="000000"/>
        </w:rPr>
        <w:t xml:space="preserve"> de la escuela, 3.- Historial académico hasta la fecha actual. Derivado de que mi hija es menor de edad es por ello por lo que solicito esta información.</w:t>
      </w:r>
      <w:r>
        <w:rPr>
          <w:rFonts w:ascii="Palatino Linotype" w:eastAsia="Palatino Linotype" w:hAnsi="Palatino Linotype" w:cs="Palatino Linotype"/>
          <w:i/>
          <w:color w:val="000000"/>
        </w:rPr>
        <w:t xml:space="preserve"> Adicional a lo </w:t>
      </w:r>
      <w:r>
        <w:rPr>
          <w:rFonts w:ascii="Palatino Linotype" w:eastAsia="Palatino Linotype" w:hAnsi="Palatino Linotype" w:cs="Palatino Linotype"/>
          <w:i/>
          <w:color w:val="000000"/>
        </w:rPr>
        <w:lastRenderedPageBreak/>
        <w:t xml:space="preserve">anterior anexo mi INE en formato </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i/>
          <w:color w:val="000000"/>
        </w:rPr>
        <w:t xml:space="preserve"> como comprobante e identificación oficial y que soy el padre de mi hija menor de edad adicionalmente proporciono acta de nacimiento de mi hija menor. Los datos </w:t>
      </w:r>
      <w:proofErr w:type="spellStart"/>
      <w:r>
        <w:rPr>
          <w:rFonts w:ascii="Palatino Linotype" w:eastAsia="Palatino Linotype" w:hAnsi="Palatino Linotype" w:cs="Palatino Linotype"/>
          <w:i/>
          <w:color w:val="000000"/>
        </w:rPr>
        <w:t>socilitados</w:t>
      </w:r>
      <w:proofErr w:type="spellEnd"/>
      <w:r>
        <w:rPr>
          <w:rFonts w:ascii="Palatino Linotype" w:eastAsia="Palatino Linotype" w:hAnsi="Palatino Linotype" w:cs="Palatino Linotype"/>
          <w:i/>
          <w:color w:val="000000"/>
        </w:rPr>
        <w:t xml:space="preserve"> son para </w:t>
      </w:r>
      <w:proofErr w:type="spellStart"/>
      <w:r>
        <w:rPr>
          <w:rFonts w:ascii="Palatino Linotype" w:eastAsia="Palatino Linotype" w:hAnsi="Palatino Linotype" w:cs="Palatino Linotype"/>
          <w:i/>
          <w:color w:val="000000"/>
        </w:rPr>
        <w:t>solicyar</w:t>
      </w:r>
      <w:proofErr w:type="spellEnd"/>
      <w:r>
        <w:rPr>
          <w:rFonts w:ascii="Palatino Linotype" w:eastAsia="Palatino Linotype" w:hAnsi="Palatino Linotype" w:cs="Palatino Linotype"/>
          <w:i/>
          <w:color w:val="000000"/>
        </w:rPr>
        <w:t xml:space="preserve"> una patria po</w:t>
      </w:r>
      <w:r>
        <w:rPr>
          <w:rFonts w:ascii="Palatino Linotype" w:eastAsia="Palatino Linotype" w:hAnsi="Palatino Linotype" w:cs="Palatino Linotype"/>
          <w:i/>
          <w:color w:val="000000"/>
        </w:rPr>
        <w:t>testad y determinar guardia y custodia.</w:t>
      </w:r>
      <w:r>
        <w:rPr>
          <w:rFonts w:ascii="Palatino Linotype" w:eastAsia="Palatino Linotype" w:hAnsi="Palatino Linotype" w:cs="Palatino Linotype"/>
          <w:i/>
        </w:rPr>
        <w:t>” (Sic)</w:t>
      </w:r>
    </w:p>
    <w:p w:rsidR="00A31ADC" w:rsidRDefault="0099078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adjuntó dos archivos electrónicos denominados: </w:t>
      </w:r>
      <w:hyperlink r:id="rId8">
        <w:r>
          <w:rPr>
            <w:rFonts w:ascii="Palatino Linotype" w:eastAsia="Palatino Linotype" w:hAnsi="Palatino Linotype" w:cs="Palatino Linotype"/>
          </w:rPr>
          <w:t>ine.pdf</w:t>
        </w:r>
      </w:hyperlink>
      <w:r>
        <w:rPr>
          <w:rFonts w:ascii="Palatino Linotype" w:eastAsia="Palatino Linotype" w:hAnsi="Palatino Linotype" w:cs="Palatino Linotype"/>
        </w:rPr>
        <w:t xml:space="preserve">  y acta_nacimiento_IAPG_2.pdf, documentos que entrega el solicitante como requisito para el acceso a los datos personales de su hija, esto es la identificación oficial expedida por el Instituto Nacional Electoral del solicitante y el acta de nacimiento de</w:t>
      </w:r>
      <w:r>
        <w:rPr>
          <w:rFonts w:ascii="Palatino Linotype" w:eastAsia="Palatino Linotype" w:hAnsi="Palatino Linotype" w:cs="Palatino Linotype"/>
        </w:rPr>
        <w:t xml:space="preserve"> la menor. </w:t>
      </w:r>
    </w:p>
    <w:p w:rsidR="00A31ADC" w:rsidRDefault="0099078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Señalando como modalidad de acceso: </w:t>
      </w:r>
      <w:r>
        <w:rPr>
          <w:rFonts w:ascii="Palatino Linotype" w:eastAsia="Palatino Linotype" w:hAnsi="Palatino Linotype" w:cs="Palatino Linotype"/>
          <w:b/>
        </w:rPr>
        <w:t>SARCOEM</w:t>
      </w:r>
      <w:r>
        <w:rPr>
          <w:rFonts w:ascii="Palatino Linotype" w:eastAsia="Palatino Linotype" w:hAnsi="Palatino Linotype" w:cs="Palatino Linotype"/>
        </w:rPr>
        <w:t>.</w:t>
      </w:r>
    </w:p>
    <w:p w:rsidR="00A31ADC" w:rsidRDefault="00A31ADC">
      <w:pPr>
        <w:spacing w:line="360" w:lineRule="auto"/>
        <w:ind w:right="334"/>
        <w:jc w:val="both"/>
        <w:rPr>
          <w:rFonts w:ascii="Palatino Linotype" w:eastAsia="Palatino Linotype" w:hAnsi="Palatino Linotype" w:cs="Palatino Linotype"/>
          <w:b/>
        </w:rPr>
      </w:pPr>
    </w:p>
    <w:p w:rsidR="00A31ADC" w:rsidRDefault="0099078C">
      <w:pPr>
        <w:spacing w:line="360" w:lineRule="auto"/>
        <w:ind w:right="334"/>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veinticinco de noviembre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proporcionó respuesta en los siguientes términos:</w:t>
      </w:r>
    </w:p>
    <w:p w:rsidR="00A31ADC" w:rsidRDefault="00A31ADC">
      <w:pPr>
        <w:spacing w:line="360" w:lineRule="auto"/>
        <w:ind w:right="334"/>
        <w:jc w:val="both"/>
        <w:rPr>
          <w:rFonts w:ascii="Palatino Linotype" w:eastAsia="Palatino Linotype" w:hAnsi="Palatino Linotype" w:cs="Palatino Linotype"/>
        </w:rPr>
      </w:pPr>
    </w:p>
    <w:p w:rsidR="00A31ADC" w:rsidRDefault="0099078C">
      <w:pPr>
        <w:ind w:left="567" w:right="424"/>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31ADC" w:rsidRDefault="0099078C">
      <w:pPr>
        <w:ind w:left="567" w:right="424"/>
        <w:jc w:val="both"/>
        <w:rPr>
          <w:rFonts w:ascii="Palatino Linotype" w:eastAsia="Palatino Linotype" w:hAnsi="Palatino Linotype" w:cs="Palatino Linotype"/>
          <w:i/>
        </w:rPr>
      </w:pPr>
      <w:r>
        <w:rPr>
          <w:rFonts w:ascii="Palatino Linotype" w:eastAsia="Palatino Linotype" w:hAnsi="Palatino Linotype" w:cs="Palatino Linotype"/>
          <w:i/>
        </w:rPr>
        <w:t xml:space="preserve">Se adjunta oficio de respuesta firmado por la Titular de la unidad dando atención a su </w:t>
      </w:r>
      <w:proofErr w:type="gramStart"/>
      <w:r>
        <w:rPr>
          <w:rFonts w:ascii="Palatino Linotype" w:eastAsia="Palatino Linotype" w:hAnsi="Palatino Linotype" w:cs="Palatino Linotype"/>
          <w:i/>
        </w:rPr>
        <w:t>solicitud .</w:t>
      </w:r>
      <w:proofErr w:type="gramEnd"/>
    </w:p>
    <w:p w:rsidR="00A31ADC" w:rsidRDefault="0099078C">
      <w:pPr>
        <w:ind w:left="567" w:right="424"/>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A31ADC" w:rsidRDefault="0099078C">
      <w:pPr>
        <w:ind w:left="567" w:right="424"/>
        <w:jc w:val="both"/>
        <w:rPr>
          <w:rFonts w:ascii="Palatino Linotype" w:eastAsia="Palatino Linotype" w:hAnsi="Palatino Linotype" w:cs="Palatino Linotype"/>
          <w:i/>
        </w:rPr>
      </w:pPr>
      <w:r>
        <w:rPr>
          <w:rFonts w:ascii="Palatino Linotype" w:eastAsia="Palatino Linotype" w:hAnsi="Palatino Linotype" w:cs="Palatino Linotype"/>
          <w:i/>
        </w:rPr>
        <w:t>L.C. Paulina Cruz Casas” (Sic)</w:t>
      </w:r>
    </w:p>
    <w:p w:rsidR="00A31ADC" w:rsidRDefault="00A31ADC">
      <w:pPr>
        <w:ind w:left="567" w:right="424"/>
        <w:jc w:val="both"/>
        <w:rPr>
          <w:rFonts w:ascii="Palatino Linotype" w:eastAsia="Palatino Linotype" w:hAnsi="Palatino Linotype" w:cs="Palatino Linotype"/>
          <w:i/>
        </w:rPr>
      </w:pP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Remitiendo tres archivos denominados: </w:t>
      </w:r>
      <w:hyperlink r:id="rId9">
        <w:r>
          <w:rPr>
            <w:rFonts w:ascii="Palatino Linotype" w:eastAsia="Palatino Linotype" w:hAnsi="Palatino Linotype" w:cs="Palatino Linotype"/>
            <w:b/>
            <w:i/>
          </w:rPr>
          <w:t>oficio respuesta ad17 y 18.pdf</w:t>
        </w:r>
      </w:hyperlink>
      <w:r>
        <w:rPr>
          <w:rFonts w:ascii="Palatino Linotype" w:eastAsia="Palatino Linotype" w:hAnsi="Palatino Linotype" w:cs="Palatino Linotype"/>
          <w:b/>
          <w:i/>
        </w:rPr>
        <w:t xml:space="preserve">, </w:t>
      </w:r>
      <w:hyperlink r:id="rId10">
        <w:r>
          <w:rPr>
            <w:rFonts w:ascii="Palatino Linotype" w:eastAsia="Palatino Linotype" w:hAnsi="Palatino Linotype" w:cs="Palatino Linotype"/>
            <w:b/>
            <w:i/>
          </w:rPr>
          <w:t xml:space="preserve">Adobe </w:t>
        </w:r>
        <w:proofErr w:type="spellStart"/>
        <w:r>
          <w:rPr>
            <w:rFonts w:ascii="Palatino Linotype" w:eastAsia="Palatino Linotype" w:hAnsi="Palatino Linotype" w:cs="Palatino Linotype"/>
            <w:b/>
            <w:i/>
          </w:rPr>
          <w:t>Scan</w:t>
        </w:r>
        <w:proofErr w:type="spellEnd"/>
        <w:r>
          <w:rPr>
            <w:rFonts w:ascii="Palatino Linotype" w:eastAsia="Palatino Linotype" w:hAnsi="Palatino Linotype" w:cs="Palatino Linotype"/>
            <w:b/>
            <w:i/>
          </w:rPr>
          <w:t xml:space="preserve"> 25 nov. 2021 (1) (1).pdf</w:t>
        </w:r>
      </w:hyperlink>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y </w:t>
      </w:r>
      <w:r>
        <w:rPr>
          <w:rFonts w:ascii="Palatino Linotype" w:eastAsia="Palatino Linotype" w:hAnsi="Palatino Linotype" w:cs="Palatino Linotype"/>
          <w:b/>
          <w:i/>
        </w:rPr>
        <w:t xml:space="preserve"> </w:t>
      </w:r>
      <w:hyperlink r:id="rId11">
        <w:r>
          <w:rPr>
            <w:rFonts w:ascii="Palatino Linotype" w:eastAsia="Palatino Linotype" w:hAnsi="Palatino Linotype" w:cs="Palatino Linotype"/>
            <w:b/>
            <w:i/>
          </w:rPr>
          <w:t>Oficio (3).</w:t>
        </w:r>
        <w:proofErr w:type="spellStart"/>
        <w:r>
          <w:rPr>
            <w:rFonts w:ascii="Palatino Linotype" w:eastAsia="Palatino Linotype" w:hAnsi="Palatino Linotype" w:cs="Palatino Linotype"/>
            <w:b/>
            <w:i/>
          </w:rPr>
          <w:t>pdf</w:t>
        </w:r>
        <w:proofErr w:type="spellEnd"/>
      </w:hyperlink>
      <w:r>
        <w:rPr>
          <w:rFonts w:ascii="Palatino Linotype" w:eastAsia="Palatino Linotype" w:hAnsi="Palatino Linotype" w:cs="Palatino Linotype"/>
          <w:i/>
        </w:rPr>
        <w:t xml:space="preserve">, </w:t>
      </w:r>
      <w:r>
        <w:rPr>
          <w:rFonts w:ascii="Palatino Linotype" w:eastAsia="Palatino Linotype" w:hAnsi="Palatino Linotype" w:cs="Palatino Linotype"/>
        </w:rPr>
        <w:t>en los que se destaca lo manifestado por el  Subdirector de Control Escolar, quien manifiesta lo siguiente:</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90210" cy="1147685"/>
            <wp:effectExtent l="0" t="0" r="0" b="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80116"/>
                    <a:stretch>
                      <a:fillRect/>
                    </a:stretch>
                  </pic:blipFill>
                  <pic:spPr>
                    <a:xfrm>
                      <a:off x="0" y="0"/>
                      <a:ext cx="5490210" cy="1147685"/>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63501</wp:posOffset>
                </wp:positionH>
                <wp:positionV relativeFrom="paragraph">
                  <wp:posOffset>0</wp:posOffset>
                </wp:positionV>
                <wp:extent cx="5457825" cy="1143000"/>
                <wp:effectExtent l="0" t="0" r="0" b="0"/>
                <wp:wrapNone/>
                <wp:docPr id="83" name="Rectángulo 83"/>
                <wp:cNvGraphicFramePr/>
                <a:graphic xmlns:a="http://schemas.openxmlformats.org/drawingml/2006/main">
                  <a:graphicData uri="http://schemas.microsoft.com/office/word/2010/wordprocessingShape">
                    <wps:wsp>
                      <wps:cNvSpPr/>
                      <wps:spPr>
                        <a:xfrm>
                          <a:off x="2636138" y="3227550"/>
                          <a:ext cx="5419725" cy="1104900"/>
                        </a:xfrm>
                        <a:prstGeom prst="rect">
                          <a:avLst/>
                        </a:prstGeom>
                        <a:noFill/>
                        <a:ln w="19050" cap="flat" cmpd="sng">
                          <a:solidFill>
                            <a:srgbClr val="FF0000"/>
                          </a:solidFill>
                          <a:prstDash val="solid"/>
                          <a:miter lim="800000"/>
                          <a:headEnd type="none" w="sm" len="sm"/>
                          <a:tailEnd type="none" w="sm" len="sm"/>
                        </a:ln>
                      </wps:spPr>
                      <wps:txbx>
                        <w:txbxContent>
                          <w:p w:rsidR="00A31ADC" w:rsidRDefault="00A31A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457825" cy="1143000"/>
                <wp:effectExtent b="0" l="0" r="0" t="0"/>
                <wp:wrapNone/>
                <wp:docPr id="83"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457825" cy="1143000"/>
                        </a:xfrm>
                        <a:prstGeom prst="rect"/>
                        <a:ln/>
                      </pic:spPr>
                    </pic:pic>
                  </a:graphicData>
                </a:graphic>
              </wp:anchor>
            </w:drawing>
          </mc:Fallback>
        </mc:AlternateContent>
      </w:r>
    </w:p>
    <w:p w:rsidR="00A31ADC" w:rsidRDefault="00A31ADC">
      <w:pPr>
        <w:spacing w:line="360" w:lineRule="auto"/>
        <w:jc w:val="both"/>
        <w:rPr>
          <w:rFonts w:ascii="Palatino Linotype" w:eastAsia="Palatino Linotype" w:hAnsi="Palatino Linotype" w:cs="Palatino Linotype"/>
          <w:b/>
          <w:color w:val="222222"/>
          <w:highlight w:val="white"/>
        </w:rPr>
      </w:pP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highlight w:val="white"/>
        </w:rPr>
        <w:t xml:space="preserve">TERCERO. </w:t>
      </w:r>
      <w:r>
        <w:rPr>
          <w:rFonts w:ascii="Palatino Linotype" w:eastAsia="Palatino Linotype" w:hAnsi="Palatino Linotype" w:cs="Palatino Linotype"/>
          <w:color w:val="222222"/>
          <w:highlight w:val="white"/>
        </w:rPr>
        <w:t xml:space="preserve">Que el </w:t>
      </w:r>
      <w:r>
        <w:rPr>
          <w:rFonts w:ascii="Palatino Linotype" w:eastAsia="Palatino Linotype" w:hAnsi="Palatino Linotype" w:cs="Palatino Linotype"/>
          <w:b/>
          <w:color w:val="222222"/>
          <w:highlight w:val="white"/>
        </w:rPr>
        <w:t>veintinueve de noviembre de dos mil veintiuno</w:t>
      </w:r>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b/>
          <w:color w:val="222222"/>
          <w:highlight w:val="white"/>
        </w:rPr>
        <w:t>EL</w:t>
      </w:r>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b/>
          <w:color w:val="222222"/>
          <w:highlight w:val="white"/>
        </w:rPr>
        <w:t xml:space="preserve">RECURRENTE </w:t>
      </w:r>
      <w:r>
        <w:rPr>
          <w:rFonts w:ascii="Palatino Linotype" w:eastAsia="Palatino Linotype" w:hAnsi="Palatino Linotype" w:cs="Palatino Linotype"/>
          <w:color w:val="222222"/>
          <w:highlight w:val="white"/>
        </w:rPr>
        <w:t xml:space="preserve">interpuso el recurso de revisión en contra de la respuesta del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xml:space="preserve">, el cual fue registrado en el </w:t>
      </w:r>
      <w:r>
        <w:rPr>
          <w:rFonts w:ascii="Palatino Linotype" w:eastAsia="Palatino Linotype" w:hAnsi="Palatino Linotype" w:cs="Palatino Linotype"/>
          <w:b/>
          <w:color w:val="222222"/>
          <w:highlight w:val="white"/>
        </w:rPr>
        <w:t>SARCOEM</w:t>
      </w:r>
      <w:r>
        <w:rPr>
          <w:rFonts w:ascii="Palatino Linotype" w:eastAsia="Palatino Linotype" w:hAnsi="Palatino Linotype" w:cs="Palatino Linotype"/>
          <w:color w:val="222222"/>
          <w:highlight w:val="white"/>
        </w:rPr>
        <w:t xml:space="preserve"> y se le asignó el número de expediente al rubro anotado, en el que señaló como </w:t>
      </w:r>
      <w:r>
        <w:rPr>
          <w:rFonts w:ascii="Palatino Linotype" w:eastAsia="Palatino Linotype" w:hAnsi="Palatino Linotype" w:cs="Palatino Linotype"/>
          <w:b/>
          <w:color w:val="222222"/>
          <w:highlight w:val="white"/>
        </w:rPr>
        <w:t>acto impugnado</w:t>
      </w:r>
      <w:r>
        <w:rPr>
          <w:rFonts w:ascii="Palatino Linotype" w:eastAsia="Palatino Linotype" w:hAnsi="Palatino Linotype" w:cs="Palatino Linotype"/>
          <w:color w:val="222222"/>
          <w:highlight w:val="white"/>
        </w:rPr>
        <w:t xml:space="preserve"> el siguiente: </w:t>
      </w:r>
    </w:p>
    <w:p w:rsidR="00A31ADC" w:rsidRDefault="0099078C">
      <w:pPr>
        <w:ind w:left="851" w:righ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222222"/>
          <w:highlight w:val="white"/>
        </w:rPr>
        <w:t>“</w:t>
      </w:r>
      <w:r>
        <w:rPr>
          <w:rFonts w:ascii="Palatino Linotype" w:eastAsia="Palatino Linotype" w:hAnsi="Palatino Linotype" w:cs="Palatino Linotype"/>
          <w:i/>
          <w:color w:val="000000"/>
        </w:rPr>
        <w:t>No tengo acceso a los documen</w:t>
      </w:r>
      <w:r>
        <w:rPr>
          <w:rFonts w:ascii="Palatino Linotype" w:eastAsia="Palatino Linotype" w:hAnsi="Palatino Linotype" w:cs="Palatino Linotype"/>
          <w:i/>
          <w:color w:val="000000"/>
        </w:rPr>
        <w:t xml:space="preserve">tos que el </w:t>
      </w:r>
      <w:proofErr w:type="spellStart"/>
      <w:r>
        <w:rPr>
          <w:rFonts w:ascii="Palatino Linotype" w:eastAsia="Palatino Linotype" w:hAnsi="Palatino Linotype" w:cs="Palatino Linotype"/>
          <w:i/>
          <w:color w:val="000000"/>
        </w:rPr>
        <w:t>sarcoem</w:t>
      </w:r>
      <w:proofErr w:type="spellEnd"/>
      <w:r>
        <w:rPr>
          <w:rFonts w:ascii="Palatino Linotype" w:eastAsia="Palatino Linotype" w:hAnsi="Palatino Linotype" w:cs="Palatino Linotype"/>
          <w:i/>
          <w:color w:val="000000"/>
        </w:rPr>
        <w:t xml:space="preserve"> me pusieron como enlace en la respuesta, a ninguno de los 3” </w:t>
      </w:r>
      <w:r>
        <w:rPr>
          <w:rFonts w:ascii="Palatino Linotype" w:eastAsia="Palatino Linotype" w:hAnsi="Palatino Linotype" w:cs="Palatino Linotype"/>
          <w:color w:val="222222"/>
          <w:highlight w:val="white"/>
        </w:rPr>
        <w:t xml:space="preserve">(Sic) </w:t>
      </w:r>
    </w:p>
    <w:p w:rsidR="00A31ADC" w:rsidRDefault="0099078C">
      <w:pPr>
        <w:spacing w:before="240" w:after="240" w:line="360" w:lineRule="auto"/>
        <w:ind w:right="333"/>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Así como, </w:t>
      </w:r>
      <w:r>
        <w:rPr>
          <w:rFonts w:ascii="Palatino Linotype" w:eastAsia="Palatino Linotype" w:hAnsi="Palatino Linotype" w:cs="Palatino Linotype"/>
          <w:b/>
          <w:color w:val="222222"/>
          <w:highlight w:val="white"/>
        </w:rPr>
        <w:t>razones o motivos de inconformidad</w:t>
      </w:r>
      <w:r>
        <w:rPr>
          <w:rFonts w:ascii="Palatino Linotype" w:eastAsia="Palatino Linotype" w:hAnsi="Palatino Linotype" w:cs="Palatino Linotype"/>
          <w:color w:val="222222"/>
          <w:highlight w:val="white"/>
        </w:rPr>
        <w:t>:</w:t>
      </w:r>
    </w:p>
    <w:p w:rsidR="00A31ADC" w:rsidRDefault="0099078C">
      <w:pPr>
        <w:ind w:left="851" w:right="1134"/>
        <w:jc w:val="both"/>
        <w:rPr>
          <w:rFonts w:ascii="Palatino Linotype" w:eastAsia="Palatino Linotype" w:hAnsi="Palatino Linotype" w:cs="Palatino Linotype"/>
          <w:i/>
          <w:color w:val="000000"/>
          <w:highlight w:val="white"/>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highlight w:val="white"/>
        </w:rPr>
        <w:t xml:space="preserve">Requiero poder ver la respuesta </w:t>
      </w:r>
      <w:proofErr w:type="spellStart"/>
      <w:r>
        <w:rPr>
          <w:rFonts w:ascii="Palatino Linotype" w:eastAsia="Palatino Linotype" w:hAnsi="Palatino Linotype" w:cs="Palatino Linotype"/>
          <w:b/>
          <w:i/>
          <w:color w:val="000000"/>
          <w:highlight w:val="white"/>
        </w:rPr>
        <w:t>delhistorial</w:t>
      </w:r>
      <w:proofErr w:type="spellEnd"/>
      <w:r>
        <w:rPr>
          <w:rFonts w:ascii="Palatino Linotype" w:eastAsia="Palatino Linotype" w:hAnsi="Palatino Linotype" w:cs="Palatino Linotype"/>
          <w:b/>
          <w:i/>
          <w:color w:val="000000"/>
          <w:highlight w:val="white"/>
        </w:rPr>
        <w:t xml:space="preserve"> </w:t>
      </w:r>
      <w:proofErr w:type="spellStart"/>
      <w:r>
        <w:rPr>
          <w:rFonts w:ascii="Palatino Linotype" w:eastAsia="Palatino Linotype" w:hAnsi="Palatino Linotype" w:cs="Palatino Linotype"/>
          <w:b/>
          <w:i/>
          <w:color w:val="000000"/>
          <w:highlight w:val="white"/>
        </w:rPr>
        <w:t>academico</w:t>
      </w:r>
      <w:proofErr w:type="spellEnd"/>
      <w:r>
        <w:rPr>
          <w:rFonts w:ascii="Palatino Linotype" w:eastAsia="Palatino Linotype" w:hAnsi="Palatino Linotype" w:cs="Palatino Linotype"/>
          <w:i/>
          <w:color w:val="000000"/>
          <w:highlight w:val="white"/>
        </w:rPr>
        <w:t xml:space="preserve"> escolar de mi hija y la </w:t>
      </w:r>
      <w:proofErr w:type="spellStart"/>
      <w:r>
        <w:rPr>
          <w:rFonts w:ascii="Palatino Linotype" w:eastAsia="Palatino Linotype" w:hAnsi="Palatino Linotype" w:cs="Palatino Linotype"/>
          <w:i/>
          <w:color w:val="000000"/>
          <w:highlight w:val="white"/>
        </w:rPr>
        <w:t>institucion</w:t>
      </w:r>
      <w:proofErr w:type="spellEnd"/>
      <w:r>
        <w:rPr>
          <w:rFonts w:ascii="Palatino Linotype" w:eastAsia="Palatino Linotype" w:hAnsi="Palatino Linotype" w:cs="Palatino Linotype"/>
          <w:i/>
          <w:color w:val="000000"/>
          <w:highlight w:val="white"/>
        </w:rPr>
        <w:t xml:space="preserve"> donde </w:t>
      </w:r>
      <w:proofErr w:type="spellStart"/>
      <w:r>
        <w:rPr>
          <w:rFonts w:ascii="Palatino Linotype" w:eastAsia="Palatino Linotype" w:hAnsi="Palatino Linotype" w:cs="Palatino Linotype"/>
          <w:i/>
          <w:color w:val="000000"/>
          <w:highlight w:val="white"/>
        </w:rPr>
        <w:t>esta</w:t>
      </w:r>
      <w:proofErr w:type="spellEnd"/>
      <w:r>
        <w:rPr>
          <w:rFonts w:ascii="Palatino Linotype" w:eastAsia="Palatino Linotype" w:hAnsi="Palatino Linotype" w:cs="Palatino Linotype"/>
          <w:i/>
          <w:color w:val="000000"/>
          <w:highlight w:val="white"/>
        </w:rPr>
        <w:t xml:space="preserve"> inscrita para un tema legal.” (Sic)</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222222"/>
          <w:highlight w:val="white"/>
        </w:rPr>
        <w:t xml:space="preserve">CUARTO.  </w:t>
      </w:r>
      <w:r>
        <w:rPr>
          <w:rFonts w:ascii="Palatino Linotype" w:eastAsia="Palatino Linotype" w:hAnsi="Palatino Linotype" w:cs="Palatino Linotype"/>
          <w:b/>
          <w:color w:val="222222"/>
        </w:rPr>
        <w:t xml:space="preserve">Turno.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veintinueve de noviembre de dos mil veintiuno</w:t>
      </w:r>
      <w:r>
        <w:rPr>
          <w:rFonts w:ascii="Palatino Linotype" w:eastAsia="Palatino Linotype" w:hAnsi="Palatino Linotype" w:cs="Palatino Linotype"/>
        </w:rPr>
        <w:t xml:space="preserve">, el recurso de que se trata se registró en el </w:t>
      </w:r>
      <w:r>
        <w:rPr>
          <w:rFonts w:ascii="Palatino Linotype" w:eastAsia="Palatino Linotype" w:hAnsi="Palatino Linotype" w:cs="Palatino Linotype"/>
          <w:b/>
        </w:rPr>
        <w:t xml:space="preserve">SARCOEM </w:t>
      </w:r>
      <w:r>
        <w:rPr>
          <w:rFonts w:ascii="Palatino Linotype" w:eastAsia="Palatino Linotype" w:hAnsi="Palatino Linotype" w:cs="Palatino Linotype"/>
        </w:rPr>
        <w:t>y fue turnado a la Comisionada Guadalupe Ramíre</w:t>
      </w:r>
      <w:r>
        <w:rPr>
          <w:rFonts w:ascii="Palatino Linotype" w:eastAsia="Palatino Linotype" w:hAnsi="Palatino Linotype" w:cs="Palatino Linotype"/>
        </w:rPr>
        <w:t xml:space="preserve">z Peña, a efecto de que decretara su admisión o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 en términos de los artículos 11 y 127, de la Ley de Protección de Datos Personales en Posesión de Sujetos Obligados del Estado de México y Municipios, en relación con el diverso 185, fracción I</w:t>
      </w:r>
      <w:r>
        <w:rPr>
          <w:rFonts w:ascii="Palatino Linotype" w:eastAsia="Palatino Linotype" w:hAnsi="Palatino Linotype" w:cs="Palatino Linotype"/>
        </w:rPr>
        <w:t>, de la Ley de Transparencia y Acceso a la Información Pública del Estado de México y Municipios, de aplicación supletoria a la citada Ley de Protección de Datos Personales por disposición de su artículo 11.</w:t>
      </w:r>
    </w:p>
    <w:p w:rsidR="00A31ADC" w:rsidRDefault="0099078C">
      <w:pPr>
        <w:spacing w:before="240" w:after="240" w:line="360" w:lineRule="auto"/>
        <w:ind w:right="333"/>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Admisión.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primero de diciembre </w:t>
      </w:r>
      <w:r>
        <w:rPr>
          <w:rFonts w:ascii="Palatino Linotype" w:eastAsia="Palatino Linotype" w:hAnsi="Palatino Linotype" w:cs="Palatino Linotype"/>
          <w:b/>
        </w:rPr>
        <w:t>de dos mil veintiuno,</w:t>
      </w:r>
      <w:r>
        <w:rPr>
          <w:rFonts w:ascii="Palatino Linotype" w:eastAsia="Palatino Linotype" w:hAnsi="Palatino Linotype" w:cs="Palatino Linotype"/>
        </w:rPr>
        <w:t xml:space="preserve"> atento a lo dispuesto en los artículos 11, 127 y 131, de la Ley de Protección de Datos Personales en Posesión de Sujetos Obligados del Estado de México y Municipios, y el artículo 185, fracción II, de la Ley de Transparencia y Acceso </w:t>
      </w:r>
      <w:r>
        <w:rPr>
          <w:rFonts w:ascii="Palatino Linotype" w:eastAsia="Palatino Linotype" w:hAnsi="Palatino Linotype" w:cs="Palatino Linotype"/>
        </w:rPr>
        <w:t xml:space="preserve">a la Información Pública del Estado de México y Municipios de aplicación supletoria, se acordó lo siguiente: </w:t>
      </w:r>
    </w:p>
    <w:p w:rsidR="00A31ADC" w:rsidRDefault="0099078C">
      <w:pPr>
        <w:pBdr>
          <w:top w:val="nil"/>
          <w:left w:val="nil"/>
          <w:bottom w:val="nil"/>
          <w:right w:val="nil"/>
          <w:between w:val="nil"/>
        </w:pBdr>
        <w:spacing w:line="360" w:lineRule="auto"/>
        <w:ind w:left="709" w:right="11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w:t>
      </w:r>
      <w:r>
        <w:rPr>
          <w:rFonts w:ascii="Palatino Linotype" w:eastAsia="Palatino Linotype" w:hAnsi="Palatino Linotype" w:cs="Palatino Linotype"/>
          <w:color w:val="000000"/>
        </w:rPr>
        <w:t xml:space="preserve"> Tener por acreditada la  identidad del</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 xml:space="preserve"> a través del medio de autenticación autorizado por este Instituto de Transparencia, Acceso a la Información Pública y Protección de Datos Personales del Estado de México y Municipios publicado en el periódico oficial “Gaceta del Gobierno” del veinticinco </w:t>
      </w:r>
      <w:r>
        <w:rPr>
          <w:rFonts w:ascii="Palatino Linotype" w:eastAsia="Palatino Linotype" w:hAnsi="Palatino Linotype" w:cs="Palatino Linotype"/>
          <w:color w:val="000000"/>
        </w:rPr>
        <w:t>de octubre de dos mil diecisiete; lo anterior, de conformidad con el artículo 120 fracción III de la Ley de Protección de Datos Personales en Posesión de Sujetos Obligados del Estado de México y Municipios; </w:t>
      </w:r>
    </w:p>
    <w:p w:rsidR="00A31ADC" w:rsidRDefault="00A31ADC">
      <w:pPr>
        <w:pBdr>
          <w:top w:val="nil"/>
          <w:left w:val="nil"/>
          <w:bottom w:val="nil"/>
          <w:right w:val="nil"/>
          <w:between w:val="nil"/>
        </w:pBdr>
        <w:spacing w:line="360" w:lineRule="auto"/>
        <w:ind w:left="709" w:right="1183"/>
        <w:jc w:val="both"/>
        <w:rPr>
          <w:rFonts w:ascii="Palatino Linotype" w:eastAsia="Palatino Linotype" w:hAnsi="Palatino Linotype" w:cs="Palatino Linotype"/>
          <w:b/>
          <w:color w:val="000000"/>
        </w:rPr>
      </w:pPr>
    </w:p>
    <w:p w:rsidR="00A31ADC" w:rsidRDefault="0099078C">
      <w:pPr>
        <w:pBdr>
          <w:top w:val="nil"/>
          <w:left w:val="nil"/>
          <w:bottom w:val="nil"/>
          <w:right w:val="nil"/>
          <w:between w:val="nil"/>
        </w:pBdr>
        <w:spacing w:line="360" w:lineRule="auto"/>
        <w:ind w:left="709" w:right="11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b)</w:t>
      </w:r>
      <w:r>
        <w:rPr>
          <w:rFonts w:ascii="Palatino Linotype" w:eastAsia="Palatino Linotype" w:hAnsi="Palatino Linotype" w:cs="Palatino Linotype"/>
          <w:color w:val="000000"/>
        </w:rPr>
        <w:t xml:space="preserve"> La admisión a trámite del referido recurso d</w:t>
      </w:r>
      <w:r>
        <w:rPr>
          <w:rFonts w:ascii="Palatino Linotype" w:eastAsia="Palatino Linotype" w:hAnsi="Palatino Linotype" w:cs="Palatino Linotype"/>
          <w:color w:val="000000"/>
        </w:rPr>
        <w:t>e revisión;</w:t>
      </w:r>
    </w:p>
    <w:p w:rsidR="00A31ADC" w:rsidRDefault="00A31ADC">
      <w:pPr>
        <w:pBdr>
          <w:top w:val="nil"/>
          <w:left w:val="nil"/>
          <w:bottom w:val="nil"/>
          <w:right w:val="nil"/>
          <w:between w:val="nil"/>
        </w:pBdr>
        <w:spacing w:line="360" w:lineRule="auto"/>
        <w:ind w:left="709" w:right="1183"/>
        <w:jc w:val="both"/>
        <w:rPr>
          <w:rFonts w:ascii="Palatino Linotype" w:eastAsia="Palatino Linotype" w:hAnsi="Palatino Linotype" w:cs="Palatino Linotype"/>
          <w:b/>
          <w:color w:val="000000"/>
        </w:rPr>
      </w:pPr>
    </w:p>
    <w:p w:rsidR="00A31ADC" w:rsidRDefault="0099078C">
      <w:pPr>
        <w:pBdr>
          <w:top w:val="nil"/>
          <w:left w:val="nil"/>
          <w:bottom w:val="nil"/>
          <w:right w:val="nil"/>
          <w:between w:val="nil"/>
        </w:pBdr>
        <w:spacing w:line="360" w:lineRule="auto"/>
        <w:ind w:left="709" w:right="11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 </w:t>
      </w:r>
      <w:r>
        <w:rPr>
          <w:rFonts w:ascii="Palatino Linotype" w:eastAsia="Palatino Linotype" w:hAnsi="Palatino Linotype" w:cs="Palatino Linotype"/>
          <w:color w:val="000000"/>
        </w:rPr>
        <w:t xml:space="preserve">La integración del expediente a fin de ponerlo a disposición de las partes a efecto de que ofrecieran pruebas,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rindiera el Informe Justificado, o bien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emitiera sus manifestaciones y alegatos; y </w:t>
      </w:r>
    </w:p>
    <w:p w:rsidR="00A31ADC" w:rsidRDefault="00A31ADC">
      <w:pPr>
        <w:pBdr>
          <w:top w:val="nil"/>
          <w:left w:val="nil"/>
          <w:bottom w:val="nil"/>
          <w:right w:val="nil"/>
          <w:between w:val="nil"/>
        </w:pBdr>
        <w:spacing w:line="360" w:lineRule="auto"/>
        <w:ind w:left="709" w:right="1183"/>
        <w:jc w:val="both"/>
        <w:rPr>
          <w:rFonts w:ascii="Palatino Linotype" w:eastAsia="Palatino Linotype" w:hAnsi="Palatino Linotype" w:cs="Palatino Linotype"/>
          <w:color w:val="000000"/>
        </w:rPr>
      </w:pPr>
    </w:p>
    <w:p w:rsidR="00A31ADC" w:rsidRDefault="0099078C">
      <w:pPr>
        <w:pBdr>
          <w:top w:val="nil"/>
          <w:left w:val="nil"/>
          <w:bottom w:val="nil"/>
          <w:right w:val="nil"/>
          <w:between w:val="nil"/>
        </w:pBdr>
        <w:spacing w:after="240" w:line="360" w:lineRule="auto"/>
        <w:ind w:left="709" w:right="11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d) </w:t>
      </w:r>
      <w:r>
        <w:rPr>
          <w:rFonts w:ascii="Palatino Linotype" w:eastAsia="Palatino Linotype" w:hAnsi="Palatino Linotype" w:cs="Palatino Linotype"/>
          <w:color w:val="000000"/>
        </w:rPr>
        <w:t>El requerimiento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las partes para que en un plazo no mayor a siete días manifestaran, por cualquier medio, su voluntad de conciliar, con el apercibimiento de que, en caso de no hacerlo, se tendría por </w:t>
      </w:r>
      <w:proofErr w:type="spellStart"/>
      <w:r>
        <w:rPr>
          <w:rFonts w:ascii="Palatino Linotype" w:eastAsia="Palatino Linotype" w:hAnsi="Palatino Linotype" w:cs="Palatino Linotype"/>
          <w:color w:val="000000"/>
        </w:rPr>
        <w:t>precluido</w:t>
      </w:r>
      <w:proofErr w:type="spellEnd"/>
      <w:r>
        <w:rPr>
          <w:rFonts w:ascii="Palatino Linotype" w:eastAsia="Palatino Linotype" w:hAnsi="Palatino Linotype" w:cs="Palatino Linotype"/>
          <w:color w:val="000000"/>
        </w:rPr>
        <w:t xml:space="preserve"> su derecho, para tales efectos. Asimismo, en</w:t>
      </w:r>
      <w:r>
        <w:rPr>
          <w:rFonts w:ascii="Palatino Linotype" w:eastAsia="Palatino Linotype" w:hAnsi="Palatino Linotype" w:cs="Palatino Linotype"/>
          <w:color w:val="000000"/>
        </w:rPr>
        <w:t xml:space="preserve"> términos del artículo 132 fracción I de la Ley de Protección de Datos Personales en Posesión de Sujetos Obligados del Estado de México y Municipios, se hizo del conocimiento de las partes un resumen del recurso de revisión de mérito, así como los elemento</w:t>
      </w:r>
      <w:r>
        <w:rPr>
          <w:rFonts w:ascii="Palatino Linotype" w:eastAsia="Palatino Linotype" w:hAnsi="Palatino Linotype" w:cs="Palatino Linotype"/>
          <w:color w:val="000000"/>
        </w:rPr>
        <w:t>s comunes y puntos de controversia, respecto del presente asunto.</w:t>
      </w:r>
    </w:p>
    <w:p w:rsidR="00A31ADC" w:rsidRDefault="0099078C">
      <w:pPr>
        <w:spacing w:before="240" w:after="240" w:line="360" w:lineRule="auto"/>
        <w:ind w:right="333"/>
        <w:jc w:val="both"/>
        <w:rPr>
          <w:rFonts w:ascii="Palatino Linotype" w:eastAsia="Palatino Linotype" w:hAnsi="Palatino Linotype" w:cs="Palatino Linotype"/>
        </w:rPr>
      </w:pPr>
      <w:r>
        <w:rPr>
          <w:rFonts w:ascii="Palatino Linotype" w:eastAsia="Palatino Linotype" w:hAnsi="Palatino Linotype" w:cs="Palatino Linotype"/>
          <w:b/>
          <w:color w:val="222222"/>
        </w:rPr>
        <w:t xml:space="preserve">SEXTO. Etapa de Conciliación. </w:t>
      </w:r>
      <w:r>
        <w:rPr>
          <w:rFonts w:ascii="Palatino Linotype" w:eastAsia="Palatino Linotype" w:hAnsi="Palatino Linotype" w:cs="Palatino Linotype"/>
        </w:rPr>
        <w:t>Así, de conformidad con los artículos 82 fracción XXVIII, 131 y 132 de la Ley de Protección de Datos Personales en Posesión de Sujetos Obligados del Estado de M</w:t>
      </w:r>
      <w:r>
        <w:rPr>
          <w:rFonts w:ascii="Palatino Linotype" w:eastAsia="Palatino Linotype" w:hAnsi="Palatino Linotype" w:cs="Palatino Linotype"/>
        </w:rPr>
        <w:t>éxico y Municipios, una vez abierta la etapa de instrucción, en el sumario se observa lo siguiente:</w:t>
      </w:r>
    </w:p>
    <w:p w:rsidR="00A31ADC" w:rsidRDefault="0099078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siete de diciembre de dos mil veintiuno</w:t>
      </w:r>
      <w:r>
        <w:rPr>
          <w:rFonts w:ascii="Palatino Linotype" w:eastAsia="Palatino Linotype" w:hAnsi="Palatino Linotype" w:cs="Palatino Linotype"/>
        </w:rPr>
        <w:t xml:space="preserve"> envía informe justificado en un archivo adjunto: </w:t>
      </w:r>
      <w:r>
        <w:rPr>
          <w:rFonts w:ascii="Palatino Linotype" w:eastAsia="Palatino Linotype" w:hAnsi="Palatino Linotype" w:cs="Palatino Linotype"/>
          <w:b/>
          <w:i/>
        </w:rPr>
        <w:t>manifestaciones recurso 5939.pdf</w:t>
      </w:r>
      <w:r>
        <w:rPr>
          <w:rFonts w:ascii="Palatino Linotype" w:eastAsia="Palatino Linotype" w:hAnsi="Palatino Linotype" w:cs="Palatino Linotype"/>
        </w:rPr>
        <w:t xml:space="preserve"> docume</w:t>
      </w:r>
      <w:r>
        <w:rPr>
          <w:rFonts w:ascii="Palatino Linotype" w:eastAsia="Palatino Linotype" w:hAnsi="Palatino Linotype" w:cs="Palatino Linotype"/>
        </w:rPr>
        <w:t xml:space="preserve">nto a través del cual confirma la respuesta proporcionada y  manifiesta su voluntad </w:t>
      </w:r>
      <w:r>
        <w:rPr>
          <w:rFonts w:ascii="Palatino Linotype" w:eastAsia="Palatino Linotype" w:hAnsi="Palatino Linotype" w:cs="Palatino Linotype"/>
          <w:b/>
        </w:rPr>
        <w:t>para conciliar</w:t>
      </w:r>
      <w:r>
        <w:rPr>
          <w:rFonts w:ascii="Palatino Linotype" w:eastAsia="Palatino Linotype" w:hAnsi="Palatino Linotype" w:cs="Palatino Linotype"/>
        </w:rPr>
        <w:t xml:space="preserve"> con </w:t>
      </w:r>
      <w:r>
        <w:rPr>
          <w:rFonts w:ascii="Palatino Linotype" w:eastAsia="Palatino Linotype" w:hAnsi="Palatino Linotype" w:cs="Palatino Linotype"/>
          <w:b/>
        </w:rPr>
        <w:t>EL RECURRENTE</w:t>
      </w:r>
      <w:r>
        <w:rPr>
          <w:rFonts w:ascii="Palatino Linotype" w:eastAsia="Palatino Linotype" w:hAnsi="Palatino Linotype" w:cs="Palatino Linotype"/>
        </w:rPr>
        <w:t>.</w:t>
      </w:r>
    </w:p>
    <w:p w:rsidR="00A31ADC" w:rsidRDefault="0099078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fue</w:t>
      </w:r>
      <w:r>
        <w:rPr>
          <w:rFonts w:ascii="Palatino Linotype" w:eastAsia="Palatino Linotype" w:hAnsi="Palatino Linotype" w:cs="Palatino Linotype"/>
          <w:b/>
          <w:color w:val="000000"/>
        </w:rPr>
        <w:t xml:space="preserve"> omiso </w:t>
      </w:r>
      <w:r>
        <w:rPr>
          <w:rFonts w:ascii="Palatino Linotype" w:eastAsia="Palatino Linotype" w:hAnsi="Palatino Linotype" w:cs="Palatino Linotype"/>
          <w:color w:val="000000"/>
        </w:rPr>
        <w:t>en emitir pronunciamiento alguno, por lo tanto, se niega la posibilidad de adherirse al citado procedimiento. </w:t>
      </w:r>
    </w:p>
    <w:p w:rsidR="00A31ADC" w:rsidRDefault="0099078C">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Así entonces, no </w:t>
      </w:r>
      <w:r>
        <w:rPr>
          <w:rFonts w:ascii="Palatino Linotype" w:eastAsia="Palatino Linotype" w:hAnsi="Palatino Linotype" w:cs="Palatino Linotype"/>
          <w:b/>
        </w:rPr>
        <w:t xml:space="preserve">se llevó a cabo la audiencia de conciliación. </w:t>
      </w:r>
    </w:p>
    <w:p w:rsidR="00A31ADC" w:rsidRDefault="00A31ADC">
      <w:pPr>
        <w:spacing w:before="240" w:line="360" w:lineRule="auto"/>
        <w:jc w:val="both"/>
        <w:rPr>
          <w:rFonts w:ascii="Palatino Linotype" w:eastAsia="Palatino Linotype" w:hAnsi="Palatino Linotype" w:cs="Palatino Linotype"/>
          <w:b/>
          <w:i/>
        </w:rPr>
      </w:pPr>
    </w:p>
    <w:p w:rsidR="00A31ADC" w:rsidRDefault="0099078C">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SÉPTIMO. </w:t>
      </w:r>
      <w:r>
        <w:rPr>
          <w:rFonts w:ascii="Palatino Linotype" w:eastAsia="Palatino Linotype" w:hAnsi="Palatino Linotype" w:cs="Palatino Linotype"/>
          <w:b/>
          <w:color w:val="000000"/>
        </w:rPr>
        <w:t>Ampliación del Plazo</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cuatro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rPr>
        <w:t>este Instituto con fundamento en el artículo 133, de la Ley de Protección de Datos Personales en Posesión de Sujetos Obligados del Estado de México y Municipios, determinó mediante el acuerdo respectivo, ampliar por veinte días hábiles adicionales el plazo</w:t>
      </w:r>
      <w:r>
        <w:rPr>
          <w:rFonts w:ascii="Palatino Linotype" w:eastAsia="Palatino Linotype" w:hAnsi="Palatino Linotype" w:cs="Palatino Linotype"/>
        </w:rPr>
        <w:t xml:space="preserve"> para emitir la presente resolución a fin de realizar un mejor estudio del asunto.</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OCTAVO.</w:t>
      </w:r>
      <w:r>
        <w:rPr>
          <w:rFonts w:ascii="Palatino Linotype" w:eastAsia="Palatino Linotype" w:hAnsi="Palatino Linotype" w:cs="Palatino Linotype"/>
        </w:rPr>
        <w:t xml:space="preserve"> </w:t>
      </w:r>
      <w:r>
        <w:rPr>
          <w:rFonts w:ascii="Palatino Linotype" w:eastAsia="Palatino Linotype" w:hAnsi="Palatino Linotype" w:cs="Palatino Linotype"/>
          <w:b/>
        </w:rPr>
        <w:t>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envía a través de  </w:t>
      </w:r>
      <w:r>
        <w:rPr>
          <w:rFonts w:ascii="Palatino Linotype" w:eastAsia="Palatino Linotype" w:hAnsi="Palatino Linotype" w:cs="Palatino Linotype"/>
          <w:b/>
        </w:rPr>
        <w:t>SARCOEM</w:t>
      </w:r>
      <w:r>
        <w:rPr>
          <w:rFonts w:ascii="Palatino Linotype" w:eastAsia="Palatino Linotype" w:hAnsi="Palatino Linotype" w:cs="Palatino Linotype"/>
        </w:rPr>
        <w:t xml:space="preserve"> tres archivos denominados: </w:t>
      </w:r>
      <w:r>
        <w:rPr>
          <w:rFonts w:ascii="Palatino Linotype" w:eastAsia="Palatino Linotype" w:hAnsi="Palatino Linotype" w:cs="Palatino Linotype"/>
          <w:i/>
        </w:rPr>
        <w:t>requerimiento 28 AD.pdf, alcance manifestaciones 18 AD.pdf</w:t>
      </w:r>
      <w:r>
        <w:rPr>
          <w:rFonts w:ascii="Palatino Linotype" w:eastAsia="Palatino Linotype" w:hAnsi="Palatino Linotype" w:cs="Palatino Linotype"/>
        </w:rPr>
        <w:t xml:space="preserve">  y </w:t>
      </w:r>
      <w:r>
        <w:rPr>
          <w:rFonts w:ascii="Palatino Linotype" w:eastAsia="Palatino Linotype" w:hAnsi="Palatino Linotype" w:cs="Palatino Linotype"/>
          <w:i/>
        </w:rPr>
        <w:t>manifestaciones 18 AD.pdf</w:t>
      </w:r>
      <w:r>
        <w:rPr>
          <w:rFonts w:ascii="Palatino Linotype" w:eastAsia="Palatino Linotype" w:hAnsi="Palatino Linotype" w:cs="Palatino Linotype"/>
        </w:rPr>
        <w:t>,  los cuales fueron puestos a vista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y cuyo contenido será analizado en el estudio de la presente resolución.</w:t>
      </w:r>
    </w:p>
    <w:p w:rsidR="00A31ADC" w:rsidRDefault="0099078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NOVENO.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quince de febrero de dos m</w:t>
      </w:r>
      <w:r>
        <w:rPr>
          <w:rFonts w:ascii="Palatino Linotype" w:eastAsia="Palatino Linotype" w:hAnsi="Palatino Linotype" w:cs="Palatino Linotype"/>
          <w:b/>
          <w:color w:val="000000"/>
        </w:rPr>
        <w:t>il veintidós,</w:t>
      </w:r>
      <w:r>
        <w:rPr>
          <w:rFonts w:ascii="Palatino Linotype" w:eastAsia="Palatino Linotype" w:hAnsi="Palatino Linotype" w:cs="Palatino Linotype"/>
          <w:color w:val="000000"/>
        </w:rPr>
        <w:t xml:space="preserve"> y de conformidad con lo establecido en los artículos 11, 125, 127 y 133 de la Ley de Protección de Datos Personales en Posesión de Sujetos Obligados del Estado de México y Municipios y 185 fracción VI de la Ley de Transparencia y Acceso a la </w:t>
      </w:r>
      <w:r>
        <w:rPr>
          <w:rFonts w:ascii="Palatino Linotype" w:eastAsia="Palatino Linotype" w:hAnsi="Palatino Linotype" w:cs="Palatino Linotype"/>
          <w:color w:val="000000"/>
        </w:rPr>
        <w:t>Información Pública del Estado de México y Municipios de aplicación supletoria, se tiene por cerrada la etapa de instrucción a efecto de que se proceda con la integración de resolución del asunto.</w:t>
      </w:r>
    </w:p>
    <w:p w:rsidR="00A31ADC" w:rsidRDefault="0099078C">
      <w:pPr>
        <w:numPr>
          <w:ilvl w:val="0"/>
          <w:numId w:val="2"/>
        </w:numPr>
        <w:pBdr>
          <w:top w:val="nil"/>
          <w:left w:val="nil"/>
          <w:bottom w:val="nil"/>
          <w:right w:val="nil"/>
          <w:between w:val="nil"/>
        </w:pBdr>
        <w:spacing w:before="240" w:line="360" w:lineRule="auto"/>
        <w:jc w:val="center"/>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CONSIDERANDO</w:t>
      </w:r>
    </w:p>
    <w:p w:rsidR="00A31ADC" w:rsidRDefault="0099078C">
      <w:pPr>
        <w:spacing w:before="240" w:after="240" w:line="360" w:lineRule="auto"/>
        <w:ind w:right="333"/>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 xml:space="preserve">PRIMERO. COMPETENCIA. </w:t>
      </w:r>
      <w:r>
        <w:rPr>
          <w:rFonts w:ascii="Palatino Linotype" w:eastAsia="Palatino Linotype" w:hAnsi="Palatino Linotype" w:cs="Palatino Linotype"/>
          <w:color w:val="000000"/>
        </w:rPr>
        <w:t>Este Instituto de Transp</w:t>
      </w:r>
      <w:r>
        <w:rPr>
          <w:rFonts w:ascii="Palatino Linotype" w:eastAsia="Palatino Linotype" w:hAnsi="Palatino Linotype" w:cs="Palatino Linotype"/>
          <w:color w:val="000000"/>
        </w:rPr>
        <w:t xml:space="preserve">arencia, Acceso a la Información Pública y Protección de Datos Personales del Estado de México y Municipios, es competente para conocer y resolver el presente recurso, </w:t>
      </w:r>
      <w:r>
        <w:rPr>
          <w:rFonts w:ascii="Palatino Linotype" w:eastAsia="Palatino Linotype" w:hAnsi="Palatino Linotype" w:cs="Palatino Linotype"/>
          <w:color w:val="000000"/>
        </w:rPr>
        <w:lastRenderedPageBreak/>
        <w:t>conforme a lo dispuesto en los artículos 6, Apartado A de la Constitución Política de lo</w:t>
      </w:r>
      <w:r>
        <w:rPr>
          <w:rFonts w:ascii="Palatino Linotype" w:eastAsia="Palatino Linotype" w:hAnsi="Palatino Linotype" w:cs="Palatino Linotype"/>
          <w:color w:val="000000"/>
        </w:rPr>
        <w:t>s Estados Unidos Mexicanos; 5, párrafos vigésimo, vigésimo primero y vigésimo segundo fracciones IV y V de la Constitución Política del Estado Libre y Soberano de México; 2 fracción II, 13, 29, 36 fracciones I y II, 176, 178, 179, 181 párrafo tercero y 185</w:t>
      </w:r>
      <w:r>
        <w:rPr>
          <w:rFonts w:ascii="Palatino Linotype" w:eastAsia="Palatino Linotype" w:hAnsi="Palatino Linotype" w:cs="Palatino Linotype"/>
          <w:color w:val="000000"/>
        </w:rPr>
        <w:t xml:space="preserve"> de la Ley de Transparencia y Acceso a la Información Pública del Estado de México y Municipios de aplicación supletoria; 1, 81, 82 fracciones I y III, 119, 127, 128 y 129 de la Ley de Protección de Datos Personales en Posesión de Sujetos Obligados del Est</w:t>
      </w:r>
      <w:r>
        <w:rPr>
          <w:rFonts w:ascii="Palatino Linotype" w:eastAsia="Palatino Linotype" w:hAnsi="Palatino Linotype" w:cs="Palatino Linotype"/>
          <w:color w:val="000000"/>
        </w:rPr>
        <w:t>ado de México y Municipios; y 9, fracciones I y XXIV y 11 del Reglamento Interior del Instituto de Transparencia, Acceso a la Información Pública y Protección de Datos Personales del Estado de México y Municipios.</w:t>
      </w:r>
    </w:p>
    <w:p w:rsidR="00A31ADC" w:rsidRDefault="0099078C">
      <w:pPr>
        <w:spacing w:before="240" w:after="240" w:line="360" w:lineRule="auto"/>
        <w:ind w:right="333"/>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SEGUNDO. LEGITIMACIÓN.</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rPr>
        <w:t>El recurso de revis</w:t>
      </w:r>
      <w:r>
        <w:rPr>
          <w:rFonts w:ascii="Palatino Linotype" w:eastAsia="Palatino Linotype" w:hAnsi="Palatino Linotype" w:cs="Palatino Linotype"/>
        </w:rPr>
        <w:t xml:space="preserve">ión fue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quien a su vez, acreditó su personalidad como padre de la menor titular de los datos solicitados, y que formuló la solicitud de acceso a datos personales </w:t>
      </w:r>
      <w:r>
        <w:rPr>
          <w:rFonts w:ascii="Palatino Linotype" w:eastAsia="Palatino Linotype" w:hAnsi="Palatino Linotype" w:cs="Palatino Linotype"/>
          <w:b/>
        </w:rPr>
        <w:t xml:space="preserve">00018/SE/AD/2021 </w:t>
      </w:r>
      <w:r>
        <w:rPr>
          <w:rFonts w:ascii="Palatino Linotype" w:eastAsia="Palatino Linotype" w:hAnsi="Palatino Linotype" w:cs="Palatino Linotype"/>
        </w:rPr>
        <w:t xml:space="preserve">ante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como quedó asentado, </w:t>
      </w:r>
      <w:r>
        <w:rPr>
          <w:rFonts w:ascii="Palatino Linotype" w:eastAsia="Palatino Linotype" w:hAnsi="Palatino Linotype" w:cs="Palatino Linotype"/>
        </w:rPr>
        <w:t xml:space="preserve">en término de los artículos 106 párrafo tercero, y 120 fracción III de la Ley de Protección de Datos Personales en Posesión de Sujetos Obligados del Estado de México y Municipios. </w:t>
      </w:r>
    </w:p>
    <w:p w:rsidR="00A31ADC" w:rsidRDefault="0099078C">
      <w:pPr>
        <w:spacing w:before="240" w:after="240" w:line="360" w:lineRule="auto"/>
        <w:ind w:right="333"/>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TERCERO. OPORTU</w:t>
      </w:r>
      <w:bookmarkStart w:id="0" w:name="_GoBack"/>
      <w:bookmarkEnd w:id="0"/>
      <w:r>
        <w:rPr>
          <w:rFonts w:ascii="Palatino Linotype" w:eastAsia="Palatino Linotype" w:hAnsi="Palatino Linotype" w:cs="Palatino Linotype"/>
          <w:b/>
          <w:color w:val="222222"/>
          <w:highlight w:val="white"/>
        </w:rPr>
        <w:t xml:space="preserve">NIDAD. </w:t>
      </w:r>
      <w:r>
        <w:rPr>
          <w:rFonts w:ascii="Palatino Linotype" w:eastAsia="Palatino Linotype" w:hAnsi="Palatino Linotype" w:cs="Palatino Linotype"/>
          <w:color w:val="222222"/>
          <w:highlight w:val="white"/>
        </w:rPr>
        <w:t>El recurso de revisión fue interpuesto dentro del pla</w:t>
      </w:r>
      <w:r>
        <w:rPr>
          <w:rFonts w:ascii="Palatino Linotype" w:eastAsia="Palatino Linotype" w:hAnsi="Palatino Linotype" w:cs="Palatino Linotype"/>
          <w:color w:val="222222"/>
          <w:highlight w:val="white"/>
        </w:rPr>
        <w:t>zo de quince días hábiles contados a partir del día siguiente a la fecha de notificación de la respuesta impugnada, tal y como lo prevé el artículo 128 de la Ley de Protección de Datos Personales en Posesión de Sujetos Obligados del Estado de México y Muni</w:t>
      </w:r>
      <w:r>
        <w:rPr>
          <w:rFonts w:ascii="Palatino Linotype" w:eastAsia="Palatino Linotype" w:hAnsi="Palatino Linotype" w:cs="Palatino Linotype"/>
          <w:color w:val="222222"/>
          <w:highlight w:val="white"/>
        </w:rPr>
        <w:t>cipios, que establece:</w:t>
      </w:r>
    </w:p>
    <w:p w:rsidR="00A31ADC" w:rsidRDefault="0099078C">
      <w:pPr>
        <w:ind w:left="709" w:right="1134"/>
        <w:jc w:val="both"/>
        <w:rPr>
          <w:rFonts w:ascii="Palatino Linotype" w:eastAsia="Palatino Linotype" w:hAnsi="Palatino Linotype" w:cs="Palatino Linotype"/>
          <w:i/>
          <w:color w:val="222222"/>
          <w:sz w:val="22"/>
          <w:szCs w:val="22"/>
          <w:highlight w:val="white"/>
        </w:rPr>
      </w:pPr>
      <w:r>
        <w:rPr>
          <w:rFonts w:ascii="Palatino Linotype" w:eastAsia="Palatino Linotype" w:hAnsi="Palatino Linotype" w:cs="Palatino Linotype"/>
          <w:i/>
          <w:color w:val="222222"/>
          <w:sz w:val="22"/>
          <w:szCs w:val="22"/>
          <w:highlight w:val="white"/>
        </w:rPr>
        <w:lastRenderedPageBreak/>
        <w:t>“</w:t>
      </w:r>
      <w:r>
        <w:rPr>
          <w:rFonts w:ascii="Palatino Linotype" w:eastAsia="Palatino Linotype" w:hAnsi="Palatino Linotype" w:cs="Palatino Linotype"/>
          <w:b/>
          <w:i/>
          <w:color w:val="222222"/>
          <w:sz w:val="22"/>
          <w:szCs w:val="22"/>
          <w:highlight w:val="white"/>
        </w:rPr>
        <w:t>Artículo 128.</w:t>
      </w:r>
      <w:r>
        <w:rPr>
          <w:rFonts w:ascii="Palatino Linotype" w:eastAsia="Palatino Linotype" w:hAnsi="Palatino Linotype" w:cs="Palatino Linotype"/>
          <w:i/>
          <w:color w:val="222222"/>
          <w:sz w:val="22"/>
          <w:szCs w:val="22"/>
          <w:highlight w:val="white"/>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w:t>
      </w:r>
      <w:r>
        <w:rPr>
          <w:rFonts w:ascii="Palatino Linotype" w:eastAsia="Palatino Linotype" w:hAnsi="Palatino Linotype" w:cs="Palatino Linotype"/>
          <w:i/>
          <w:color w:val="222222"/>
          <w:sz w:val="22"/>
          <w:szCs w:val="22"/>
          <w:highlight w:val="white"/>
        </w:rPr>
        <w:t xml:space="preserve">ue </w:t>
      </w:r>
      <w:r>
        <w:rPr>
          <w:rFonts w:ascii="Palatino Linotype" w:eastAsia="Palatino Linotype" w:hAnsi="Palatino Linotype" w:cs="Palatino Linotype"/>
          <w:b/>
          <w:i/>
          <w:color w:val="222222"/>
          <w:sz w:val="22"/>
          <w:szCs w:val="22"/>
          <w:highlight w:val="white"/>
        </w:rPr>
        <w:t>no podrá exceder de quince días contados a partir del siguiente a la fecha de la notificación de la respuesta</w:t>
      </w:r>
      <w:r>
        <w:rPr>
          <w:rFonts w:ascii="Palatino Linotype" w:eastAsia="Palatino Linotype" w:hAnsi="Palatino Linotype" w:cs="Palatino Linotype"/>
          <w:i/>
          <w:color w:val="222222"/>
          <w:sz w:val="22"/>
          <w:szCs w:val="22"/>
          <w:highlight w:val="white"/>
        </w:rPr>
        <w:t xml:space="preserve">. </w:t>
      </w:r>
    </w:p>
    <w:p w:rsidR="00A31ADC" w:rsidRDefault="0099078C">
      <w:pPr>
        <w:ind w:left="709" w:right="1134"/>
        <w:jc w:val="both"/>
        <w:rPr>
          <w:rFonts w:ascii="Palatino Linotype" w:eastAsia="Palatino Linotype" w:hAnsi="Palatino Linotype" w:cs="Palatino Linotype"/>
          <w:i/>
          <w:color w:val="222222"/>
          <w:sz w:val="22"/>
          <w:szCs w:val="22"/>
          <w:highlight w:val="white"/>
        </w:rPr>
      </w:pPr>
      <w:r>
        <w:rPr>
          <w:rFonts w:ascii="Palatino Linotype" w:eastAsia="Palatino Linotype" w:hAnsi="Palatino Linotype" w:cs="Palatino Linotype"/>
          <w:i/>
          <w:color w:val="222222"/>
          <w:sz w:val="22"/>
          <w:szCs w:val="22"/>
          <w:highlight w:val="white"/>
        </w:rPr>
        <w:t>Transcurrido el plazo previsto para dar respuesta a una solicitud para el ejercicio de los derechos ARCO sin que se haya emitido ésta, el tit</w:t>
      </w:r>
      <w:r>
        <w:rPr>
          <w:rFonts w:ascii="Palatino Linotype" w:eastAsia="Palatino Linotype" w:hAnsi="Palatino Linotype" w:cs="Palatino Linotype"/>
          <w:i/>
          <w:color w:val="222222"/>
          <w:sz w:val="22"/>
          <w:szCs w:val="22"/>
          <w:highlight w:val="white"/>
        </w:rPr>
        <w:t>ular o en su caso, su representante podrán interponer el recurso de revisión dentro de los quince días siguientes al que haya vencido el plazo para dar respuesta.” (Sic)</w:t>
      </w:r>
    </w:p>
    <w:p w:rsidR="00A31ADC" w:rsidRDefault="00A31ADC">
      <w:pPr>
        <w:ind w:left="709" w:right="1134"/>
        <w:jc w:val="both"/>
        <w:rPr>
          <w:rFonts w:ascii="Palatino Linotype" w:eastAsia="Palatino Linotype" w:hAnsi="Palatino Linotype" w:cs="Palatino Linotype"/>
          <w:i/>
          <w:color w:val="222222"/>
          <w:highlight w:val="white"/>
        </w:rPr>
      </w:pP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En esa tesitura, atendiendo a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color w:val="222222"/>
          <w:highlight w:val="white"/>
        </w:rPr>
        <w:t xml:space="preserve"> notificó la respuesta a la solic</w:t>
      </w:r>
      <w:r>
        <w:rPr>
          <w:rFonts w:ascii="Palatino Linotype" w:eastAsia="Palatino Linotype" w:hAnsi="Palatino Linotype" w:cs="Palatino Linotype"/>
          <w:color w:val="222222"/>
          <w:highlight w:val="white"/>
        </w:rPr>
        <w:t xml:space="preserve">itud de acceso a datos personales el día </w:t>
      </w:r>
      <w:r>
        <w:rPr>
          <w:rFonts w:ascii="Palatino Linotype" w:eastAsia="Palatino Linotype" w:hAnsi="Palatino Linotype" w:cs="Palatino Linotype"/>
          <w:b/>
          <w:color w:val="222222"/>
          <w:highlight w:val="white"/>
        </w:rPr>
        <w:t>veinticinco de noviembre de dos mil veintiuno</w:t>
      </w:r>
      <w:r>
        <w:rPr>
          <w:rFonts w:ascii="Palatino Linotype" w:eastAsia="Palatino Linotype" w:hAnsi="Palatino Linotype" w:cs="Palatino Linotype"/>
          <w:color w:val="222222"/>
          <w:highlight w:val="white"/>
        </w:rPr>
        <w:t xml:space="preserve">; así, el plazo de </w:t>
      </w:r>
      <w:r>
        <w:rPr>
          <w:rFonts w:ascii="Palatino Linotype" w:eastAsia="Palatino Linotype" w:hAnsi="Palatino Linotype" w:cs="Palatino Linotype"/>
          <w:color w:val="000000"/>
        </w:rPr>
        <w:t xml:space="preserve">quince días hábiles que el artículo 128 de </w:t>
      </w:r>
      <w:r>
        <w:rPr>
          <w:rFonts w:ascii="Palatino Linotype" w:eastAsia="Palatino Linotype" w:hAnsi="Palatino Linotype" w:cs="Palatino Linotype"/>
          <w:color w:val="222222"/>
          <w:highlight w:val="white"/>
        </w:rPr>
        <w:t xml:space="preserve">la Ley de Protección de Datos Personales en Posesión de Sujetos Obligados del Estado de México y Municipios </w:t>
      </w:r>
      <w:r>
        <w:rPr>
          <w:rFonts w:ascii="Palatino Linotype" w:eastAsia="Palatino Linotype" w:hAnsi="Palatino Linotype" w:cs="Palatino Linotype"/>
          <w:color w:val="222222"/>
          <w:highlight w:val="white"/>
        </w:rPr>
        <w:t xml:space="preserve">otorgó al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para presentar el recurso de revisión, transcurrió del </w:t>
      </w:r>
      <w:r>
        <w:rPr>
          <w:rFonts w:ascii="Palatino Linotype" w:eastAsia="Palatino Linotype" w:hAnsi="Palatino Linotype" w:cs="Palatino Linotype"/>
          <w:color w:val="000000"/>
        </w:rPr>
        <w:t>veintiséis de noviembre al de dieciséis de diciembre dos mil veintiuno,</w:t>
      </w:r>
      <w:r>
        <w:rPr>
          <w:rFonts w:ascii="Palatino Linotype" w:eastAsia="Palatino Linotype" w:hAnsi="Palatino Linotype" w:cs="Palatino Linotype"/>
          <w:color w:val="222222"/>
        </w:rPr>
        <w:t xml:space="preserve"> ejerciéndolo </w:t>
      </w:r>
      <w:r>
        <w:rPr>
          <w:rFonts w:ascii="Palatino Linotype" w:eastAsia="Palatino Linotype" w:hAnsi="Palatino Linotype" w:cs="Palatino Linotype"/>
          <w:color w:val="222222"/>
          <w:highlight w:val="white"/>
        </w:rPr>
        <w:t>al segundo día hábil, en términos de los artículos 4 fracción XV de la Ley de Protección de Dat</w:t>
      </w:r>
      <w:r>
        <w:rPr>
          <w:rFonts w:ascii="Palatino Linotype" w:eastAsia="Palatino Linotype" w:hAnsi="Palatino Linotype" w:cs="Palatino Linotype"/>
          <w:color w:val="222222"/>
          <w:highlight w:val="white"/>
        </w:rPr>
        <w:t>os Personales en Posesión de Sujetos Obligados del Estado de México y Municipios y 3 fracción X de la Ley de Transparencia y Acceso a la Información Pública del Estado de México y Municipios, de aplicación supletoria.</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En ese tenor, si el recurso de revisión que nos ocupa, se interpuso el día </w:t>
      </w:r>
      <w:r>
        <w:rPr>
          <w:rFonts w:ascii="Palatino Linotype" w:eastAsia="Palatino Linotype" w:hAnsi="Palatino Linotype" w:cs="Palatino Linotype"/>
          <w:b/>
          <w:color w:val="222222"/>
          <w:highlight w:val="white"/>
        </w:rPr>
        <w:t>veintinueve de noviembre de dos mil veintiuno</w:t>
      </w:r>
      <w:r>
        <w:rPr>
          <w:rFonts w:ascii="Palatino Linotype" w:eastAsia="Palatino Linotype" w:hAnsi="Palatino Linotype" w:cs="Palatino Linotype"/>
          <w:color w:val="222222"/>
          <w:highlight w:val="white"/>
        </w:rPr>
        <w:t>, éste se encuentra dentro de los márgenes temporales previstos en el artículo 128 de la Ley de Protección de Datos Personales en Posesi</w:t>
      </w:r>
      <w:r>
        <w:rPr>
          <w:rFonts w:ascii="Palatino Linotype" w:eastAsia="Palatino Linotype" w:hAnsi="Palatino Linotype" w:cs="Palatino Linotype"/>
          <w:color w:val="222222"/>
          <w:highlight w:val="white"/>
        </w:rPr>
        <w:t>ón de Sujetos Obligados del Estado de México y Municipios y, por tanto, su interposición se considera oportuna.</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lastRenderedPageBreak/>
        <w:t>CUARTO. PROCEDIBILIDAD.</w:t>
      </w:r>
      <w:r>
        <w:rPr>
          <w:rFonts w:ascii="Palatino Linotype" w:eastAsia="Palatino Linotype" w:hAnsi="Palatino Linotype" w:cs="Palatino Linotype"/>
          <w:color w:val="222222"/>
          <w:highlight w:val="white"/>
        </w:rPr>
        <w:t xml:space="preserve">  Del análisis efectuado, se advierte que resulta procedente la interposición del recurso y se concluye la acreditación p</w:t>
      </w:r>
      <w:r>
        <w:rPr>
          <w:rFonts w:ascii="Palatino Linotype" w:eastAsia="Palatino Linotype" w:hAnsi="Palatino Linotype" w:cs="Palatino Linotype"/>
          <w:color w:val="222222"/>
          <w:highlight w:val="white"/>
        </w:rPr>
        <w:t>lena de todos y cada uno de los elementos formales exigidos por el artículo 130 de la de la Ley de Protección de Datos Personales en Posesión de Sujetos Obligados del Estado de México y Municipios, en atención a que fue presentado mediante el formato visib</w:t>
      </w:r>
      <w:r>
        <w:rPr>
          <w:rFonts w:ascii="Palatino Linotype" w:eastAsia="Palatino Linotype" w:hAnsi="Palatino Linotype" w:cs="Palatino Linotype"/>
          <w:color w:val="222222"/>
          <w:highlight w:val="white"/>
        </w:rPr>
        <w:t xml:space="preserve">le en </w:t>
      </w:r>
      <w:r>
        <w:rPr>
          <w:rFonts w:ascii="Palatino Linotype" w:eastAsia="Palatino Linotype" w:hAnsi="Palatino Linotype" w:cs="Palatino Linotype"/>
          <w:b/>
          <w:color w:val="222222"/>
          <w:highlight w:val="white"/>
        </w:rPr>
        <w:t>EL SARCOEM.</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 xml:space="preserve">QUINTO. DE LOS ALCANCES DEL RECURSO DE REVISIÓN.  </w:t>
      </w:r>
      <w:r>
        <w:rPr>
          <w:rFonts w:ascii="Palatino Linotype" w:eastAsia="Palatino Linotype" w:hAnsi="Palatino Linotype" w:cs="Palatino Linotype"/>
          <w:color w:val="222222"/>
          <w:highlight w:val="white"/>
        </w:rPr>
        <w:t xml:space="preserve">Es de destacarse que el recurso de revisión que nos ocupa tiene el fin y alcance que señalan los numerales 97, 100, 102, 103, 105, 106, 117, 138 y demás aplicables de la Ley de Protección </w:t>
      </w:r>
      <w:r>
        <w:rPr>
          <w:rFonts w:ascii="Palatino Linotype" w:eastAsia="Palatino Linotype" w:hAnsi="Palatino Linotype" w:cs="Palatino Linotype"/>
          <w:color w:val="222222"/>
          <w:highlight w:val="white"/>
        </w:rPr>
        <w:t>de Datos Personales en Posesión de Sujetos Obligados del Estado de México y Municipios vigente, y será analizado conforme a las actuaciones que obren en el expediente electrónico con la finalidad de reparar cualquier posible afectación a los derechos de ac</w:t>
      </w:r>
      <w:r>
        <w:rPr>
          <w:rFonts w:ascii="Palatino Linotype" w:eastAsia="Palatino Linotype" w:hAnsi="Palatino Linotype" w:cs="Palatino Linotype"/>
          <w:color w:val="222222"/>
          <w:highlight w:val="white"/>
        </w:rPr>
        <w:t>ceso, rectificación, cancelación y oposición al tratamiento de los datos personales y garantizando los principios de calidad, consentimiento, finalidad, información, lealtad, licitud, proporcionalidad y responsabilidad.</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SEXTO. DEL ESTUDIO DE LAS CAUSALES D</w:t>
      </w:r>
      <w:r>
        <w:rPr>
          <w:rFonts w:ascii="Palatino Linotype" w:eastAsia="Palatino Linotype" w:hAnsi="Palatino Linotype" w:cs="Palatino Linotype"/>
          <w:b/>
          <w:color w:val="222222"/>
          <w:highlight w:val="white"/>
        </w:rPr>
        <w:t>E IMPROCEDENCIA.</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rPr>
        <w:t xml:space="preserve">En el presente caso, no se actualiza ninguna de las causales de improcedencia establecidas por el artículo 138 de la Ley de Protección de Datos Personales en Posesión de Sujetos Obligados del Estado de México y Municipios, toda vez que el </w:t>
      </w:r>
      <w:r>
        <w:rPr>
          <w:rFonts w:ascii="Palatino Linotype" w:eastAsia="Palatino Linotype" w:hAnsi="Palatino Linotype" w:cs="Palatino Linotype"/>
        </w:rPr>
        <w:t xml:space="preserve">Recurso de Revisión fue interpuesto en tiempo; el solicitante acreditó su identidad para efectos de la solicitud así como de la interposición del Recurso de Revisión; este Instituto no tiene conocimiento de haber resuelto en definitiva sobre </w:t>
      </w:r>
      <w:r>
        <w:rPr>
          <w:rFonts w:ascii="Palatino Linotype" w:eastAsia="Palatino Linotype" w:hAnsi="Palatino Linotype" w:cs="Palatino Linotype"/>
        </w:rPr>
        <w:lastRenderedPageBreak/>
        <w:t>la materia del</w:t>
      </w:r>
      <w:r>
        <w:rPr>
          <w:rFonts w:ascii="Palatino Linotype" w:eastAsia="Palatino Linotype" w:hAnsi="Palatino Linotype" w:cs="Palatino Linotype"/>
        </w:rPr>
        <w:t xml:space="preserve"> medio de impugnación que nos ocupa; se actualiza la causal de procedencia prevista por el artículo 129, fracción VI de la Ley en cita; no se tiene conocimiento que ante Tribunales competentes se esté tramitando algún recurso o medio de defensa en contra d</w:t>
      </w:r>
      <w:r>
        <w:rPr>
          <w:rFonts w:ascii="Palatino Linotype" w:eastAsia="Palatino Linotype" w:hAnsi="Palatino Linotype" w:cs="Palatino Linotype"/>
        </w:rPr>
        <w:t xml:space="preserve">el acto recurrido ante este Instituto; el Particular no modificó ni amplió su solicitud de oposición a datos personales y; finalmente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acreditó el interés jurídico para efectos de interponer el medio de impugnación que nos ocupa.</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Por lo anteri</w:t>
      </w:r>
      <w:r>
        <w:rPr>
          <w:rFonts w:ascii="Palatino Linotype" w:eastAsia="Palatino Linotype" w:hAnsi="Palatino Linotype" w:cs="Palatino Linotype"/>
          <w:color w:val="222222"/>
          <w:highlight w:val="white"/>
        </w:rPr>
        <w:t xml:space="preserve">or, es necesario fijar la materia del presente asunto, misma que se constituye con aquellos aspectos de la respuesta que causaron una lesión al ejercicio del derecho de oposición a datos personales del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y que fueron señalados en el Recurso de Rev</w:t>
      </w:r>
      <w:r>
        <w:rPr>
          <w:rFonts w:ascii="Palatino Linotype" w:eastAsia="Palatino Linotype" w:hAnsi="Palatino Linotype" w:cs="Palatino Linotype"/>
          <w:color w:val="222222"/>
          <w:highlight w:val="white"/>
        </w:rPr>
        <w:t xml:space="preserve">isión. </w:t>
      </w:r>
    </w:p>
    <w:p w:rsidR="00A31ADC" w:rsidRDefault="0099078C">
      <w:pPr>
        <w:pBdr>
          <w:top w:val="nil"/>
          <w:left w:val="nil"/>
          <w:bottom w:val="nil"/>
          <w:right w:val="nil"/>
          <w:between w:val="nil"/>
        </w:pBdr>
        <w:spacing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SÉPTIMO.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222222"/>
          <w:highlight w:val="white"/>
        </w:rPr>
        <w:t>ANÁLISIS DE LAS CAUSALES DE SOBRESEIMIENTO.</w:t>
      </w:r>
      <w:r>
        <w:rPr>
          <w:rFonts w:ascii="Palatino Linotype" w:eastAsia="Palatino Linotype" w:hAnsi="Palatino Linotype" w:cs="Palatino Linotype"/>
          <w:color w:val="222222"/>
          <w:highlight w:val="white"/>
        </w:rPr>
        <w:t xml:space="preserve">  De los autos que corren agregados al expediente en el que se actúa, no fue posible advertir que se actualizarán causales de sobreseimiento previstas en el artículo 139 fracciones I, II, III y V </w:t>
      </w:r>
      <w:r>
        <w:rPr>
          <w:rFonts w:ascii="Palatino Linotype" w:eastAsia="Palatino Linotype" w:hAnsi="Palatino Linotype" w:cs="Palatino Linotype"/>
          <w:color w:val="222222"/>
          <w:highlight w:val="white"/>
        </w:rPr>
        <w:t xml:space="preserve">de la Ley de Protección de Datos Personales en Posesión de Sujetos Obligados del Estado de México y Municipios; toda vez que no obra constancia de que el solicitante se hubiera desistido del recurso, que hubiera fallecido, que hubiera aparecido una causal </w:t>
      </w:r>
      <w:r>
        <w:rPr>
          <w:rFonts w:ascii="Palatino Linotype" w:eastAsia="Palatino Linotype" w:hAnsi="Palatino Linotype" w:cs="Palatino Linotype"/>
          <w:color w:val="222222"/>
          <w:highlight w:val="white"/>
        </w:rPr>
        <w:t>de improcedencia durante el trámite del presente recurso, que el Sujeto Obligado hubiera modificado su respuesta y con ello dejado sin materia el recurso de revisión, o bien que el recurso de revisión hubiera quedado sin materia por algún motivo. Consecuen</w:t>
      </w:r>
      <w:r>
        <w:rPr>
          <w:rFonts w:ascii="Palatino Linotype" w:eastAsia="Palatino Linotype" w:hAnsi="Palatino Linotype" w:cs="Palatino Linotype"/>
          <w:color w:val="222222"/>
          <w:highlight w:val="white"/>
        </w:rPr>
        <w:t xml:space="preserve">temente al no existir motivo de improcedencia y/o sobreseimiento en el presente asunto, lo conducente es entrar al análisis de fondo de la controversia. Para ello, en el Considerando </w:t>
      </w:r>
      <w:r>
        <w:rPr>
          <w:rFonts w:ascii="Palatino Linotype" w:eastAsia="Palatino Linotype" w:hAnsi="Palatino Linotype" w:cs="Palatino Linotype"/>
          <w:color w:val="222222"/>
          <w:highlight w:val="white"/>
        </w:rPr>
        <w:lastRenderedPageBreak/>
        <w:t>siguiente se realizará la relatoría de las actuaciones efectuadas por las</w:t>
      </w:r>
      <w:r>
        <w:rPr>
          <w:rFonts w:ascii="Palatino Linotype" w:eastAsia="Palatino Linotype" w:hAnsi="Palatino Linotype" w:cs="Palatino Linotype"/>
          <w:color w:val="222222"/>
          <w:highlight w:val="white"/>
        </w:rPr>
        <w:t xml:space="preserve"> partes</w:t>
      </w:r>
      <w:r>
        <w:t xml:space="preserve"> </w:t>
      </w:r>
      <w:r>
        <w:rPr>
          <w:rFonts w:ascii="Palatino Linotype" w:eastAsia="Palatino Linotype" w:hAnsi="Palatino Linotype" w:cs="Palatino Linotype"/>
          <w:color w:val="222222"/>
          <w:highlight w:val="white"/>
        </w:rPr>
        <w:t xml:space="preserve">durante el procedimiento de Acceso a Datos Personales y a Información Pública, con la finalidad de determinar claramente la cuestión a resolver. </w:t>
      </w:r>
    </w:p>
    <w:p w:rsidR="00A31ADC" w:rsidRDefault="0099078C">
      <w:pPr>
        <w:pBdr>
          <w:top w:val="nil"/>
          <w:left w:val="nil"/>
          <w:bottom w:val="nil"/>
          <w:right w:val="nil"/>
          <w:between w:val="nil"/>
        </w:pBdr>
        <w:spacing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 xml:space="preserve">OCTAVO. ESTUDIO DE FONDO. </w:t>
      </w:r>
      <w:r>
        <w:rPr>
          <w:rFonts w:ascii="Palatino Linotype" w:eastAsia="Palatino Linotype" w:hAnsi="Palatino Linotype" w:cs="Palatino Linotype"/>
          <w:color w:val="222222"/>
          <w:highlight w:val="white"/>
        </w:rPr>
        <w:t>Del análisis de la solicitud de acceso a datos que motivó el recurso de revi</w:t>
      </w:r>
      <w:r>
        <w:rPr>
          <w:rFonts w:ascii="Palatino Linotype" w:eastAsia="Palatino Linotype" w:hAnsi="Palatino Linotype" w:cs="Palatino Linotype"/>
          <w:color w:val="222222"/>
          <w:highlight w:val="white"/>
        </w:rPr>
        <w:t xml:space="preserve">sión que ahora se resuelve, se advierte que el </w:t>
      </w:r>
      <w:r>
        <w:rPr>
          <w:rFonts w:ascii="Palatino Linotype" w:eastAsia="Palatino Linotype" w:hAnsi="Palatino Linotype" w:cs="Palatino Linotype"/>
          <w:b/>
          <w:color w:val="222222"/>
          <w:highlight w:val="white"/>
        </w:rPr>
        <w:t xml:space="preserve">RECURRENTE </w:t>
      </w:r>
      <w:r>
        <w:rPr>
          <w:rFonts w:ascii="Palatino Linotype" w:eastAsia="Palatino Linotype" w:hAnsi="Palatino Linotype" w:cs="Palatino Linotype"/>
          <w:color w:val="222222"/>
          <w:highlight w:val="white"/>
        </w:rPr>
        <w:t xml:space="preserve">requirió al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xml:space="preserve"> lo siguiente:</w:t>
      </w:r>
    </w:p>
    <w:p w:rsidR="00A31ADC" w:rsidRDefault="0099078C">
      <w:pPr>
        <w:spacing w:before="240" w:after="240" w:line="276" w:lineRule="auto"/>
        <w:ind w:left="540" w:right="726"/>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b/>
          <w:color w:val="222222"/>
          <w:highlight w:val="white"/>
        </w:rPr>
        <w:t>“</w:t>
      </w:r>
      <w:r>
        <w:rPr>
          <w:rFonts w:ascii="Palatino Linotype" w:eastAsia="Palatino Linotype" w:hAnsi="Palatino Linotype" w:cs="Palatino Linotype"/>
          <w:i/>
          <w:color w:val="222222"/>
          <w:highlight w:val="white"/>
        </w:rPr>
        <w:t xml:space="preserve">Por medio de este medio solicito de la manera </w:t>
      </w:r>
      <w:proofErr w:type="spellStart"/>
      <w:r>
        <w:rPr>
          <w:rFonts w:ascii="Palatino Linotype" w:eastAsia="Palatino Linotype" w:hAnsi="Palatino Linotype" w:cs="Palatino Linotype"/>
          <w:i/>
          <w:color w:val="222222"/>
          <w:highlight w:val="white"/>
        </w:rPr>
        <w:t>mas</w:t>
      </w:r>
      <w:proofErr w:type="spellEnd"/>
      <w:r>
        <w:rPr>
          <w:rFonts w:ascii="Palatino Linotype" w:eastAsia="Palatino Linotype" w:hAnsi="Palatino Linotype" w:cs="Palatino Linotype"/>
          <w:i/>
          <w:color w:val="222222"/>
          <w:highlight w:val="white"/>
        </w:rPr>
        <w:t xml:space="preserve"> atenta me pudieran proporcionar datos escolares relacionados con mi hija menor de edad </w:t>
      </w:r>
      <w:r w:rsidR="000C1955">
        <w:rPr>
          <w:rFonts w:ascii="Palatino Linotype" w:eastAsia="Palatino Linotype" w:hAnsi="Palatino Linotype" w:cs="Palatino Linotype"/>
          <w:b/>
          <w:sz w:val="22"/>
          <w:szCs w:val="22"/>
        </w:rPr>
        <w:t xml:space="preserve">XXXXX </w:t>
      </w:r>
      <w:proofErr w:type="spellStart"/>
      <w:r w:rsidR="000C1955">
        <w:rPr>
          <w:rFonts w:ascii="Palatino Linotype" w:eastAsia="Palatino Linotype" w:hAnsi="Palatino Linotype" w:cs="Palatino Linotype"/>
          <w:b/>
          <w:sz w:val="22"/>
          <w:szCs w:val="22"/>
        </w:rPr>
        <w:t>XXXXX</w:t>
      </w:r>
      <w:proofErr w:type="spellEnd"/>
      <w:r w:rsidR="000C1955">
        <w:rPr>
          <w:rFonts w:ascii="Palatino Linotype" w:eastAsia="Palatino Linotype" w:hAnsi="Palatino Linotype" w:cs="Palatino Linotype"/>
          <w:b/>
          <w:sz w:val="22"/>
          <w:szCs w:val="22"/>
        </w:rPr>
        <w:t xml:space="preserve"> XXXXXX</w:t>
      </w:r>
      <w:r>
        <w:rPr>
          <w:rFonts w:ascii="Palatino Linotype" w:eastAsia="Palatino Linotype" w:hAnsi="Palatino Linotype" w:cs="Palatino Linotype"/>
          <w:i/>
          <w:color w:val="222222"/>
          <w:highlight w:val="white"/>
        </w:rPr>
        <w:t xml:space="preserve">, la información solicitada consiste en lo siguiente: </w:t>
      </w:r>
      <w:r>
        <w:rPr>
          <w:rFonts w:ascii="Palatino Linotype" w:eastAsia="Palatino Linotype" w:hAnsi="Palatino Linotype" w:cs="Palatino Linotype"/>
          <w:b/>
          <w:i/>
          <w:color w:val="222222"/>
          <w:highlight w:val="white"/>
        </w:rPr>
        <w:t xml:space="preserve">1.- Escuela primaria donde se encuentra inscrita actualmente, 2.- Clave de trabajo </w:t>
      </w:r>
      <w:proofErr w:type="spellStart"/>
      <w:r>
        <w:rPr>
          <w:rFonts w:ascii="Palatino Linotype" w:eastAsia="Palatino Linotype" w:hAnsi="Palatino Linotype" w:cs="Palatino Linotype"/>
          <w:b/>
          <w:i/>
          <w:color w:val="222222"/>
          <w:highlight w:val="white"/>
        </w:rPr>
        <w:t>cct</w:t>
      </w:r>
      <w:proofErr w:type="spellEnd"/>
      <w:r>
        <w:rPr>
          <w:rFonts w:ascii="Palatino Linotype" w:eastAsia="Palatino Linotype" w:hAnsi="Palatino Linotype" w:cs="Palatino Linotype"/>
          <w:b/>
          <w:i/>
          <w:color w:val="222222"/>
          <w:highlight w:val="white"/>
        </w:rPr>
        <w:t xml:space="preserve"> de la escuela, 3.- Historial académico hasta la fecha actual</w:t>
      </w:r>
      <w:r>
        <w:rPr>
          <w:rFonts w:ascii="Palatino Linotype" w:eastAsia="Palatino Linotype" w:hAnsi="Palatino Linotype" w:cs="Palatino Linotype"/>
          <w:i/>
          <w:color w:val="222222"/>
          <w:highlight w:val="white"/>
        </w:rPr>
        <w:t xml:space="preserve">. Derivado de que mi hija es menor de edad es por ello por lo que solicito esta información. Adicional a lo anterior anexo mi INE en formato </w:t>
      </w:r>
      <w:proofErr w:type="spellStart"/>
      <w:r>
        <w:rPr>
          <w:rFonts w:ascii="Palatino Linotype" w:eastAsia="Palatino Linotype" w:hAnsi="Palatino Linotype" w:cs="Palatino Linotype"/>
          <w:i/>
          <w:color w:val="222222"/>
          <w:highlight w:val="white"/>
        </w:rPr>
        <w:t>pdf</w:t>
      </w:r>
      <w:proofErr w:type="spellEnd"/>
      <w:r>
        <w:rPr>
          <w:rFonts w:ascii="Palatino Linotype" w:eastAsia="Palatino Linotype" w:hAnsi="Palatino Linotype" w:cs="Palatino Linotype"/>
          <w:i/>
          <w:color w:val="222222"/>
          <w:highlight w:val="white"/>
        </w:rPr>
        <w:t xml:space="preserve"> como comprobante e identificación oficial y que soy el padre de mi hija menor de edad adicionalmente proporcion</w:t>
      </w:r>
      <w:r>
        <w:rPr>
          <w:rFonts w:ascii="Palatino Linotype" w:eastAsia="Palatino Linotype" w:hAnsi="Palatino Linotype" w:cs="Palatino Linotype"/>
          <w:i/>
          <w:color w:val="222222"/>
          <w:highlight w:val="white"/>
        </w:rPr>
        <w:t xml:space="preserve">o acta de nacimiento de mi hija menor. Los datos </w:t>
      </w:r>
      <w:proofErr w:type="spellStart"/>
      <w:r>
        <w:rPr>
          <w:rFonts w:ascii="Palatino Linotype" w:eastAsia="Palatino Linotype" w:hAnsi="Palatino Linotype" w:cs="Palatino Linotype"/>
          <w:i/>
          <w:color w:val="222222"/>
          <w:highlight w:val="white"/>
        </w:rPr>
        <w:t>socilitados</w:t>
      </w:r>
      <w:proofErr w:type="spellEnd"/>
      <w:r>
        <w:rPr>
          <w:rFonts w:ascii="Palatino Linotype" w:eastAsia="Palatino Linotype" w:hAnsi="Palatino Linotype" w:cs="Palatino Linotype"/>
          <w:i/>
          <w:color w:val="222222"/>
          <w:highlight w:val="white"/>
        </w:rPr>
        <w:t xml:space="preserve"> son para </w:t>
      </w:r>
      <w:proofErr w:type="spellStart"/>
      <w:r>
        <w:rPr>
          <w:rFonts w:ascii="Palatino Linotype" w:eastAsia="Palatino Linotype" w:hAnsi="Palatino Linotype" w:cs="Palatino Linotype"/>
          <w:i/>
          <w:color w:val="222222"/>
          <w:highlight w:val="white"/>
        </w:rPr>
        <w:t>solicyar</w:t>
      </w:r>
      <w:proofErr w:type="spellEnd"/>
      <w:r>
        <w:rPr>
          <w:rFonts w:ascii="Palatino Linotype" w:eastAsia="Palatino Linotype" w:hAnsi="Palatino Linotype" w:cs="Palatino Linotype"/>
          <w:i/>
          <w:color w:val="222222"/>
          <w:highlight w:val="white"/>
        </w:rPr>
        <w:t xml:space="preserve"> una patria potestad y determinar guardia y custodia</w:t>
      </w:r>
      <w:r>
        <w:rPr>
          <w:rFonts w:ascii="Palatino Linotype" w:eastAsia="Palatino Linotype" w:hAnsi="Palatino Linotype" w:cs="Palatino Linotype"/>
          <w:i/>
          <w:color w:val="222222"/>
        </w:rPr>
        <w:t xml:space="preserve">.” </w:t>
      </w:r>
      <w:r>
        <w:rPr>
          <w:rFonts w:ascii="Palatino Linotype" w:eastAsia="Palatino Linotype" w:hAnsi="Palatino Linotype" w:cs="Palatino Linotype"/>
          <w:i/>
          <w:color w:val="222222"/>
          <w:highlight w:val="white"/>
        </w:rPr>
        <w:t xml:space="preserve"> (Sic)</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De las constancias que obran en el expediente electrónico del SARCOEM se advierte que </w:t>
      </w:r>
      <w:r>
        <w:rPr>
          <w:rFonts w:ascii="Palatino Linotype" w:eastAsia="Palatino Linotype" w:hAnsi="Palatino Linotype" w:cs="Palatino Linotype"/>
          <w:b/>
          <w:color w:val="222222"/>
          <w:highlight w:val="white"/>
        </w:rPr>
        <w:t>EL  RESPONSABLE</w:t>
      </w:r>
      <w:r>
        <w:rPr>
          <w:rFonts w:ascii="Palatino Linotype" w:eastAsia="Palatino Linotype" w:hAnsi="Palatino Linotype" w:cs="Palatino Linotype"/>
          <w:color w:val="222222"/>
          <w:highlight w:val="white"/>
        </w:rPr>
        <w:t xml:space="preserve">, da respuesta </w:t>
      </w:r>
      <w:r>
        <w:rPr>
          <w:rFonts w:ascii="Palatino Linotype" w:eastAsia="Palatino Linotype" w:hAnsi="Palatino Linotype" w:cs="Palatino Linotype"/>
          <w:color w:val="222222"/>
          <w:highlight w:val="white"/>
        </w:rPr>
        <w:t>de siguiente forma:</w:t>
      </w:r>
    </w:p>
    <w:p w:rsidR="00A31ADC" w:rsidRDefault="0099078C">
      <w:pPr>
        <w:spacing w:line="276" w:lineRule="auto"/>
        <w:ind w:left="1080" w:right="726"/>
        <w:jc w:val="both"/>
        <w:rPr>
          <w:rFonts w:ascii="Palatino Linotype" w:eastAsia="Palatino Linotype" w:hAnsi="Palatino Linotype" w:cs="Palatino Linotype"/>
          <w:i/>
        </w:rPr>
      </w:pPr>
      <w:r>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Transparencia y Acceso a la Información Pública del Estado de México y Municipios, </w:t>
      </w:r>
      <w:r>
        <w:rPr>
          <w:rFonts w:ascii="Palatino Linotype" w:eastAsia="Palatino Linotype" w:hAnsi="Palatino Linotype" w:cs="Palatino Linotype"/>
          <w:i/>
        </w:rPr>
        <w:t>le contestamos que:</w:t>
      </w:r>
    </w:p>
    <w:p w:rsidR="00A31ADC" w:rsidRDefault="0099078C">
      <w:pPr>
        <w:spacing w:line="276" w:lineRule="auto"/>
        <w:ind w:left="1080" w:right="726"/>
        <w:jc w:val="both"/>
        <w:rPr>
          <w:rFonts w:ascii="Palatino Linotype" w:eastAsia="Palatino Linotype" w:hAnsi="Palatino Linotype" w:cs="Palatino Linotype"/>
          <w:i/>
        </w:rPr>
      </w:pPr>
      <w:r>
        <w:rPr>
          <w:rFonts w:ascii="Palatino Linotype" w:eastAsia="Palatino Linotype" w:hAnsi="Palatino Linotype" w:cs="Palatino Linotype"/>
          <w:i/>
        </w:rPr>
        <w:t xml:space="preserve">Se adjunta oficio de respuesta firmado por la Titular de la unidad dando atención a su </w:t>
      </w:r>
      <w:proofErr w:type="gramStart"/>
      <w:r>
        <w:rPr>
          <w:rFonts w:ascii="Palatino Linotype" w:eastAsia="Palatino Linotype" w:hAnsi="Palatino Linotype" w:cs="Palatino Linotype"/>
          <w:i/>
        </w:rPr>
        <w:t>solicitud .”</w:t>
      </w:r>
      <w:proofErr w:type="gramEnd"/>
      <w:r>
        <w:rPr>
          <w:rFonts w:ascii="Palatino Linotype" w:eastAsia="Palatino Linotype" w:hAnsi="Palatino Linotype" w:cs="Palatino Linotype"/>
          <w:i/>
        </w:rPr>
        <w:t xml:space="preserve"> (Sic)</w:t>
      </w:r>
    </w:p>
    <w:p w:rsidR="00A31ADC" w:rsidRDefault="00A31ADC">
      <w:pPr>
        <w:spacing w:line="276" w:lineRule="auto"/>
        <w:ind w:left="1080" w:right="726"/>
        <w:jc w:val="both"/>
        <w:rPr>
          <w:rFonts w:ascii="Palatino Linotype" w:eastAsia="Palatino Linotype" w:hAnsi="Palatino Linotype" w:cs="Palatino Linotype"/>
          <w:i/>
        </w:rPr>
      </w:pP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Remitiendo tres archivos denominados: </w:t>
      </w:r>
      <w:r>
        <w:rPr>
          <w:rFonts w:ascii="Palatino Linotype" w:eastAsia="Palatino Linotype" w:hAnsi="Palatino Linotype" w:cs="Palatino Linotype"/>
          <w:b/>
          <w:i/>
        </w:rPr>
        <w:t xml:space="preserve">oficio respuesta ad17 y </w:t>
      </w:r>
      <w:proofErr w:type="gramStart"/>
      <w:r>
        <w:rPr>
          <w:rFonts w:ascii="Palatino Linotype" w:eastAsia="Palatino Linotype" w:hAnsi="Palatino Linotype" w:cs="Palatino Linotype"/>
          <w:b/>
          <w:i/>
        </w:rPr>
        <w:t>18.pdf ,</w:t>
      </w:r>
      <w:proofErr w:type="gramEnd"/>
      <w:r>
        <w:rPr>
          <w:rFonts w:ascii="Palatino Linotype" w:eastAsia="Palatino Linotype" w:hAnsi="Palatino Linotype" w:cs="Palatino Linotype"/>
          <w:b/>
          <w:i/>
        </w:rPr>
        <w:t xml:space="preserve"> Adobe </w:t>
      </w:r>
      <w:proofErr w:type="spellStart"/>
      <w:r>
        <w:rPr>
          <w:rFonts w:ascii="Palatino Linotype" w:eastAsia="Palatino Linotype" w:hAnsi="Palatino Linotype" w:cs="Palatino Linotype"/>
          <w:b/>
          <w:i/>
        </w:rPr>
        <w:t>Scan</w:t>
      </w:r>
      <w:proofErr w:type="spellEnd"/>
      <w:r>
        <w:rPr>
          <w:rFonts w:ascii="Palatino Linotype" w:eastAsia="Palatino Linotype" w:hAnsi="Palatino Linotype" w:cs="Palatino Linotype"/>
          <w:b/>
          <w:i/>
        </w:rPr>
        <w:t xml:space="preserve"> 25 nov. 2021 (1) (1).</w:t>
      </w:r>
      <w:proofErr w:type="gramStart"/>
      <w:r>
        <w:rPr>
          <w:rFonts w:ascii="Palatino Linotype" w:eastAsia="Palatino Linotype" w:hAnsi="Palatino Linotype" w:cs="Palatino Linotype"/>
          <w:b/>
          <w:i/>
        </w:rPr>
        <w:t>pdf ,</w:t>
      </w:r>
      <w:proofErr w:type="gramEnd"/>
      <w:r>
        <w:rPr>
          <w:rFonts w:ascii="Palatino Linotype" w:eastAsia="Palatino Linotype" w:hAnsi="Palatino Linotype" w:cs="Palatino Linotype"/>
          <w:b/>
          <w:i/>
        </w:rPr>
        <w:t xml:space="preserve"> Oficio (3).pdf </w:t>
      </w:r>
      <w:r>
        <w:rPr>
          <w:rFonts w:ascii="Palatino Linotype" w:eastAsia="Palatino Linotype" w:hAnsi="Palatino Linotype" w:cs="Palatino Linotype"/>
        </w:rPr>
        <w:t>de los que se destaca la manifestación hecha por el Subdirector de Control Escolar, siguiente:</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52568" cy="1187686"/>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80116"/>
                    <a:stretch>
                      <a:fillRect/>
                    </a:stretch>
                  </pic:blipFill>
                  <pic:spPr>
                    <a:xfrm>
                      <a:off x="0" y="0"/>
                      <a:ext cx="5552568" cy="1187686"/>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0</wp:posOffset>
                </wp:positionV>
                <wp:extent cx="5505450" cy="1143000"/>
                <wp:effectExtent l="0" t="0" r="0" b="0"/>
                <wp:wrapNone/>
                <wp:docPr id="80" name="Rectángulo 80"/>
                <wp:cNvGraphicFramePr/>
                <a:graphic xmlns:a="http://schemas.openxmlformats.org/drawingml/2006/main">
                  <a:graphicData uri="http://schemas.microsoft.com/office/word/2010/wordprocessingShape">
                    <wps:wsp>
                      <wps:cNvSpPr/>
                      <wps:spPr>
                        <a:xfrm>
                          <a:off x="2612325" y="3227550"/>
                          <a:ext cx="5467350" cy="1104900"/>
                        </a:xfrm>
                        <a:prstGeom prst="rect">
                          <a:avLst/>
                        </a:prstGeom>
                        <a:noFill/>
                        <a:ln w="19050" cap="flat" cmpd="sng">
                          <a:solidFill>
                            <a:srgbClr val="FF0000"/>
                          </a:solidFill>
                          <a:prstDash val="solid"/>
                          <a:miter lim="800000"/>
                          <a:headEnd type="none" w="sm" len="sm"/>
                          <a:tailEnd type="none" w="sm" len="sm"/>
                        </a:ln>
                      </wps:spPr>
                      <wps:txbx>
                        <w:txbxContent>
                          <w:p w:rsidR="00A31ADC" w:rsidRDefault="00A31A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5505450" cy="1143000"/>
                <wp:effectExtent b="0" l="0" r="0" t="0"/>
                <wp:wrapNone/>
                <wp:docPr id="80"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505450" cy="1143000"/>
                        </a:xfrm>
                        <a:prstGeom prst="rect"/>
                        <a:ln/>
                      </pic:spPr>
                    </pic:pic>
                  </a:graphicData>
                </a:graphic>
              </wp:anchor>
            </w:drawing>
          </mc:Fallback>
        </mc:AlternateConten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Unidad de Transparencia, hace mención de lo manifestado por el Subdirector de Control Escolar, así como del Servidor Público Habilitado de la Unidad de Planeación Evaluación y Control Escolar.</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97331" cy="2171619"/>
            <wp:effectExtent l="0" t="0" r="0" b="0"/>
            <wp:docPr id="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58906"/>
                    <a:stretch>
                      <a:fillRect/>
                    </a:stretch>
                  </pic:blipFill>
                  <pic:spPr>
                    <a:xfrm>
                      <a:off x="0" y="0"/>
                      <a:ext cx="5097331" cy="2171619"/>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177800</wp:posOffset>
                </wp:positionH>
                <wp:positionV relativeFrom="paragraph">
                  <wp:posOffset>-12699</wp:posOffset>
                </wp:positionV>
                <wp:extent cx="5105400" cy="895350"/>
                <wp:effectExtent l="0" t="0" r="0" b="0"/>
                <wp:wrapNone/>
                <wp:docPr id="85" name="Rectángulo 85"/>
                <wp:cNvGraphicFramePr/>
                <a:graphic xmlns:a="http://schemas.openxmlformats.org/drawingml/2006/main">
                  <a:graphicData uri="http://schemas.microsoft.com/office/word/2010/wordprocessingShape">
                    <wps:wsp>
                      <wps:cNvSpPr/>
                      <wps:spPr>
                        <a:xfrm>
                          <a:off x="2812350" y="3351375"/>
                          <a:ext cx="5067300" cy="857250"/>
                        </a:xfrm>
                        <a:prstGeom prst="rect">
                          <a:avLst/>
                        </a:prstGeom>
                        <a:noFill/>
                        <a:ln w="19050" cap="flat" cmpd="sng">
                          <a:solidFill>
                            <a:srgbClr val="FF0000"/>
                          </a:solidFill>
                          <a:prstDash val="solid"/>
                          <a:miter lim="800000"/>
                          <a:headEnd type="none" w="sm" len="sm"/>
                          <a:tailEnd type="none" w="sm" len="sm"/>
                        </a:ln>
                      </wps:spPr>
                      <wps:txbx>
                        <w:txbxContent>
                          <w:p w:rsidR="00A31ADC" w:rsidRDefault="00A31A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-12699</wp:posOffset>
                </wp:positionV>
                <wp:extent cx="5105400" cy="895350"/>
                <wp:effectExtent b="0" l="0" r="0" t="0"/>
                <wp:wrapNone/>
                <wp:docPr id="85"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5105400" cy="895350"/>
                        </a:xfrm>
                        <a:prstGeom prst="rect"/>
                        <a:ln/>
                      </pic:spPr>
                    </pic:pic>
                  </a:graphicData>
                </a:graphic>
              </wp:anchor>
            </w:drawing>
          </mc:Fallback>
        </mc:AlternateConten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puede advertir, </w:t>
      </w:r>
      <w:r>
        <w:rPr>
          <w:rFonts w:ascii="Palatino Linotype" w:eastAsia="Palatino Linotype" w:hAnsi="Palatino Linotype" w:cs="Palatino Linotype"/>
          <w:b/>
        </w:rPr>
        <w:t>EL RESPONSABLE</w:t>
      </w:r>
      <w:r>
        <w:rPr>
          <w:rFonts w:ascii="Palatino Linotype" w:eastAsia="Palatino Linotype" w:hAnsi="Palatino Linotype" w:cs="Palatino Linotype"/>
        </w:rPr>
        <w:t xml:space="preserve">, </w:t>
      </w:r>
      <w:r>
        <w:rPr>
          <w:rFonts w:ascii="Palatino Linotype" w:eastAsia="Palatino Linotype" w:hAnsi="Palatino Linotype" w:cs="Palatino Linotype"/>
        </w:rPr>
        <w:t xml:space="preserve">indica al particular que realizó una búsqueda en los archivos que obran a la fecha en la Subdirección de Control Escolar, </w:t>
      </w:r>
      <w:r>
        <w:rPr>
          <w:rFonts w:ascii="Palatino Linotype" w:eastAsia="Palatino Linotype" w:hAnsi="Palatino Linotype" w:cs="Palatino Linotype"/>
          <w:b/>
          <w:u w:val="single"/>
        </w:rPr>
        <w:t>considerando el periodo escolar 2020-2021 y 2021-2022</w:t>
      </w:r>
      <w:r>
        <w:rPr>
          <w:rFonts w:ascii="Palatino Linotype" w:eastAsia="Palatino Linotype" w:hAnsi="Palatino Linotype" w:cs="Palatino Linotype"/>
        </w:rPr>
        <w:t xml:space="preserve">, en los tres niveles de educación básica, </w:t>
      </w:r>
      <w:r>
        <w:rPr>
          <w:rFonts w:ascii="Palatino Linotype" w:eastAsia="Palatino Linotype" w:hAnsi="Palatino Linotype" w:cs="Palatino Linotype"/>
          <w:b/>
          <w:u w:val="single"/>
        </w:rPr>
        <w:t>sin localizar registro alguno de la me</w:t>
      </w:r>
      <w:r>
        <w:rPr>
          <w:rFonts w:ascii="Palatino Linotype" w:eastAsia="Palatino Linotype" w:hAnsi="Palatino Linotype" w:cs="Palatino Linotype"/>
          <w:b/>
          <w:u w:val="single"/>
        </w:rPr>
        <w:t>nor solicitada.</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Sin embargo, el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interpone recurso de revisión manifestando como Acto Impugnado, lo siguiente:</w:t>
      </w:r>
    </w:p>
    <w:p w:rsidR="00A31ADC" w:rsidRDefault="0099078C">
      <w:pPr>
        <w:pBdr>
          <w:top w:val="nil"/>
          <w:left w:val="nil"/>
          <w:bottom w:val="nil"/>
          <w:right w:val="nil"/>
          <w:between w:val="nil"/>
        </w:pBdr>
        <w:ind w:left="1080" w:right="115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222222"/>
          <w:highlight w:val="white"/>
        </w:rPr>
        <w:lastRenderedPageBreak/>
        <w:t xml:space="preserve"> “</w:t>
      </w:r>
      <w:r>
        <w:rPr>
          <w:rFonts w:ascii="Palatino Linotype" w:eastAsia="Palatino Linotype" w:hAnsi="Palatino Linotype" w:cs="Palatino Linotype"/>
          <w:i/>
          <w:color w:val="000000"/>
        </w:rPr>
        <w:t xml:space="preserve">No tengo acceso a los documentos que el </w:t>
      </w:r>
      <w:proofErr w:type="spellStart"/>
      <w:r>
        <w:rPr>
          <w:rFonts w:ascii="Palatino Linotype" w:eastAsia="Palatino Linotype" w:hAnsi="Palatino Linotype" w:cs="Palatino Linotype"/>
          <w:i/>
          <w:color w:val="000000"/>
        </w:rPr>
        <w:t>sarcoem</w:t>
      </w:r>
      <w:proofErr w:type="spellEnd"/>
      <w:r>
        <w:rPr>
          <w:rFonts w:ascii="Palatino Linotype" w:eastAsia="Palatino Linotype" w:hAnsi="Palatino Linotype" w:cs="Palatino Linotype"/>
          <w:i/>
          <w:color w:val="000000"/>
        </w:rPr>
        <w:t xml:space="preserve"> me pusieron como enlace en la respuesta, a ninguno de los 3” (</w:t>
      </w:r>
      <w:r>
        <w:rPr>
          <w:rFonts w:ascii="Palatino Linotype" w:eastAsia="Palatino Linotype" w:hAnsi="Palatino Linotype" w:cs="Palatino Linotype"/>
          <w:color w:val="222222"/>
          <w:highlight w:val="white"/>
        </w:rPr>
        <w:t xml:space="preserve">Sic) </w:t>
      </w:r>
    </w:p>
    <w:p w:rsidR="00A31ADC" w:rsidRDefault="0099078C">
      <w:pPr>
        <w:spacing w:before="240" w:after="240" w:line="360" w:lineRule="auto"/>
        <w:ind w:right="333"/>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Y como, razones o</w:t>
      </w:r>
      <w:r>
        <w:rPr>
          <w:rFonts w:ascii="Palatino Linotype" w:eastAsia="Palatino Linotype" w:hAnsi="Palatino Linotype" w:cs="Palatino Linotype"/>
          <w:color w:val="222222"/>
          <w:highlight w:val="white"/>
        </w:rPr>
        <w:t xml:space="preserve"> motivos de inconformidad, el siguiente:</w:t>
      </w:r>
    </w:p>
    <w:p w:rsidR="00A31ADC" w:rsidRDefault="0099078C">
      <w:pPr>
        <w:pBdr>
          <w:top w:val="nil"/>
          <w:left w:val="nil"/>
          <w:bottom w:val="nil"/>
          <w:right w:val="nil"/>
          <w:between w:val="nil"/>
        </w:pBdr>
        <w:ind w:left="1080" w:right="115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“Requiero </w:t>
      </w:r>
      <w:r>
        <w:rPr>
          <w:rFonts w:ascii="Palatino Linotype" w:eastAsia="Palatino Linotype" w:hAnsi="Palatino Linotype" w:cs="Palatino Linotype"/>
          <w:b/>
          <w:i/>
          <w:color w:val="000000"/>
        </w:rPr>
        <w:t xml:space="preserve">poder ver la respuesta </w:t>
      </w:r>
      <w:proofErr w:type="spellStart"/>
      <w:r>
        <w:rPr>
          <w:rFonts w:ascii="Palatino Linotype" w:eastAsia="Palatino Linotype" w:hAnsi="Palatino Linotype" w:cs="Palatino Linotype"/>
          <w:b/>
          <w:i/>
          <w:color w:val="000000"/>
        </w:rPr>
        <w:t>delhistorial</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academico</w:t>
      </w:r>
      <w:proofErr w:type="spellEnd"/>
      <w:r>
        <w:rPr>
          <w:rFonts w:ascii="Palatino Linotype" w:eastAsia="Palatino Linotype" w:hAnsi="Palatino Linotype" w:cs="Palatino Linotype"/>
          <w:b/>
          <w:i/>
          <w:color w:val="000000"/>
        </w:rPr>
        <w:t xml:space="preserve"> escolar de mi hija</w:t>
      </w:r>
      <w:r>
        <w:rPr>
          <w:rFonts w:ascii="Palatino Linotype" w:eastAsia="Palatino Linotype" w:hAnsi="Palatino Linotype" w:cs="Palatino Linotype"/>
          <w:i/>
          <w:color w:val="000000"/>
        </w:rPr>
        <w:t xml:space="preserve"> y la </w:t>
      </w:r>
      <w:proofErr w:type="spellStart"/>
      <w:r>
        <w:rPr>
          <w:rFonts w:ascii="Palatino Linotype" w:eastAsia="Palatino Linotype" w:hAnsi="Palatino Linotype" w:cs="Palatino Linotype"/>
          <w:i/>
          <w:color w:val="000000"/>
        </w:rPr>
        <w:t>institucion</w:t>
      </w:r>
      <w:proofErr w:type="spellEnd"/>
      <w:r>
        <w:rPr>
          <w:rFonts w:ascii="Palatino Linotype" w:eastAsia="Palatino Linotype" w:hAnsi="Palatino Linotype" w:cs="Palatino Linotype"/>
          <w:i/>
          <w:color w:val="000000"/>
        </w:rPr>
        <w:t xml:space="preserve"> donde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inscrita para un tema </w:t>
      </w:r>
      <w:proofErr w:type="gramStart"/>
      <w:r>
        <w:rPr>
          <w:rFonts w:ascii="Palatino Linotype" w:eastAsia="Palatino Linotype" w:hAnsi="Palatino Linotype" w:cs="Palatino Linotype"/>
          <w:i/>
          <w:color w:val="000000"/>
        </w:rPr>
        <w:t>legal .”</w:t>
      </w:r>
      <w:proofErr w:type="gramEnd"/>
      <w:r>
        <w:rPr>
          <w:rFonts w:ascii="Palatino Linotype" w:eastAsia="Palatino Linotype" w:hAnsi="Palatino Linotype" w:cs="Palatino Linotype"/>
          <w:i/>
          <w:color w:val="000000"/>
        </w:rPr>
        <w:t xml:space="preserve"> (</w:t>
      </w:r>
      <w:proofErr w:type="gramStart"/>
      <w:r>
        <w:rPr>
          <w:rFonts w:ascii="Palatino Linotype" w:eastAsia="Palatino Linotype" w:hAnsi="Palatino Linotype" w:cs="Palatino Linotype"/>
          <w:i/>
          <w:color w:val="000000"/>
        </w:rPr>
        <w:t>sic</w:t>
      </w:r>
      <w:proofErr w:type="gramEnd"/>
      <w:r>
        <w:rPr>
          <w:rFonts w:ascii="Palatino Linotype" w:eastAsia="Palatino Linotype" w:hAnsi="Palatino Linotype" w:cs="Palatino Linotype"/>
          <w:i/>
          <w:color w:val="000000"/>
        </w:rPr>
        <w:t>)</w:t>
      </w:r>
    </w:p>
    <w:p w:rsidR="00A31ADC" w:rsidRDefault="00A31ADC">
      <w:pPr>
        <w:spacing w:line="360" w:lineRule="auto"/>
        <w:jc w:val="both"/>
        <w:rPr>
          <w:rFonts w:ascii="Palatino Linotype" w:eastAsia="Palatino Linotype" w:hAnsi="Palatino Linotype" w:cs="Palatino Linotype"/>
          <w:color w:val="222222"/>
          <w:highlight w:val="white"/>
        </w:rPr>
      </w:pPr>
    </w:p>
    <w:p w:rsidR="00A31ADC" w:rsidRDefault="0099078C">
      <w:pPr>
        <w:spacing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Durante la etapa procesal para que las partes rindieran todo tipo de argumentos que a su derecho convengan se tiene que </w:t>
      </w:r>
      <w:r>
        <w:rPr>
          <w:rFonts w:ascii="Palatino Linotype" w:eastAsia="Palatino Linotype" w:hAnsi="Palatino Linotype" w:cs="Palatino Linotype"/>
          <w:b/>
          <w:color w:val="222222"/>
          <w:highlight w:val="white"/>
        </w:rPr>
        <w:t>EL RESPONSABLE</w:t>
      </w:r>
      <w:r>
        <w:rPr>
          <w:rFonts w:ascii="Palatino Linotype" w:eastAsia="Palatino Linotype" w:hAnsi="Palatino Linotype" w:cs="Palatino Linotype"/>
          <w:color w:val="222222"/>
          <w:highlight w:val="white"/>
        </w:rPr>
        <w:t xml:space="preserve"> confirma su respuesta inicial, tal como se advierte a continuación: </w:t>
      </w:r>
    </w:p>
    <w:p w:rsidR="00A31ADC" w:rsidRDefault="0099078C">
      <w:pPr>
        <w:spacing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noProof/>
          <w:color w:val="222222"/>
          <w:lang w:val="es-MX"/>
        </w:rPr>
        <w:drawing>
          <wp:inline distT="0" distB="0" distL="0" distR="0">
            <wp:extent cx="5762990" cy="2065546"/>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5104"/>
                    <a:stretch>
                      <a:fillRect/>
                    </a:stretch>
                  </pic:blipFill>
                  <pic:spPr>
                    <a:xfrm>
                      <a:off x="0" y="0"/>
                      <a:ext cx="5762990" cy="2065546"/>
                    </a:xfrm>
                    <a:prstGeom prst="rect">
                      <a:avLst/>
                    </a:prstGeom>
                    <a:ln/>
                  </pic:spPr>
                </pic:pic>
              </a:graphicData>
            </a:graphic>
          </wp:inline>
        </w:drawing>
      </w:r>
    </w:p>
    <w:p w:rsidR="000C1955" w:rsidRDefault="000C1955">
      <w:pPr>
        <w:spacing w:line="360" w:lineRule="auto"/>
        <w:jc w:val="both"/>
        <w:rPr>
          <w:rFonts w:ascii="Palatino Linotype" w:eastAsia="Palatino Linotype" w:hAnsi="Palatino Linotype" w:cs="Palatino Linotype"/>
          <w:color w:val="222222"/>
          <w:highlight w:val="white"/>
        </w:rPr>
      </w:pPr>
    </w:p>
    <w:p w:rsidR="000C1955" w:rsidRDefault="000C1955">
      <w:pPr>
        <w:spacing w:line="360" w:lineRule="auto"/>
        <w:jc w:val="both"/>
        <w:rPr>
          <w:rFonts w:ascii="Palatino Linotype" w:eastAsia="Palatino Linotype" w:hAnsi="Palatino Linotype" w:cs="Palatino Linotype"/>
          <w:color w:val="222222"/>
          <w:highlight w:val="white"/>
        </w:rPr>
      </w:pPr>
    </w:p>
    <w:p w:rsidR="000C1955" w:rsidRDefault="000C1955">
      <w:pPr>
        <w:spacing w:line="360" w:lineRule="auto"/>
        <w:jc w:val="both"/>
        <w:rPr>
          <w:rFonts w:ascii="Palatino Linotype" w:eastAsia="Palatino Linotype" w:hAnsi="Palatino Linotype" w:cs="Palatino Linotype"/>
          <w:color w:val="222222"/>
          <w:highlight w:val="white"/>
        </w:rPr>
      </w:pPr>
    </w:p>
    <w:p w:rsidR="000C1955" w:rsidRDefault="000C1955">
      <w:pPr>
        <w:spacing w:line="360" w:lineRule="auto"/>
        <w:jc w:val="both"/>
        <w:rPr>
          <w:rFonts w:ascii="Palatino Linotype" w:eastAsia="Palatino Linotype" w:hAnsi="Palatino Linotype" w:cs="Palatino Linotype"/>
          <w:color w:val="222222"/>
          <w:highlight w:val="white"/>
        </w:rPr>
      </w:pPr>
      <w:r>
        <w:rPr>
          <w:noProof/>
          <w:lang w:val="es-MX"/>
        </w:rPr>
        <w:lastRenderedPageBreak/>
        <w:drawing>
          <wp:inline distT="0" distB="0" distL="0" distR="0" wp14:anchorId="205573A4" wp14:editId="38B3F3F4">
            <wp:extent cx="5610225" cy="70954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435" t="16348" r="14740" b="12091"/>
                    <a:stretch/>
                  </pic:blipFill>
                  <pic:spPr bwMode="auto">
                    <a:xfrm>
                      <a:off x="0" y="0"/>
                      <a:ext cx="5616020" cy="7102819"/>
                    </a:xfrm>
                    <a:prstGeom prst="rect">
                      <a:avLst/>
                    </a:prstGeom>
                    <a:ln>
                      <a:noFill/>
                    </a:ln>
                    <a:extLst>
                      <a:ext uri="{53640926-AAD7-44D8-BBD7-CCE9431645EC}">
                        <a14:shadowObscured xmlns:a14="http://schemas.microsoft.com/office/drawing/2010/main"/>
                      </a:ext>
                    </a:extLst>
                  </pic:spPr>
                </pic:pic>
              </a:graphicData>
            </a:graphic>
          </wp:inline>
        </w:drawing>
      </w:r>
    </w:p>
    <w:p w:rsidR="00A31ADC" w:rsidRDefault="00A31ADC">
      <w:pPr>
        <w:spacing w:line="360" w:lineRule="auto"/>
        <w:jc w:val="both"/>
        <w:rPr>
          <w:rFonts w:ascii="Palatino Linotype" w:eastAsia="Palatino Linotype" w:hAnsi="Palatino Linotype" w:cs="Palatino Linotype"/>
          <w:color w:val="222222"/>
          <w:highlight w:val="white"/>
        </w:rPr>
      </w:pPr>
    </w:p>
    <w:p w:rsidR="00A31ADC" w:rsidRDefault="00A31ADC">
      <w:pPr>
        <w:spacing w:line="360" w:lineRule="auto"/>
        <w:jc w:val="both"/>
        <w:rPr>
          <w:rFonts w:ascii="Palatino Linotype" w:eastAsia="Palatino Linotype" w:hAnsi="Palatino Linotype" w:cs="Palatino Linotype"/>
          <w:color w:val="222222"/>
          <w:highlight w:val="white"/>
        </w:rPr>
      </w:pPr>
    </w:p>
    <w:p w:rsidR="00A31ADC" w:rsidRDefault="0099078C">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noProof/>
          <w:color w:val="222222"/>
          <w:lang w:val="es-MX"/>
        </w:rPr>
        <w:drawing>
          <wp:inline distT="0" distB="0" distL="0" distR="0">
            <wp:extent cx="5238750" cy="1400175"/>
            <wp:effectExtent l="0" t="0" r="0" b="9525"/>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241060" cy="1400792"/>
                    </a:xfrm>
                    <a:prstGeom prst="rect">
                      <a:avLst/>
                    </a:prstGeom>
                    <a:ln/>
                  </pic:spPr>
                </pic:pic>
              </a:graphicData>
            </a:graphic>
          </wp:inline>
        </w:drawing>
      </w:r>
    </w:p>
    <w:p w:rsidR="00A31ADC" w:rsidRDefault="000C1955">
      <w:pPr>
        <w:spacing w:line="360" w:lineRule="auto"/>
        <w:jc w:val="both"/>
        <w:rPr>
          <w:rFonts w:ascii="Palatino Linotype" w:eastAsia="Palatino Linotype" w:hAnsi="Palatino Linotype" w:cs="Palatino Linotype"/>
          <w:color w:val="222222"/>
          <w:highlight w:val="white"/>
        </w:rPr>
      </w:pPr>
      <w:r>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78105</wp:posOffset>
                </wp:positionH>
                <wp:positionV relativeFrom="paragraph">
                  <wp:posOffset>2607310</wp:posOffset>
                </wp:positionV>
                <wp:extent cx="5105400" cy="3009900"/>
                <wp:effectExtent l="0" t="0" r="19050" b="19050"/>
                <wp:wrapNone/>
                <wp:docPr id="81" name="Conector recto de flecha 81"/>
                <wp:cNvGraphicFramePr/>
                <a:graphic xmlns:a="http://schemas.openxmlformats.org/drawingml/2006/main">
                  <a:graphicData uri="http://schemas.microsoft.com/office/word/2010/wordprocessingShape">
                    <wps:wsp>
                      <wps:cNvCnPr/>
                      <wps:spPr>
                        <a:xfrm>
                          <a:off x="0" y="0"/>
                          <a:ext cx="5105400" cy="30099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36E49FE5" id="_x0000_t32" coordsize="21600,21600" o:spt="32" o:oned="t" path="m,l21600,21600e" filled="f">
                <v:path arrowok="t" fillok="f" o:connecttype="none"/>
                <o:lock v:ext="edit" shapetype="t"/>
              </v:shapetype>
              <v:shape id="Conector recto de flecha 81" o:spid="_x0000_s1026" type="#_x0000_t32" style="position:absolute;margin-left:6.15pt;margin-top:205.3pt;width:402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" strokecolor="#5b9bd5 [3204]">
                <v:stroke startarrowwidth="narrow" startarrowlength="short" endarrowwidth="narrow" endarrowlength="short" joinstyle="miter"/>
              </v:shape>
            </w:pict>
          </mc:Fallback>
        </mc:AlternateContent>
      </w:r>
      <w:r w:rsidR="0099078C">
        <w:rPr>
          <w:rFonts w:ascii="Palatino Linotype" w:eastAsia="Palatino Linotype" w:hAnsi="Palatino Linotype" w:cs="Palatino Linotype"/>
        </w:rPr>
        <w:t xml:space="preserve">Sin embargo, de forma posterior </w:t>
      </w:r>
      <w:r w:rsidR="0099078C">
        <w:rPr>
          <w:rFonts w:ascii="Palatino Linotype" w:eastAsia="Palatino Linotype" w:hAnsi="Palatino Linotype" w:cs="Palatino Linotype"/>
          <w:b/>
        </w:rPr>
        <w:t>EL SUJETO OBLIGADO</w:t>
      </w:r>
      <w:r w:rsidR="0099078C">
        <w:rPr>
          <w:rFonts w:ascii="Palatino Linotype" w:eastAsia="Palatino Linotype" w:hAnsi="Palatino Linotype" w:cs="Palatino Linotype"/>
        </w:rPr>
        <w:t>, en el apartado de manifestaciones, específicamente en el documento: “</w:t>
      </w:r>
      <w:r w:rsidR="0099078C">
        <w:rPr>
          <w:rFonts w:ascii="Palatino Linotype" w:eastAsia="Palatino Linotype" w:hAnsi="Palatino Linotype" w:cs="Palatino Linotype"/>
          <w:b/>
          <w:i/>
        </w:rPr>
        <w:t>alcance manifestaciones 18AD.pdf”</w:t>
      </w:r>
      <w:r w:rsidR="0099078C">
        <w:rPr>
          <w:rFonts w:ascii="Palatino Linotype" w:eastAsia="Palatino Linotype" w:hAnsi="Palatino Linotype" w:cs="Palatino Linotype"/>
          <w:b/>
        </w:rPr>
        <w:t>,</w:t>
      </w:r>
      <w:r w:rsidR="0099078C">
        <w:rPr>
          <w:rFonts w:ascii="Palatino Linotype" w:eastAsia="Palatino Linotype" w:hAnsi="Palatino Linotype" w:cs="Palatino Linotype"/>
        </w:rPr>
        <w:t xml:space="preserve"> precisó que realizó una nueva búsqueda en los archivos del Sujeto Obligado,  </w:t>
      </w:r>
      <w:r w:rsidR="0099078C">
        <w:rPr>
          <w:rFonts w:ascii="Palatino Linotype" w:eastAsia="Palatino Linotype" w:hAnsi="Palatino Linotype" w:cs="Palatino Linotype"/>
          <w:b/>
        </w:rPr>
        <w:t>ampliando el periodo de búsqueda de 2017 a 2022,  encon</w:t>
      </w:r>
      <w:r w:rsidR="0099078C">
        <w:rPr>
          <w:rFonts w:ascii="Palatino Linotype" w:eastAsia="Palatino Linotype" w:hAnsi="Palatino Linotype" w:cs="Palatino Linotype"/>
          <w:b/>
        </w:rPr>
        <w:t>trando que la menor estuvo inscrita en el ciclo escolar 2017 -2018, manifestando que la información relacionada con el historial académico se pone a su disposición previa acreditación de su identidad, personalidad o representación con la que actúa</w:t>
      </w:r>
      <w:r w:rsidR="0099078C">
        <w:rPr>
          <w:rFonts w:ascii="Palatino Linotype" w:eastAsia="Palatino Linotype" w:hAnsi="Palatino Linotype" w:cs="Palatino Linotype"/>
        </w:rPr>
        <w:t>, tal com</w:t>
      </w:r>
      <w:r w:rsidR="0099078C">
        <w:rPr>
          <w:rFonts w:ascii="Palatino Linotype" w:eastAsia="Palatino Linotype" w:hAnsi="Palatino Linotype" w:cs="Palatino Linotype"/>
        </w:rPr>
        <w:t xml:space="preserve">o se observa a continuación: </w:t>
      </w:r>
    </w:p>
    <w:p w:rsidR="00A31ADC" w:rsidRDefault="0099078C">
      <w:pPr>
        <w:tabs>
          <w:tab w:val="left" w:pos="3299"/>
        </w:tabs>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noProof/>
          <w:color w:val="222222"/>
          <w:lang w:val="es-MX"/>
        </w:rPr>
        <w:lastRenderedPageBreak/>
        <w:drawing>
          <wp:inline distT="0" distB="0" distL="0" distR="0">
            <wp:extent cx="5512909" cy="5001233"/>
            <wp:effectExtent l="0" t="0" r="0" b="0"/>
            <wp:docPr id="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23238"/>
                    <a:stretch>
                      <a:fillRect/>
                    </a:stretch>
                  </pic:blipFill>
                  <pic:spPr>
                    <a:xfrm>
                      <a:off x="0" y="0"/>
                      <a:ext cx="5512909" cy="5001233"/>
                    </a:xfrm>
                    <a:prstGeom prst="rect">
                      <a:avLst/>
                    </a:prstGeom>
                    <a:ln/>
                  </pic:spPr>
                </pic:pic>
              </a:graphicData>
            </a:graphic>
          </wp:inline>
        </w:drawing>
      </w:r>
      <w:r>
        <w:rPr>
          <w:noProof/>
          <w:lang w:val="es-MX"/>
        </w:rPr>
        <mc:AlternateContent>
          <mc:Choice Requires="wpg">
            <w:drawing>
              <wp:anchor distT="0" distB="0" distL="114300" distR="114300" simplePos="0" relativeHeight="251664384" behindDoc="0" locked="0" layoutInCell="1" hidden="0" allowOverlap="1">
                <wp:simplePos x="0" y="0"/>
                <wp:positionH relativeFrom="column">
                  <wp:posOffset>228600</wp:posOffset>
                </wp:positionH>
                <wp:positionV relativeFrom="paragraph">
                  <wp:posOffset>850900</wp:posOffset>
                </wp:positionV>
                <wp:extent cx="5276850" cy="1485900"/>
                <wp:effectExtent l="0" t="0" r="0" b="0"/>
                <wp:wrapNone/>
                <wp:docPr id="82" name="Rectángulo 82"/>
                <wp:cNvGraphicFramePr/>
                <a:graphic xmlns:a="http://schemas.openxmlformats.org/drawingml/2006/main">
                  <a:graphicData uri="http://schemas.microsoft.com/office/word/2010/wordprocessingShape">
                    <wps:wsp>
                      <wps:cNvSpPr/>
                      <wps:spPr>
                        <a:xfrm>
                          <a:off x="2726625" y="3056100"/>
                          <a:ext cx="5238750" cy="1447800"/>
                        </a:xfrm>
                        <a:prstGeom prst="rect">
                          <a:avLst/>
                        </a:prstGeom>
                        <a:noFill/>
                        <a:ln w="19050" cap="flat" cmpd="sng">
                          <a:solidFill>
                            <a:srgbClr val="FF0000"/>
                          </a:solidFill>
                          <a:prstDash val="solid"/>
                          <a:miter lim="800000"/>
                          <a:headEnd type="none" w="sm" len="sm"/>
                          <a:tailEnd type="none" w="sm" len="sm"/>
                        </a:ln>
                      </wps:spPr>
                      <wps:txbx>
                        <w:txbxContent>
                          <w:p w:rsidR="00A31ADC" w:rsidRDefault="00A31A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850900</wp:posOffset>
                </wp:positionV>
                <wp:extent cx="5276850" cy="1485900"/>
                <wp:effectExtent b="0" l="0" r="0" t="0"/>
                <wp:wrapNone/>
                <wp:docPr id="82"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5276850" cy="1485900"/>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5408" behindDoc="0" locked="0" layoutInCell="1" hidden="0" allowOverlap="1">
                <wp:simplePos x="0" y="0"/>
                <wp:positionH relativeFrom="column">
                  <wp:posOffset>241300</wp:posOffset>
                </wp:positionH>
                <wp:positionV relativeFrom="paragraph">
                  <wp:posOffset>2768600</wp:posOffset>
                </wp:positionV>
                <wp:extent cx="5257800" cy="1104900"/>
                <wp:effectExtent l="0" t="0" r="0" b="0"/>
                <wp:wrapNone/>
                <wp:docPr id="87" name="Rectángulo 87"/>
                <wp:cNvGraphicFramePr/>
                <a:graphic xmlns:a="http://schemas.openxmlformats.org/drawingml/2006/main">
                  <a:graphicData uri="http://schemas.microsoft.com/office/word/2010/wordprocessingShape">
                    <wps:wsp>
                      <wps:cNvSpPr/>
                      <wps:spPr>
                        <a:xfrm>
                          <a:off x="2736150" y="3246600"/>
                          <a:ext cx="5219700" cy="1066800"/>
                        </a:xfrm>
                        <a:prstGeom prst="rect">
                          <a:avLst/>
                        </a:prstGeom>
                        <a:noFill/>
                        <a:ln w="19050" cap="flat" cmpd="sng">
                          <a:solidFill>
                            <a:srgbClr val="FF0000"/>
                          </a:solidFill>
                          <a:prstDash val="solid"/>
                          <a:miter lim="800000"/>
                          <a:headEnd type="none" w="sm" len="sm"/>
                          <a:tailEnd type="none" w="sm" len="sm"/>
                        </a:ln>
                      </wps:spPr>
                      <wps:txbx>
                        <w:txbxContent>
                          <w:p w:rsidR="00A31ADC" w:rsidRDefault="00A31AD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wp:posOffset>
                </wp:positionH>
                <wp:positionV relativeFrom="paragraph">
                  <wp:posOffset>2768600</wp:posOffset>
                </wp:positionV>
                <wp:extent cx="5257800" cy="1104900"/>
                <wp:effectExtent b="0" l="0" r="0" t="0"/>
                <wp:wrapNone/>
                <wp:docPr id="87"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5257800" cy="1104900"/>
                        </a:xfrm>
                        <a:prstGeom prst="rect"/>
                        <a:ln/>
                      </pic:spPr>
                    </pic:pic>
                  </a:graphicData>
                </a:graphic>
              </wp:anchor>
            </w:drawing>
          </mc:Fallback>
        </mc:AlternateConten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ese orden de ideas,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manifestó como razones o motivos de inconformidad: “</w:t>
      </w:r>
      <w:r>
        <w:rPr>
          <w:rFonts w:ascii="Palatino Linotype" w:eastAsia="Palatino Linotype" w:hAnsi="Palatino Linotype" w:cs="Palatino Linotype"/>
          <w:i/>
          <w:color w:val="000000"/>
        </w:rPr>
        <w:t xml:space="preserve">Requiero </w:t>
      </w:r>
      <w:r>
        <w:rPr>
          <w:rFonts w:ascii="Palatino Linotype" w:eastAsia="Palatino Linotype" w:hAnsi="Palatino Linotype" w:cs="Palatino Linotype"/>
          <w:b/>
          <w:i/>
          <w:color w:val="000000"/>
        </w:rPr>
        <w:t xml:space="preserve">poder ver la respuesta </w:t>
      </w:r>
      <w:proofErr w:type="spellStart"/>
      <w:r>
        <w:rPr>
          <w:rFonts w:ascii="Palatino Linotype" w:eastAsia="Palatino Linotype" w:hAnsi="Palatino Linotype" w:cs="Palatino Linotype"/>
          <w:b/>
          <w:i/>
          <w:color w:val="000000"/>
        </w:rPr>
        <w:t>delhistorial</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academico</w:t>
      </w:r>
      <w:proofErr w:type="spellEnd"/>
      <w:r>
        <w:rPr>
          <w:rFonts w:ascii="Palatino Linotype" w:eastAsia="Palatino Linotype" w:hAnsi="Palatino Linotype" w:cs="Palatino Linotype"/>
          <w:b/>
          <w:i/>
          <w:color w:val="000000"/>
        </w:rPr>
        <w:t xml:space="preserve"> escolar de mi hija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y la </w:t>
      </w:r>
      <w:proofErr w:type="spellStart"/>
      <w:r>
        <w:rPr>
          <w:rFonts w:ascii="Palatino Linotype" w:eastAsia="Palatino Linotype" w:hAnsi="Palatino Linotype" w:cs="Palatino Linotype"/>
          <w:b/>
          <w:i/>
          <w:color w:val="000000"/>
        </w:rPr>
        <w:t>institucion</w:t>
      </w:r>
      <w:proofErr w:type="spellEnd"/>
      <w:r>
        <w:rPr>
          <w:rFonts w:ascii="Palatino Linotype" w:eastAsia="Palatino Linotype" w:hAnsi="Palatino Linotype" w:cs="Palatino Linotype"/>
          <w:b/>
          <w:i/>
          <w:color w:val="000000"/>
        </w:rPr>
        <w:t xml:space="preserve"> donde </w:t>
      </w:r>
      <w:proofErr w:type="spellStart"/>
      <w:r>
        <w:rPr>
          <w:rFonts w:ascii="Palatino Linotype" w:eastAsia="Palatino Linotype" w:hAnsi="Palatino Linotype" w:cs="Palatino Linotype"/>
          <w:b/>
          <w:i/>
          <w:color w:val="000000"/>
        </w:rPr>
        <w:t>esta</w:t>
      </w:r>
      <w:proofErr w:type="spellEnd"/>
      <w:r>
        <w:rPr>
          <w:rFonts w:ascii="Palatino Linotype" w:eastAsia="Palatino Linotype" w:hAnsi="Palatino Linotype" w:cs="Palatino Linotype"/>
          <w:b/>
          <w:i/>
          <w:color w:val="000000"/>
        </w:rPr>
        <w:t xml:space="preserve"> inscrita para un tema legal</w:t>
      </w:r>
      <w:r>
        <w:rPr>
          <w:rFonts w:ascii="Palatino Linotype" w:eastAsia="Palatino Linotype" w:hAnsi="Palatino Linotype" w:cs="Palatino Linotype"/>
          <w:color w:val="000000"/>
        </w:rPr>
        <w:t>”(Sic), y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rPr>
        <w:t xml:space="preserve">durante la sustanciación del presente medio de impugnación, la Unidad de Planeación, Evaluación y Control Escolar del </w:t>
      </w:r>
      <w:r>
        <w:rPr>
          <w:rFonts w:ascii="Palatino Linotype" w:eastAsia="Palatino Linotype" w:hAnsi="Palatino Linotype" w:cs="Palatino Linotype"/>
          <w:b/>
        </w:rPr>
        <w:t>SUJETO OBLIGADO</w:t>
      </w:r>
      <w:r>
        <w:rPr>
          <w:rFonts w:ascii="Palatino Linotype" w:eastAsia="Palatino Linotype" w:hAnsi="Palatino Linotype" w:cs="Palatino Linotype"/>
        </w:rPr>
        <w:t>, modificó su respuesta primigenia y precisó que local</w:t>
      </w:r>
      <w:r>
        <w:rPr>
          <w:rFonts w:ascii="Palatino Linotype" w:eastAsia="Palatino Linotype" w:hAnsi="Palatino Linotype" w:cs="Palatino Linotype"/>
        </w:rPr>
        <w:t xml:space="preserve">izó un registro de la menor, </w:t>
      </w:r>
      <w:r>
        <w:rPr>
          <w:rFonts w:ascii="Palatino Linotype" w:eastAsia="Palatino Linotype" w:hAnsi="Palatino Linotype" w:cs="Palatino Linotype"/>
        </w:rPr>
        <w:lastRenderedPageBreak/>
        <w:t xml:space="preserve">en atención a su historial académico, por lo cual lo pone a disposición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previa acreditación. </w:t>
      </w:r>
    </w:p>
    <w:p w:rsidR="00A31ADC" w:rsidRDefault="00A31ADC">
      <w:pPr>
        <w:spacing w:line="360" w:lineRule="auto"/>
        <w:jc w:val="both"/>
        <w:rPr>
          <w:rFonts w:ascii="Palatino Linotype" w:eastAsia="Palatino Linotype" w:hAnsi="Palatino Linotype" w:cs="Palatino Linotype"/>
        </w:rPr>
      </w:pP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a los archivos descritos anteriormente, en especial del alcance a las manifestaciones, se ad</w:t>
      </w:r>
      <w:r>
        <w:rPr>
          <w:rFonts w:ascii="Palatino Linotype" w:eastAsia="Palatino Linotype" w:hAnsi="Palatino Linotype" w:cs="Palatino Linotype"/>
        </w:rPr>
        <w:t xml:space="preserve">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modifica su respuesta, informando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la existencia de información relacionada con el historial académico de la menor solicitada, y lo pone a su disposición a fin de que previa acreditación pueda acceder al mismo,</w:t>
      </w:r>
      <w:r>
        <w:rPr>
          <w:rFonts w:ascii="Palatino Linotype" w:eastAsia="Palatino Linotype" w:hAnsi="Palatino Linotype" w:cs="Palatino Linotype"/>
        </w:rPr>
        <w:t xml:space="preserve"> en este sentido,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da respuesta a cada una de las interrogantes realizadas por el </w:t>
      </w:r>
      <w:r>
        <w:rPr>
          <w:rFonts w:ascii="Palatino Linotype" w:eastAsia="Palatino Linotype" w:hAnsi="Palatino Linotype" w:cs="Palatino Linotype"/>
          <w:b/>
        </w:rPr>
        <w:t>RECURRENTE</w:t>
      </w:r>
      <w:r>
        <w:rPr>
          <w:rFonts w:ascii="Palatino Linotype" w:eastAsia="Palatino Linotype" w:hAnsi="Palatino Linotype" w:cs="Palatino Linotype"/>
        </w:rPr>
        <w:t>, como se  muestra a continuación:</w:t>
      </w:r>
    </w:p>
    <w:p w:rsidR="00A31ADC" w:rsidRDefault="00A31ADC">
      <w:pPr>
        <w:spacing w:line="360" w:lineRule="auto"/>
        <w:jc w:val="both"/>
        <w:rPr>
          <w:rFonts w:ascii="Palatino Linotype" w:eastAsia="Palatino Linotype" w:hAnsi="Palatino Linotype" w:cs="Palatino Linotype"/>
        </w:rPr>
      </w:pPr>
    </w:p>
    <w:tbl>
      <w:tblPr>
        <w:tblStyle w:val="ae"/>
        <w:tblW w:w="86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060"/>
        <w:gridCol w:w="3421"/>
      </w:tblGrid>
      <w:tr w:rsidR="00A31ADC">
        <w:tc>
          <w:tcPr>
            <w:tcW w:w="2155" w:type="dxa"/>
            <w:shd w:val="clear" w:color="auto" w:fill="BFBFBF"/>
          </w:tcPr>
          <w:p w:rsidR="00A31ADC" w:rsidRDefault="0099078C">
            <w:pPr>
              <w:spacing w:line="360" w:lineRule="auto"/>
              <w:jc w:val="center"/>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Solicitud</w:t>
            </w:r>
          </w:p>
        </w:tc>
        <w:tc>
          <w:tcPr>
            <w:tcW w:w="3060" w:type="dxa"/>
            <w:shd w:val="clear" w:color="auto" w:fill="BFBFBF"/>
          </w:tcPr>
          <w:p w:rsidR="00A31ADC" w:rsidRDefault="0099078C">
            <w:pPr>
              <w:spacing w:line="360" w:lineRule="auto"/>
              <w:jc w:val="center"/>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Respuesta</w:t>
            </w:r>
          </w:p>
        </w:tc>
        <w:tc>
          <w:tcPr>
            <w:tcW w:w="3421" w:type="dxa"/>
            <w:shd w:val="clear" w:color="auto" w:fill="BFBFBF"/>
          </w:tcPr>
          <w:p w:rsidR="00A31ADC" w:rsidRDefault="0099078C">
            <w:pPr>
              <w:spacing w:line="360" w:lineRule="auto"/>
              <w:jc w:val="center"/>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Manifestaciones</w:t>
            </w:r>
          </w:p>
        </w:tc>
      </w:tr>
      <w:tr w:rsidR="00A31ADC">
        <w:tc>
          <w:tcPr>
            <w:tcW w:w="2155"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i/>
                <w:color w:val="000000"/>
                <w:sz w:val="21"/>
                <w:szCs w:val="21"/>
              </w:rPr>
              <w:t>1.- Escuela primaria donde se encuentra inscrita actualmente.</w:t>
            </w:r>
          </w:p>
        </w:tc>
        <w:tc>
          <w:tcPr>
            <w:tcW w:w="3060"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Considerando el periodo escolar 2020-2021 y 2021-2022 en los tres niveles de Educación Básica, no se localizó registro alguno, en ningún plantel del Subsistema Educativo Estatal</w:t>
            </w:r>
          </w:p>
        </w:tc>
        <w:tc>
          <w:tcPr>
            <w:tcW w:w="3421"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w:t>
            </w:r>
          </w:p>
        </w:tc>
      </w:tr>
      <w:tr w:rsidR="00A31ADC">
        <w:tc>
          <w:tcPr>
            <w:tcW w:w="2155"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i/>
                <w:color w:val="000000"/>
                <w:sz w:val="21"/>
                <w:szCs w:val="21"/>
              </w:rPr>
              <w:t xml:space="preserve">2.- Clave de trabajo </w:t>
            </w:r>
            <w:proofErr w:type="spellStart"/>
            <w:r>
              <w:rPr>
                <w:rFonts w:ascii="Palatino Linotype" w:eastAsia="Palatino Linotype" w:hAnsi="Palatino Linotype" w:cs="Palatino Linotype"/>
                <w:i/>
                <w:color w:val="000000"/>
                <w:sz w:val="21"/>
                <w:szCs w:val="21"/>
              </w:rPr>
              <w:t>cct</w:t>
            </w:r>
            <w:proofErr w:type="spellEnd"/>
            <w:r>
              <w:rPr>
                <w:rFonts w:ascii="Palatino Linotype" w:eastAsia="Palatino Linotype" w:hAnsi="Palatino Linotype" w:cs="Palatino Linotype"/>
                <w:i/>
                <w:color w:val="000000"/>
                <w:sz w:val="21"/>
                <w:szCs w:val="21"/>
              </w:rPr>
              <w:t xml:space="preserve"> de la escuela, </w:t>
            </w:r>
          </w:p>
        </w:tc>
        <w:tc>
          <w:tcPr>
            <w:tcW w:w="3060"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No se tiene esta  información, por</w:t>
            </w:r>
            <w:r>
              <w:rPr>
                <w:rFonts w:ascii="Palatino Linotype" w:eastAsia="Palatino Linotype" w:hAnsi="Palatino Linotype" w:cs="Palatino Linotype"/>
                <w:sz w:val="21"/>
                <w:szCs w:val="21"/>
              </w:rPr>
              <w:t xml:space="preserve"> no contar con registro alguno.</w:t>
            </w:r>
          </w:p>
        </w:tc>
        <w:tc>
          <w:tcPr>
            <w:tcW w:w="3421"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w:t>
            </w:r>
          </w:p>
        </w:tc>
      </w:tr>
      <w:tr w:rsidR="00A31ADC">
        <w:tc>
          <w:tcPr>
            <w:tcW w:w="2155"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i/>
                <w:color w:val="000000"/>
                <w:sz w:val="21"/>
                <w:szCs w:val="21"/>
              </w:rPr>
              <w:t>3.- Historial académico hasta la fecha actual</w:t>
            </w:r>
          </w:p>
        </w:tc>
        <w:tc>
          <w:tcPr>
            <w:tcW w:w="3060"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w:t>
            </w:r>
          </w:p>
        </w:tc>
        <w:tc>
          <w:tcPr>
            <w:tcW w:w="3421" w:type="dxa"/>
          </w:tcPr>
          <w:p w:rsidR="00A31ADC" w:rsidRDefault="0099078C">
            <w:pPr>
              <w:spacing w:line="360" w:lineRule="auto"/>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 xml:space="preserve">Realizando una nueva búsqueda, encontró que estuvo inscrita  en el ciclo escolar 2017-2018, manifestando que la información </w:t>
            </w:r>
            <w:r>
              <w:rPr>
                <w:rFonts w:ascii="Palatino Linotype" w:eastAsia="Palatino Linotype" w:hAnsi="Palatino Linotype" w:cs="Palatino Linotype"/>
                <w:sz w:val="21"/>
                <w:szCs w:val="21"/>
              </w:rPr>
              <w:lastRenderedPageBreak/>
              <w:t>relacionada con el historial académico se pone a su disposición previa acreditación de su identidad, personalidad o representación c</w:t>
            </w:r>
            <w:r>
              <w:rPr>
                <w:rFonts w:ascii="Palatino Linotype" w:eastAsia="Palatino Linotype" w:hAnsi="Palatino Linotype" w:cs="Palatino Linotype"/>
                <w:sz w:val="21"/>
                <w:szCs w:val="21"/>
              </w:rPr>
              <w:t>on la que actúa.</w:t>
            </w:r>
          </w:p>
        </w:tc>
      </w:tr>
    </w:tbl>
    <w:p w:rsidR="00A31ADC" w:rsidRDefault="00A31ADC">
      <w:pPr>
        <w:spacing w:line="360" w:lineRule="auto"/>
        <w:jc w:val="both"/>
        <w:rPr>
          <w:rFonts w:ascii="Palatino Linotype" w:eastAsia="Palatino Linotype" w:hAnsi="Palatino Linotype" w:cs="Palatino Linotype"/>
          <w:color w:val="222222"/>
        </w:rPr>
      </w:pPr>
    </w:p>
    <w:p w:rsidR="00A31ADC" w:rsidRDefault="0099078C">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Por otra parte, es importante señalar que la información proporcionada por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se realizó a través de sus unidades administrativas; Unidad de Planeación, Evaluación y Control Escolar y la Subdirección de Control Escolar, </w:t>
      </w:r>
      <w:r>
        <w:rPr>
          <w:rFonts w:ascii="Palatino Linotype" w:eastAsia="Palatino Linotype" w:hAnsi="Palatino Linotype" w:cs="Palatino Linotype"/>
          <w:color w:val="222222"/>
        </w:rPr>
        <w:t xml:space="preserve">que cuentan con las facultades para conocer de la información solicitada, en este sentido, el Manual General de Organización de la Secretaría de Educación, establece lo siguiente: </w:t>
      </w:r>
    </w:p>
    <w:p w:rsidR="00A31ADC" w:rsidRDefault="00A31ADC">
      <w:pPr>
        <w:spacing w:line="360" w:lineRule="auto"/>
        <w:jc w:val="both"/>
        <w:rPr>
          <w:rFonts w:ascii="Palatino Linotype" w:eastAsia="Palatino Linotype" w:hAnsi="Palatino Linotype" w:cs="Palatino Linotype"/>
          <w:color w:val="222222"/>
        </w:rPr>
      </w:pPr>
    </w:p>
    <w:p w:rsidR="00A31ADC" w:rsidRDefault="0099078C">
      <w:pPr>
        <w:ind w:left="851" w:right="849"/>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“UNIDAD DE PLANEACIÓN, EVALUACIÓN Y CONTROL ESCOLAR </w:t>
      </w:r>
    </w:p>
    <w:p w:rsidR="00A31ADC" w:rsidRDefault="00A31ADC">
      <w:pPr>
        <w:ind w:left="851" w:right="849"/>
        <w:jc w:val="both"/>
        <w:rPr>
          <w:rFonts w:ascii="Palatino Linotype" w:eastAsia="Palatino Linotype" w:hAnsi="Palatino Linotype" w:cs="Palatino Linotype"/>
          <w:i/>
          <w:color w:val="222222"/>
          <w:sz w:val="22"/>
          <w:szCs w:val="22"/>
          <w:highlight w:val="cyan"/>
        </w:rPr>
      </w:pP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OBJETIVO: Coordinar la integración y seguimiento de los planes y programas de las unidades administrativas de la Subsecretaría de Educación Básica</w:t>
      </w:r>
      <w:r>
        <w:rPr>
          <w:rFonts w:ascii="Palatino Linotype" w:eastAsia="Palatino Linotype" w:hAnsi="Palatino Linotype" w:cs="Palatino Linotype"/>
          <w:i/>
          <w:color w:val="222222"/>
          <w:sz w:val="22"/>
          <w:szCs w:val="22"/>
        </w:rPr>
        <w:t xml:space="preserve">; la integración y emisión de la información estadística básica y </w:t>
      </w:r>
      <w:r>
        <w:rPr>
          <w:rFonts w:ascii="Palatino Linotype" w:eastAsia="Palatino Linotype" w:hAnsi="Palatino Linotype" w:cs="Palatino Linotype"/>
          <w:b/>
          <w:i/>
          <w:color w:val="222222"/>
          <w:sz w:val="22"/>
          <w:szCs w:val="22"/>
        </w:rPr>
        <w:t>el proceso de control escolar del Subsistema</w:t>
      </w:r>
      <w:r>
        <w:rPr>
          <w:rFonts w:ascii="Palatino Linotype" w:eastAsia="Palatino Linotype" w:hAnsi="Palatino Linotype" w:cs="Palatino Linotype"/>
          <w:b/>
          <w:i/>
          <w:color w:val="222222"/>
          <w:sz w:val="22"/>
          <w:szCs w:val="22"/>
        </w:rPr>
        <w:t xml:space="preserve"> Educativo Estatal</w:t>
      </w:r>
      <w:r>
        <w:rPr>
          <w:rFonts w:ascii="Palatino Linotype" w:eastAsia="Palatino Linotype" w:hAnsi="Palatino Linotype" w:cs="Palatino Linotype"/>
          <w:i/>
          <w:color w:val="222222"/>
          <w:sz w:val="22"/>
          <w:szCs w:val="22"/>
        </w:rPr>
        <w:t>.</w:t>
      </w:r>
    </w:p>
    <w:p w:rsidR="00A31ADC" w:rsidRDefault="00A31ADC">
      <w:pPr>
        <w:ind w:left="851" w:right="849"/>
        <w:jc w:val="both"/>
        <w:rPr>
          <w:i/>
          <w:sz w:val="22"/>
          <w:szCs w:val="22"/>
        </w:rPr>
      </w:pPr>
    </w:p>
    <w:p w:rsidR="00A31ADC" w:rsidRDefault="0099078C">
      <w:pPr>
        <w:ind w:left="851" w:right="849"/>
        <w:jc w:val="both"/>
        <w:rPr>
          <w:b/>
          <w:i/>
          <w:sz w:val="22"/>
          <w:szCs w:val="22"/>
        </w:rPr>
      </w:pPr>
      <w:r>
        <w:rPr>
          <w:b/>
          <w:i/>
          <w:sz w:val="22"/>
          <w:szCs w:val="22"/>
        </w:rPr>
        <w:t>FUNCIONES:</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A31ADC" w:rsidRDefault="00A31ADC">
      <w:pPr>
        <w:ind w:left="851" w:right="849"/>
        <w:jc w:val="both"/>
        <w:rPr>
          <w:rFonts w:ascii="Palatino Linotype" w:eastAsia="Palatino Linotype" w:hAnsi="Palatino Linotype" w:cs="Palatino Linotype"/>
          <w:i/>
          <w:color w:val="222222"/>
          <w:sz w:val="22"/>
          <w:szCs w:val="22"/>
        </w:rPr>
      </w:pP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Dirigir y supervisar la operación de los sistemas automatizados y los servicios de informática</w:t>
      </w:r>
      <w:r>
        <w:rPr>
          <w:rFonts w:ascii="Palatino Linotype" w:eastAsia="Palatino Linotype" w:hAnsi="Palatino Linotype" w:cs="Palatino Linotype"/>
          <w:i/>
          <w:color w:val="222222"/>
          <w:sz w:val="22"/>
          <w:szCs w:val="22"/>
        </w:rPr>
        <w:t>, que apoyen el desarrollo de las funciones sustantivas de las unidades administrativas que integran la Subsecretaría de Ed</w:t>
      </w:r>
      <w:r>
        <w:rPr>
          <w:rFonts w:ascii="Palatino Linotype" w:eastAsia="Palatino Linotype" w:hAnsi="Palatino Linotype" w:cs="Palatino Linotype"/>
          <w:i/>
          <w:color w:val="222222"/>
          <w:sz w:val="22"/>
          <w:szCs w:val="22"/>
        </w:rPr>
        <w:t>ucación Básica.</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Dirigir y coordinar el diseño de los sistemas de información estadística de educación básica, que permitan disponer de información oportuna, en coordinación con las unidades administrativas responsables.</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Coordinar el desarrollo y operac</w:t>
      </w:r>
      <w:r>
        <w:rPr>
          <w:rFonts w:ascii="Palatino Linotype" w:eastAsia="Palatino Linotype" w:hAnsi="Palatino Linotype" w:cs="Palatino Linotype"/>
          <w:b/>
          <w:i/>
          <w:color w:val="222222"/>
          <w:sz w:val="22"/>
          <w:szCs w:val="22"/>
        </w:rPr>
        <w:t>ión de los sistemas de registro escolar, acreditación, promoción, certificación de estudios de educación básica</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i/>
          <w:color w:val="222222"/>
          <w:sz w:val="22"/>
          <w:szCs w:val="22"/>
        </w:rPr>
        <w:lastRenderedPageBreak/>
        <w:t xml:space="preserve">incluyendo la educación para personas jóvenes y adultas, escuelas del deporte y escuelas de bellas artes, y titulación profesional de escuelas </w:t>
      </w:r>
      <w:r>
        <w:rPr>
          <w:rFonts w:ascii="Palatino Linotype" w:eastAsia="Palatino Linotype" w:hAnsi="Palatino Linotype" w:cs="Palatino Linotype"/>
          <w:i/>
          <w:color w:val="222222"/>
          <w:sz w:val="22"/>
          <w:szCs w:val="22"/>
        </w:rPr>
        <w:t>de bellas artes del Subsistema Educativo Estatal, con base en la normatividad federal y estatal vigente.</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Coordinar la operación de los sistemas de información</w:t>
      </w:r>
      <w:r>
        <w:rPr>
          <w:rFonts w:ascii="Palatino Linotype" w:eastAsia="Palatino Linotype" w:hAnsi="Palatino Linotype" w:cs="Palatino Linotype"/>
          <w:i/>
          <w:color w:val="222222"/>
          <w:sz w:val="22"/>
          <w:szCs w:val="22"/>
        </w:rPr>
        <w:t xml:space="preserve"> y estadística educativa consolidada</w:t>
      </w:r>
      <w:r>
        <w:rPr>
          <w:rFonts w:ascii="Palatino Linotype" w:eastAsia="Palatino Linotype" w:hAnsi="Palatino Linotype" w:cs="Palatino Linotype"/>
          <w:b/>
          <w:i/>
          <w:color w:val="222222"/>
          <w:sz w:val="22"/>
          <w:szCs w:val="22"/>
        </w:rPr>
        <w:t xml:space="preserve"> sobre los servicios de educación básica</w:t>
      </w:r>
      <w:r>
        <w:rPr>
          <w:rFonts w:ascii="Palatino Linotype" w:eastAsia="Palatino Linotype" w:hAnsi="Palatino Linotype" w:cs="Palatino Linotype"/>
          <w:i/>
          <w:color w:val="222222"/>
          <w:sz w:val="22"/>
          <w:szCs w:val="22"/>
        </w:rPr>
        <w:t>, bellas artes, escu</w:t>
      </w:r>
      <w:r>
        <w:rPr>
          <w:rFonts w:ascii="Palatino Linotype" w:eastAsia="Palatino Linotype" w:hAnsi="Palatino Linotype" w:cs="Palatino Linotype"/>
          <w:i/>
          <w:color w:val="222222"/>
          <w:sz w:val="22"/>
          <w:szCs w:val="22"/>
        </w:rPr>
        <w:t>elas del deporte y de educación para personas jóvenes y adultas, para sustentar la toma de decisiones.</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Coordinar a los Subsistemas Educativos Estatal y Federaliz</w:t>
      </w:r>
      <w:r>
        <w:rPr>
          <w:rFonts w:ascii="Palatino Linotype" w:eastAsia="Palatino Linotype" w:hAnsi="Palatino Linotype" w:cs="Palatino Linotype"/>
          <w:i/>
          <w:color w:val="222222"/>
          <w:sz w:val="22"/>
          <w:szCs w:val="22"/>
        </w:rPr>
        <w:t xml:space="preserve">ado, que participan en el Sistema Anticipado de Inscripción y Distribución (SAID) en educación básica, a efecto de realizar el seguimiento y evaluación del mismo. </w:t>
      </w:r>
    </w:p>
    <w:p w:rsidR="00A31ADC" w:rsidRDefault="0099078C">
      <w:pPr>
        <w:ind w:left="851" w:right="849"/>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Administrar el tratamiento, mantenimiento y seguridad de las bases de datos, contenidos en</w:t>
      </w:r>
      <w:r>
        <w:rPr>
          <w:rFonts w:ascii="Palatino Linotype" w:eastAsia="Palatino Linotype" w:hAnsi="Palatino Linotype" w:cs="Palatino Linotype"/>
          <w:b/>
          <w:i/>
          <w:color w:val="222222"/>
          <w:sz w:val="22"/>
          <w:szCs w:val="22"/>
        </w:rPr>
        <w:t xml:space="preserve"> sistemas informáticos, de los proyectos, programas y acciones de las unidades administrativas adscritas a la Unidad de Planeación, Evaluación y Control Escolar, a fin de garantizar el uso y cuidado de la información que contiene datos personales.</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A31ADC" w:rsidRDefault="00A31ADC">
      <w:pPr>
        <w:ind w:left="851" w:right="849"/>
        <w:jc w:val="both"/>
        <w:rPr>
          <w:rFonts w:ascii="Palatino Linotype" w:eastAsia="Palatino Linotype" w:hAnsi="Palatino Linotype" w:cs="Palatino Linotype"/>
          <w:i/>
          <w:color w:val="222222"/>
          <w:sz w:val="22"/>
          <w:szCs w:val="22"/>
        </w:rPr>
      </w:pPr>
    </w:p>
    <w:p w:rsidR="00A31ADC" w:rsidRDefault="0099078C">
      <w:pPr>
        <w:ind w:left="851" w:right="849"/>
        <w:jc w:val="center"/>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SUB</w:t>
      </w:r>
      <w:r>
        <w:rPr>
          <w:rFonts w:ascii="Palatino Linotype" w:eastAsia="Palatino Linotype" w:hAnsi="Palatino Linotype" w:cs="Palatino Linotype"/>
          <w:b/>
          <w:i/>
          <w:color w:val="222222"/>
          <w:sz w:val="22"/>
          <w:szCs w:val="22"/>
        </w:rPr>
        <w:t>DIRECCIÓN DE CONTROL ESCOLAR</w:t>
      </w:r>
    </w:p>
    <w:p w:rsidR="00A31ADC" w:rsidRDefault="00A31ADC">
      <w:pPr>
        <w:ind w:left="851" w:right="849"/>
        <w:jc w:val="center"/>
        <w:rPr>
          <w:rFonts w:ascii="Palatino Linotype" w:eastAsia="Palatino Linotype" w:hAnsi="Palatino Linotype" w:cs="Palatino Linotype"/>
          <w:b/>
          <w:i/>
          <w:color w:val="222222"/>
          <w:sz w:val="22"/>
          <w:szCs w:val="22"/>
        </w:rPr>
      </w:pP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OBJETIVO:</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Cumplir y vigilar la aplicación de la normatividad vigente para el desarrollo del proceso de control escolar en escuelas públicas y particulares de educación básica</w:t>
      </w:r>
      <w:r>
        <w:rPr>
          <w:rFonts w:ascii="Palatino Linotype" w:eastAsia="Palatino Linotype" w:hAnsi="Palatino Linotype" w:cs="Palatino Linotype"/>
          <w:i/>
          <w:color w:val="222222"/>
          <w:sz w:val="22"/>
          <w:szCs w:val="22"/>
        </w:rPr>
        <w:t>, incluyendo la educación para personas jóvenes y ad</w:t>
      </w:r>
      <w:r>
        <w:rPr>
          <w:rFonts w:ascii="Palatino Linotype" w:eastAsia="Palatino Linotype" w:hAnsi="Palatino Linotype" w:cs="Palatino Linotype"/>
          <w:i/>
          <w:color w:val="222222"/>
          <w:sz w:val="22"/>
          <w:szCs w:val="22"/>
        </w:rPr>
        <w:t xml:space="preserve">ultas, incorporados al Sistema Educativo Nacional, así como las escuelas de Bellas Artes, en el Subsistema Educativo Estatal. </w:t>
      </w:r>
    </w:p>
    <w:p w:rsidR="00A31ADC" w:rsidRDefault="00A31ADC">
      <w:pPr>
        <w:ind w:left="851" w:right="849"/>
        <w:jc w:val="both"/>
        <w:rPr>
          <w:rFonts w:ascii="Palatino Linotype" w:eastAsia="Palatino Linotype" w:hAnsi="Palatino Linotype" w:cs="Palatino Linotype"/>
          <w:i/>
          <w:color w:val="222222"/>
          <w:sz w:val="22"/>
          <w:szCs w:val="22"/>
        </w:rPr>
      </w:pPr>
    </w:p>
    <w:p w:rsidR="00A31ADC" w:rsidRDefault="0099078C">
      <w:pPr>
        <w:ind w:left="851" w:right="849"/>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FUNCIONES: </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Aplicar, asesorar, y verificar el cumplimiento de las disposiciones normativas que regulan la inscripción, reinscripción, acreditación, promoción, regularización, certificación, titulación, revalidación y equivalencia de estudios en escuelas públicas y par</w:t>
      </w:r>
      <w:r>
        <w:rPr>
          <w:rFonts w:ascii="Palatino Linotype" w:eastAsia="Palatino Linotype" w:hAnsi="Palatino Linotype" w:cs="Palatino Linotype"/>
          <w:b/>
          <w:i/>
          <w:color w:val="222222"/>
          <w:sz w:val="22"/>
          <w:szCs w:val="22"/>
        </w:rPr>
        <w:t>ticulares de educación básica, incluyendo la educación para personas jóvenes y adultas, incorporadas al Sistema Educativo Nacional, así como en las escuelas de bellas artes, en el Subsistema Educativo Estatal</w:t>
      </w:r>
      <w:r>
        <w:rPr>
          <w:rFonts w:ascii="Palatino Linotype" w:eastAsia="Palatino Linotype" w:hAnsi="Palatino Linotype" w:cs="Palatino Linotype"/>
          <w:i/>
          <w:color w:val="222222"/>
          <w:sz w:val="22"/>
          <w:szCs w:val="22"/>
        </w:rPr>
        <w:t>.</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Verificar con las áreas de control escolar d</w:t>
      </w:r>
      <w:r>
        <w:rPr>
          <w:rFonts w:ascii="Palatino Linotype" w:eastAsia="Palatino Linotype" w:hAnsi="Palatino Linotype" w:cs="Palatino Linotype"/>
          <w:i/>
          <w:color w:val="222222"/>
          <w:sz w:val="22"/>
          <w:szCs w:val="22"/>
        </w:rPr>
        <w:t xml:space="preserve">e las entidades Federativas del país, la </w:t>
      </w:r>
      <w:r>
        <w:rPr>
          <w:rFonts w:ascii="Palatino Linotype" w:eastAsia="Palatino Linotype" w:hAnsi="Palatino Linotype" w:cs="Palatino Linotype"/>
          <w:b/>
          <w:i/>
          <w:color w:val="222222"/>
          <w:sz w:val="22"/>
          <w:szCs w:val="22"/>
        </w:rPr>
        <w:t>existencia o autenticidad de antecedentes escolares de alumnos</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alumnas, exalumnos y exalumnas provenientes de las mismas</w:t>
      </w:r>
      <w:r>
        <w:rPr>
          <w:rFonts w:ascii="Palatino Linotype" w:eastAsia="Palatino Linotype" w:hAnsi="Palatino Linotype" w:cs="Palatino Linotype"/>
          <w:i/>
          <w:color w:val="222222"/>
          <w:sz w:val="22"/>
          <w:szCs w:val="22"/>
        </w:rPr>
        <w:t xml:space="preserve">, que no cuenten con documentación oficial probatoria y pretendan inscribirse en </w:t>
      </w:r>
      <w:r>
        <w:rPr>
          <w:rFonts w:ascii="Palatino Linotype" w:eastAsia="Palatino Linotype" w:hAnsi="Palatino Linotype" w:cs="Palatino Linotype"/>
          <w:i/>
          <w:color w:val="222222"/>
          <w:sz w:val="22"/>
          <w:szCs w:val="22"/>
        </w:rPr>
        <w:lastRenderedPageBreak/>
        <w:t>instituciones</w:t>
      </w:r>
      <w:r>
        <w:rPr>
          <w:rFonts w:ascii="Palatino Linotype" w:eastAsia="Palatino Linotype" w:hAnsi="Palatino Linotype" w:cs="Palatino Linotype"/>
          <w:i/>
          <w:color w:val="222222"/>
          <w:sz w:val="22"/>
          <w:szCs w:val="22"/>
        </w:rPr>
        <w:t xml:space="preserve"> educativas del Subsistema Educativo Estatal o integrarse a la vida laboral.</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Validar la autenticidad de documentos oficiales de certificación de estudios y titulación profesional, expedidos a alumnas y alumnos egresados de las escuelas de educación básic</w:t>
      </w:r>
      <w:r>
        <w:rPr>
          <w:rFonts w:ascii="Palatino Linotype" w:eastAsia="Palatino Linotype" w:hAnsi="Palatino Linotype" w:cs="Palatino Linotype"/>
          <w:i/>
          <w:color w:val="222222"/>
          <w:sz w:val="22"/>
          <w:szCs w:val="22"/>
        </w:rPr>
        <w:t xml:space="preserve">a, incluyendo la educación para personas jóvenes y adultas y de bellas artes del Subsistema Educativo Estatal, con apego a la normatividad vigente. </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Autorizar el ingreso de estudiantes provenientes del extranjero a escuelas de educación básica</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 xml:space="preserve">con base </w:t>
      </w:r>
      <w:r>
        <w:rPr>
          <w:rFonts w:ascii="Palatino Linotype" w:eastAsia="Palatino Linotype" w:hAnsi="Palatino Linotype" w:cs="Palatino Linotype"/>
          <w:b/>
          <w:i/>
          <w:color w:val="222222"/>
          <w:sz w:val="22"/>
          <w:szCs w:val="22"/>
        </w:rPr>
        <w:t>en los antecedentes académicos o personales presentados, con apego a la normatividad vigen</w:t>
      </w:r>
      <w:r>
        <w:rPr>
          <w:rFonts w:ascii="Palatino Linotype" w:eastAsia="Palatino Linotype" w:hAnsi="Palatino Linotype" w:cs="Palatino Linotype"/>
          <w:i/>
          <w:color w:val="222222"/>
          <w:sz w:val="22"/>
          <w:szCs w:val="22"/>
        </w:rPr>
        <w:t xml:space="preserve">te. </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Validar los estudios realizados por estudiantes egresadas y egresados de las escuelas de bellas artes del Subsistema Educativo Estatal, con base en los registr</w:t>
      </w:r>
      <w:r>
        <w:rPr>
          <w:rFonts w:ascii="Palatino Linotype" w:eastAsia="Palatino Linotype" w:hAnsi="Palatino Linotype" w:cs="Palatino Linotype"/>
          <w:i/>
          <w:color w:val="222222"/>
          <w:sz w:val="22"/>
          <w:szCs w:val="22"/>
        </w:rPr>
        <w:t xml:space="preserve">os de certificados y títulos profesionales. </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 xml:space="preserve"> Efectuar y vigilar la distribución de la documentación oficial de apoyo al control escolar, su uso adecuado y destino final, para llevar a cabo la acreditación y certificación de estudios, así como de titulaci</w:t>
      </w:r>
      <w:r>
        <w:rPr>
          <w:rFonts w:ascii="Palatino Linotype" w:eastAsia="Palatino Linotype" w:hAnsi="Palatino Linotype" w:cs="Palatino Linotype"/>
          <w:i/>
          <w:color w:val="222222"/>
          <w:sz w:val="22"/>
          <w:szCs w:val="22"/>
        </w:rPr>
        <w:t>ón profesional en las escuelas de bellas artes del Subsistema Educativo Estatal.</w:t>
      </w:r>
    </w:p>
    <w:p w:rsidR="00A31ADC" w:rsidRDefault="0099078C">
      <w:pPr>
        <w:ind w:left="851" w:right="84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Por lo antes manifestado, se aprecia que ambas unidades administrativas, tienen competencia para conocer la información, toda vez que cuentan con la facultad de administ</w:t>
      </w:r>
      <w:r>
        <w:rPr>
          <w:rFonts w:ascii="Palatino Linotype" w:eastAsia="Palatino Linotype" w:hAnsi="Palatino Linotype" w:cs="Palatino Linotype"/>
          <w:color w:val="222222"/>
        </w:rPr>
        <w:t xml:space="preserve">rar las bases de datos que corresponden al registro escolar, y poder determinar la existencia de la información solicitada, </w:t>
      </w:r>
      <w:r>
        <w:rPr>
          <w:rFonts w:ascii="Palatino Linotype" w:eastAsia="Palatino Linotype" w:hAnsi="Palatino Linotype" w:cs="Palatino Linotype"/>
        </w:rPr>
        <w:t>por lo que, cumplió con el procedimiento de búsqueda establecido en el artículo 162 de la Ley de Transparencia y Acceso a la Informa</w:t>
      </w:r>
      <w:r>
        <w:rPr>
          <w:rFonts w:ascii="Palatino Linotype" w:eastAsia="Palatino Linotype" w:hAnsi="Palatino Linotype" w:cs="Palatino Linotype"/>
        </w:rPr>
        <w:t>ción Pública del Estado de México.</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al contar este Órgano Garante con la información que pudiera colmar el derecho de acceso a datos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que fue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SARCOEM</w:t>
      </w:r>
      <w:r>
        <w:rPr>
          <w:rFonts w:ascii="Palatino Linotype" w:eastAsia="Palatino Linotype" w:hAnsi="Palatino Linotype" w:cs="Palatino Linotype"/>
        </w:rPr>
        <w:t>, el sentido del presente fallo</w:t>
      </w:r>
      <w:r>
        <w:rPr>
          <w:rFonts w:ascii="Palatino Linotype" w:eastAsia="Palatino Linotype" w:hAnsi="Palatino Linotype" w:cs="Palatino Linotype"/>
        </w:rPr>
        <w:t xml:space="preserve"> pudiese ser el sobreseimiento, sin embargo, existe un limitante para poder dar acceso a datos de la menor en un interés superior, por lo que en términos del artículo 1 fracción I de la Ley General de los Derechos de Niñas, Niños y </w:t>
      </w:r>
      <w:r>
        <w:rPr>
          <w:rFonts w:ascii="Palatino Linotype" w:eastAsia="Palatino Linotype" w:hAnsi="Palatino Linotype" w:cs="Palatino Linotype"/>
        </w:rPr>
        <w:lastRenderedPageBreak/>
        <w:t>Adolescentes, se reconoc</w:t>
      </w:r>
      <w:r>
        <w:rPr>
          <w:rFonts w:ascii="Palatino Linotype" w:eastAsia="Palatino Linotype" w:hAnsi="Palatino Linotype" w:cs="Palatino Linotype"/>
        </w:rPr>
        <w:t>e: “</w:t>
      </w:r>
      <w:r>
        <w:rPr>
          <w:rFonts w:ascii="Palatino Linotype" w:eastAsia="Palatino Linotype" w:hAnsi="Palatino Linotype" w:cs="Palatino Linotype"/>
          <w:i/>
        </w:rPr>
        <w:t>Que las niñas, niños y adolescentes como titulares de derechos, con capacidad de goce de los mismos, de conformidad con los principios de universalidad, interdependencia, indivisibilidad y progresividad; en los términos que establece el artículo 1 de l</w:t>
      </w:r>
      <w:r>
        <w:rPr>
          <w:rFonts w:ascii="Palatino Linotype" w:eastAsia="Palatino Linotype" w:hAnsi="Palatino Linotype" w:cs="Palatino Linotype"/>
          <w:i/>
        </w:rPr>
        <w:t>a Constitución Política de los Estados Unidos Mexicanos</w:t>
      </w:r>
      <w:r>
        <w:rPr>
          <w:rFonts w:ascii="Palatino Linotype" w:eastAsia="Palatino Linotype" w:hAnsi="Palatino Linotype" w:cs="Palatino Linotype"/>
        </w:rPr>
        <w:t xml:space="preserve">”. </w:t>
      </w:r>
    </w:p>
    <w:p w:rsidR="00A31ADC" w:rsidRDefault="00A31ADC">
      <w:pPr>
        <w:spacing w:line="360" w:lineRule="auto"/>
        <w:jc w:val="both"/>
        <w:rPr>
          <w:rFonts w:ascii="Palatino Linotype" w:eastAsia="Palatino Linotype" w:hAnsi="Palatino Linotype" w:cs="Palatino Linotype"/>
        </w:rPr>
      </w:pP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virtud, la citada Ley General tiene por objeto garantizar el pleno ejercicio, respeto, protección y promoción de los derechos humanos de niñas, niños y adolescentes conforme a lo establecid</w:t>
      </w:r>
      <w:r>
        <w:rPr>
          <w:rFonts w:ascii="Palatino Linotype" w:eastAsia="Palatino Linotype" w:hAnsi="Palatino Linotype" w:cs="Palatino Linotype"/>
        </w:rPr>
        <w:t>o en la Carta Magna y en los tratados internacionales de los que el Estado mexicano forma parte, por lo que la citada Ley General, en sus artículos 76, 77 y 83 señalan:</w:t>
      </w:r>
    </w:p>
    <w:p w:rsidR="00A31ADC" w:rsidRDefault="00A31ADC">
      <w:pPr>
        <w:spacing w:line="360" w:lineRule="auto"/>
        <w:jc w:val="both"/>
        <w:rPr>
          <w:rFonts w:ascii="Palatino Linotype" w:eastAsia="Palatino Linotype" w:hAnsi="Palatino Linotype" w:cs="Palatino Linotype"/>
        </w:rPr>
      </w:pP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76.</w:t>
      </w:r>
      <w:r>
        <w:rPr>
          <w:rFonts w:ascii="Palatino Linotype" w:eastAsia="Palatino Linotype" w:hAnsi="Palatino Linotype" w:cs="Palatino Linotype"/>
          <w:i/>
          <w:sz w:val="22"/>
          <w:szCs w:val="22"/>
        </w:rPr>
        <w:t xml:space="preserve"> Niñas, niños y adolescentes tienen derecho a la intimidad personal y familiar, </w:t>
      </w:r>
      <w:r>
        <w:rPr>
          <w:rFonts w:ascii="Palatino Linotype" w:eastAsia="Palatino Linotype" w:hAnsi="Palatino Linotype" w:cs="Palatino Linotype"/>
          <w:b/>
          <w:i/>
          <w:sz w:val="22"/>
          <w:szCs w:val="22"/>
        </w:rPr>
        <w:t>y a la protección de sus datos personales.</w:t>
      </w:r>
      <w:r>
        <w:rPr>
          <w:rFonts w:ascii="Palatino Linotype" w:eastAsia="Palatino Linotype" w:hAnsi="Palatino Linotype" w:cs="Palatino Linotype"/>
          <w:i/>
          <w:sz w:val="22"/>
          <w:szCs w:val="22"/>
        </w:rPr>
        <w:t xml:space="preserve"> </w:t>
      </w:r>
    </w:p>
    <w:p w:rsidR="00A31ADC" w:rsidRDefault="00A31ADC">
      <w:pPr>
        <w:tabs>
          <w:tab w:val="left" w:pos="8505"/>
        </w:tabs>
        <w:ind w:left="709" w:right="709"/>
        <w:jc w:val="both"/>
        <w:rPr>
          <w:rFonts w:ascii="Palatino Linotype" w:eastAsia="Palatino Linotype" w:hAnsi="Palatino Linotype" w:cs="Palatino Linotype"/>
          <w:i/>
          <w:sz w:val="22"/>
          <w:szCs w:val="22"/>
        </w:rPr>
      </w:pP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Niñas, niños y adolescentes </w:t>
      </w:r>
      <w:r>
        <w:rPr>
          <w:rFonts w:ascii="Palatino Linotype" w:eastAsia="Palatino Linotype" w:hAnsi="Palatino Linotype" w:cs="Palatino Linotype"/>
          <w:b/>
          <w:i/>
          <w:sz w:val="22"/>
          <w:szCs w:val="22"/>
        </w:rPr>
        <w:t>no podrán ser objeto de injerencias arbitrarias o ilegales en su vida privada</w:t>
      </w:r>
      <w:r>
        <w:rPr>
          <w:rFonts w:ascii="Palatino Linotype" w:eastAsia="Palatino Linotype" w:hAnsi="Palatino Linotype" w:cs="Palatino Linotype"/>
          <w:i/>
          <w:sz w:val="22"/>
          <w:szCs w:val="22"/>
        </w:rPr>
        <w:t xml:space="preserve">, su familia, su domicilio o su correspondencia; </w:t>
      </w:r>
      <w:r>
        <w:rPr>
          <w:rFonts w:ascii="Palatino Linotype" w:eastAsia="Palatino Linotype" w:hAnsi="Palatino Linotype" w:cs="Palatino Linotype"/>
          <w:b/>
          <w:i/>
          <w:sz w:val="22"/>
          <w:szCs w:val="22"/>
        </w:rPr>
        <w:t>tampoco de divulgaciones o difusiones ilícitas de información o datos personales</w:t>
      </w:r>
      <w:r>
        <w:rPr>
          <w:rFonts w:ascii="Palatino Linotype" w:eastAsia="Palatino Linotype" w:hAnsi="Palatino Linotype" w:cs="Palatino Linotype"/>
          <w:i/>
          <w:sz w:val="22"/>
          <w:szCs w:val="22"/>
        </w:rPr>
        <w:t xml:space="preserve">, incluyendo aquélla que tenga carácter informativo a la opinión pública o de noticia que permita identificarlos y que atenten </w:t>
      </w:r>
      <w:r>
        <w:rPr>
          <w:rFonts w:ascii="Palatino Linotype" w:eastAsia="Palatino Linotype" w:hAnsi="Palatino Linotype" w:cs="Palatino Linotype"/>
          <w:i/>
          <w:sz w:val="22"/>
          <w:szCs w:val="22"/>
        </w:rPr>
        <w:t xml:space="preserve">contra su honra, imagen o reputación. </w:t>
      </w:r>
    </w:p>
    <w:p w:rsidR="00A31ADC" w:rsidRDefault="00A31ADC">
      <w:pPr>
        <w:tabs>
          <w:tab w:val="left" w:pos="8505"/>
        </w:tabs>
        <w:ind w:left="709" w:right="709"/>
        <w:jc w:val="both"/>
        <w:rPr>
          <w:rFonts w:ascii="Palatino Linotype" w:eastAsia="Palatino Linotype" w:hAnsi="Palatino Linotype" w:cs="Palatino Linotype"/>
          <w:i/>
          <w:sz w:val="22"/>
          <w:szCs w:val="22"/>
        </w:rPr>
      </w:pP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Quienes ejerzan la patria potestad, tutela o guarda y custodia, deberán orientar, supervisar y, en su caso, restringir, las conductas y hábitos de niñas, niños y adolescentes, </w:t>
      </w:r>
      <w:r>
        <w:rPr>
          <w:rFonts w:ascii="Palatino Linotype" w:eastAsia="Palatino Linotype" w:hAnsi="Palatino Linotype" w:cs="Palatino Linotype"/>
          <w:b/>
          <w:i/>
          <w:sz w:val="22"/>
          <w:szCs w:val="22"/>
        </w:rPr>
        <w:t>siempre que atiendan al interés superior</w:t>
      </w:r>
      <w:r>
        <w:rPr>
          <w:rFonts w:ascii="Palatino Linotype" w:eastAsia="Palatino Linotype" w:hAnsi="Palatino Linotype" w:cs="Palatino Linotype"/>
          <w:b/>
          <w:i/>
          <w:sz w:val="22"/>
          <w:szCs w:val="22"/>
        </w:rPr>
        <w:t xml:space="preserve"> de la niñez</w:t>
      </w:r>
      <w:r>
        <w:rPr>
          <w:rFonts w:ascii="Palatino Linotype" w:eastAsia="Palatino Linotype" w:hAnsi="Palatino Linotype" w:cs="Palatino Linotype"/>
          <w:i/>
          <w:sz w:val="22"/>
          <w:szCs w:val="22"/>
        </w:rPr>
        <w:t>.</w:t>
      </w:r>
    </w:p>
    <w:p w:rsidR="00A31ADC" w:rsidRDefault="00A31ADC">
      <w:pPr>
        <w:tabs>
          <w:tab w:val="left" w:pos="8505"/>
        </w:tabs>
        <w:ind w:left="709" w:right="709"/>
        <w:jc w:val="both"/>
        <w:rPr>
          <w:rFonts w:ascii="Palatino Linotype" w:eastAsia="Palatino Linotype" w:hAnsi="Palatino Linotype" w:cs="Palatino Linotype"/>
          <w:i/>
          <w:sz w:val="22"/>
          <w:szCs w:val="22"/>
        </w:rPr>
      </w:pP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considerará violación a la intimidad de niñas,</w:t>
      </w:r>
      <w:r>
        <w:rPr>
          <w:rFonts w:ascii="Palatino Linotype" w:eastAsia="Palatino Linotype" w:hAnsi="Palatino Linotype" w:cs="Palatino Linotype"/>
          <w:i/>
          <w:sz w:val="22"/>
          <w:szCs w:val="22"/>
        </w:rPr>
        <w:t xml:space="preserve"> niños o adolescentes </w:t>
      </w:r>
      <w:r>
        <w:rPr>
          <w:rFonts w:ascii="Palatino Linotype" w:eastAsia="Palatino Linotype" w:hAnsi="Palatino Linotype" w:cs="Palatino Linotype"/>
          <w:b/>
          <w:i/>
          <w:sz w:val="22"/>
          <w:szCs w:val="22"/>
        </w:rPr>
        <w:t>cualquier manejo directo de</w:t>
      </w:r>
      <w:r>
        <w:rPr>
          <w:rFonts w:ascii="Palatino Linotype" w:eastAsia="Palatino Linotype" w:hAnsi="Palatino Linotype" w:cs="Palatino Linotype"/>
          <w:i/>
          <w:sz w:val="22"/>
          <w:szCs w:val="22"/>
        </w:rPr>
        <w:t xml:space="preserve"> su imagen, nombre, datos personales o </w:t>
      </w:r>
      <w:r>
        <w:rPr>
          <w:rFonts w:ascii="Palatino Linotype" w:eastAsia="Palatino Linotype" w:hAnsi="Palatino Linotype" w:cs="Palatino Linotype"/>
          <w:b/>
          <w:i/>
          <w:sz w:val="22"/>
          <w:szCs w:val="22"/>
        </w:rPr>
        <w:t>referencias que permitan su identificación</w:t>
      </w:r>
      <w:r>
        <w:rPr>
          <w:rFonts w:ascii="Palatino Linotype" w:eastAsia="Palatino Linotype" w:hAnsi="Palatino Linotype" w:cs="Palatino Linotype"/>
          <w:i/>
          <w:sz w:val="22"/>
          <w:szCs w:val="22"/>
        </w:rPr>
        <w:t xml:space="preserve"> en los medios de comunicación que cuenten con co</w:t>
      </w:r>
      <w:r>
        <w:rPr>
          <w:rFonts w:ascii="Palatino Linotype" w:eastAsia="Palatino Linotype" w:hAnsi="Palatino Linotype" w:cs="Palatino Linotype"/>
          <w:i/>
          <w:sz w:val="22"/>
          <w:szCs w:val="22"/>
        </w:rPr>
        <w:t xml:space="preserve">ncesión para prestar el servicio de radiodifusión y telecomunicaciones, así como medios impresos, o en medios electrónicos de los que tenga control el concesionario o medio impreso del que se trate, que menoscabe su </w:t>
      </w:r>
      <w:r>
        <w:rPr>
          <w:rFonts w:ascii="Palatino Linotype" w:eastAsia="Palatino Linotype" w:hAnsi="Palatino Linotype" w:cs="Palatino Linotype"/>
          <w:i/>
          <w:sz w:val="22"/>
          <w:szCs w:val="22"/>
        </w:rPr>
        <w:lastRenderedPageBreak/>
        <w:t xml:space="preserve">honra o reputación, sea contrario a sus </w:t>
      </w:r>
      <w:r>
        <w:rPr>
          <w:rFonts w:ascii="Palatino Linotype" w:eastAsia="Palatino Linotype" w:hAnsi="Palatino Linotype" w:cs="Palatino Linotype"/>
          <w:i/>
          <w:sz w:val="22"/>
          <w:szCs w:val="22"/>
        </w:rPr>
        <w:t>derechos o que los ponga en riesgo, conforme al principio de interés superior de la niñez.</w:t>
      </w:r>
    </w:p>
    <w:p w:rsidR="00A31ADC" w:rsidRDefault="00A31ADC">
      <w:pPr>
        <w:tabs>
          <w:tab w:val="left" w:pos="8505"/>
        </w:tabs>
        <w:ind w:left="709" w:right="709"/>
        <w:jc w:val="both"/>
        <w:rPr>
          <w:rFonts w:ascii="Palatino Linotype" w:eastAsia="Palatino Linotype" w:hAnsi="Palatino Linotype" w:cs="Palatino Linotype"/>
          <w:i/>
          <w:sz w:val="22"/>
          <w:szCs w:val="22"/>
        </w:rPr>
      </w:pP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83.</w:t>
      </w:r>
      <w:r>
        <w:rPr>
          <w:rFonts w:ascii="Palatino Linotype" w:eastAsia="Palatino Linotype" w:hAnsi="Palatino Linotype" w:cs="Palatino Linotype"/>
          <w:i/>
          <w:sz w:val="22"/>
          <w:szCs w:val="22"/>
        </w:rPr>
        <w:t xml:space="preserve"> Las autoridades federales, </w:t>
      </w:r>
      <w:r>
        <w:rPr>
          <w:rFonts w:ascii="Palatino Linotype" w:eastAsia="Palatino Linotype" w:hAnsi="Palatino Linotype" w:cs="Palatino Linotype"/>
          <w:b/>
          <w:i/>
          <w:sz w:val="22"/>
          <w:szCs w:val="22"/>
        </w:rPr>
        <w:t>de las entidades federativas</w:t>
      </w:r>
      <w:r>
        <w:rPr>
          <w:rFonts w:ascii="Palatino Linotype" w:eastAsia="Palatino Linotype" w:hAnsi="Palatino Linotype" w:cs="Palatino Linotype"/>
          <w:i/>
          <w:sz w:val="22"/>
          <w:szCs w:val="22"/>
        </w:rPr>
        <w:t>, municipales y de las demarcaciones territoriales de la Ciudad de México, que sustancien proced</w:t>
      </w:r>
      <w:r>
        <w:rPr>
          <w:rFonts w:ascii="Palatino Linotype" w:eastAsia="Palatino Linotype" w:hAnsi="Palatino Linotype" w:cs="Palatino Linotype"/>
          <w:i/>
          <w:sz w:val="22"/>
          <w:szCs w:val="22"/>
        </w:rPr>
        <w:t xml:space="preserve">imientos de carácter jurisdiccional o </w:t>
      </w:r>
      <w:r>
        <w:rPr>
          <w:rFonts w:ascii="Palatino Linotype" w:eastAsia="Palatino Linotype" w:hAnsi="Palatino Linotype" w:cs="Palatino Linotype"/>
          <w:b/>
          <w:i/>
          <w:sz w:val="22"/>
          <w:szCs w:val="22"/>
        </w:rPr>
        <w:t>administrativo o que realicen cualquier acto de autoridad en los que estén relacionados niñas, niños o adolescentes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conformidad con su edad, desarrollo evolutivo, cognoscitivo y grado de madurez estarán obligadas a</w:t>
      </w:r>
      <w:r>
        <w:rPr>
          <w:rFonts w:ascii="Palatino Linotype" w:eastAsia="Palatino Linotype" w:hAnsi="Palatino Linotype" w:cs="Palatino Linotype"/>
          <w:b/>
          <w:i/>
          <w:sz w:val="22"/>
          <w:szCs w:val="22"/>
        </w:rPr>
        <w:t xml:space="preserve"> observar</w:t>
      </w:r>
      <w:r>
        <w:rPr>
          <w:rFonts w:ascii="Palatino Linotype" w:eastAsia="Palatino Linotype" w:hAnsi="Palatino Linotype" w:cs="Palatino Linotype"/>
          <w:i/>
          <w:sz w:val="22"/>
          <w:szCs w:val="22"/>
        </w:rPr>
        <w:t>, cuando menos a:</w:t>
      </w: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31ADC" w:rsidRDefault="0099078C">
      <w:pPr>
        <w:tabs>
          <w:tab w:val="left" w:pos="8505"/>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Implementar medidas para proteger a niñas, niños o adolescentes de sufrimientos durante su participación y garantizar el resguardo de su intimidad y datos personales.”</w:t>
      </w:r>
    </w:p>
    <w:p w:rsidR="00A31ADC" w:rsidRDefault="00A31ADC">
      <w:pPr>
        <w:tabs>
          <w:tab w:val="left" w:pos="8505"/>
        </w:tabs>
        <w:ind w:left="709" w:right="709"/>
        <w:jc w:val="both"/>
        <w:rPr>
          <w:rFonts w:ascii="Palatino Linotype" w:eastAsia="Palatino Linotype" w:hAnsi="Palatino Linotype" w:cs="Palatino Linotype"/>
          <w:i/>
          <w:sz w:val="22"/>
          <w:szCs w:val="22"/>
        </w:rPr>
      </w:pP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el artículo 8 de la Ley de Protecci</w:t>
      </w:r>
      <w:r>
        <w:rPr>
          <w:rFonts w:ascii="Palatino Linotype" w:eastAsia="Palatino Linotype" w:hAnsi="Palatino Linotype" w:cs="Palatino Linotype"/>
        </w:rPr>
        <w:t xml:space="preserve">ón de Datos Personales en Posesión de Sujetos Obligados del Estado de México y Municipios, señala: </w:t>
      </w:r>
    </w:p>
    <w:p w:rsidR="00A31ADC" w:rsidRDefault="0099078C">
      <w:pPr>
        <w:tabs>
          <w:tab w:val="left" w:pos="7938"/>
        </w:tabs>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 el tratamiento de datos personales de niñas, niños y adolescentes se privilegiará el interés superior de ésto</w:t>
      </w:r>
      <w:r>
        <w:rPr>
          <w:rFonts w:ascii="Palatino Linotype" w:eastAsia="Palatino Linotype" w:hAnsi="Palatino Linotype" w:cs="Palatino Linotype"/>
          <w:i/>
          <w:sz w:val="22"/>
          <w:szCs w:val="22"/>
        </w:rPr>
        <w:t>s, en términos de la Ley Genera</w:t>
      </w:r>
      <w:r>
        <w:rPr>
          <w:rFonts w:ascii="Palatino Linotype" w:eastAsia="Palatino Linotype" w:hAnsi="Palatino Linotype" w:cs="Palatino Linotype"/>
          <w:i/>
          <w:sz w:val="22"/>
          <w:szCs w:val="22"/>
        </w:rPr>
        <w:t xml:space="preserve">l de los Derechos de Niñas, Niños y Adolescentes, la Ley de Niñas, Niños y Adolescentes del Estado de México y las demás disposiciones legales aplicables, y se adoptarán las medidas idóneas para su protección. </w:t>
      </w:r>
    </w:p>
    <w:p w:rsidR="00A31ADC" w:rsidRDefault="00A31ADC">
      <w:pPr>
        <w:tabs>
          <w:tab w:val="left" w:pos="7938"/>
        </w:tabs>
        <w:ind w:left="567" w:right="708"/>
        <w:jc w:val="both"/>
        <w:rPr>
          <w:rFonts w:ascii="Palatino Linotype" w:eastAsia="Palatino Linotype" w:hAnsi="Palatino Linotype" w:cs="Palatino Linotype"/>
          <w:i/>
          <w:sz w:val="22"/>
          <w:szCs w:val="22"/>
        </w:rPr>
      </w:pPr>
    </w:p>
    <w:p w:rsidR="00A31ADC" w:rsidRDefault="0099078C">
      <w:pPr>
        <w:tabs>
          <w:tab w:val="left" w:pos="7938"/>
        </w:tabs>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El consentimiento se hará por conducto de la</w:t>
      </w:r>
      <w:r>
        <w:rPr>
          <w:rFonts w:ascii="Palatino Linotype" w:eastAsia="Palatino Linotype" w:hAnsi="Palatino Linotype" w:cs="Palatino Linotype"/>
          <w:b/>
          <w:i/>
          <w:sz w:val="22"/>
          <w:szCs w:val="22"/>
          <w:u w:val="single"/>
        </w:rPr>
        <w:t xml:space="preserve"> o el titular de la patria potestad o tutel</w:t>
      </w:r>
      <w:r>
        <w:rPr>
          <w:rFonts w:ascii="Palatino Linotype" w:eastAsia="Palatino Linotype" w:hAnsi="Palatino Linotype" w:cs="Palatino Linotype"/>
          <w:i/>
          <w:sz w:val="22"/>
          <w:szCs w:val="22"/>
          <w:u w:val="single"/>
        </w:rPr>
        <w:t>a</w:t>
      </w:r>
      <w:r>
        <w:rPr>
          <w:rFonts w:ascii="Palatino Linotype" w:eastAsia="Palatino Linotype" w:hAnsi="Palatino Linotype" w:cs="Palatino Linotype"/>
          <w:i/>
          <w:sz w:val="22"/>
          <w:szCs w:val="22"/>
        </w:rPr>
        <w:t xml:space="preserve">, y el responsable del tratamiento obtendrá su autorización por escrito, así mismo </w:t>
      </w:r>
      <w:r>
        <w:rPr>
          <w:rFonts w:ascii="Palatino Linotype" w:eastAsia="Palatino Linotype" w:hAnsi="Palatino Linotype" w:cs="Palatino Linotype"/>
          <w:b/>
          <w:i/>
          <w:sz w:val="22"/>
          <w:szCs w:val="22"/>
        </w:rPr>
        <w:t>verificará que el consentimiento fue dado o autorizado por la o el titular de la patria potestad o tutela sobre la niña, niño o a</w:t>
      </w:r>
      <w:r>
        <w:rPr>
          <w:rFonts w:ascii="Palatino Linotype" w:eastAsia="Palatino Linotype" w:hAnsi="Palatino Linotype" w:cs="Palatino Linotype"/>
          <w:b/>
          <w:i/>
          <w:sz w:val="22"/>
          <w:szCs w:val="22"/>
        </w:rPr>
        <w:t>dolescente</w:t>
      </w:r>
      <w:r>
        <w:rPr>
          <w:rFonts w:ascii="Palatino Linotype" w:eastAsia="Palatino Linotype" w:hAnsi="Palatino Linotype" w:cs="Palatino Linotype"/>
          <w:i/>
          <w:sz w:val="22"/>
          <w:szCs w:val="22"/>
        </w:rPr>
        <w:t xml:space="preserve">. </w:t>
      </w:r>
    </w:p>
    <w:p w:rsidR="00A31ADC" w:rsidRDefault="00A31ADC">
      <w:pPr>
        <w:tabs>
          <w:tab w:val="left" w:pos="7938"/>
        </w:tabs>
        <w:ind w:left="567" w:right="708"/>
        <w:jc w:val="both"/>
        <w:rPr>
          <w:rFonts w:ascii="Palatino Linotype" w:eastAsia="Palatino Linotype" w:hAnsi="Palatino Linotype" w:cs="Palatino Linotype"/>
          <w:i/>
          <w:sz w:val="22"/>
          <w:szCs w:val="22"/>
        </w:rPr>
      </w:pPr>
    </w:p>
    <w:p w:rsidR="00A31ADC" w:rsidRDefault="0099078C">
      <w:pPr>
        <w:tabs>
          <w:tab w:val="left" w:pos="7938"/>
        </w:tabs>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se publicarán los datos personales de niñas, niños y adolescentes, a excepción del consentimiento de su representante y no sea contraria al interés superior de la niñez. Tratándose de obligaciones de transparencia o análogas, se publicará </w:t>
      </w:r>
      <w:r>
        <w:rPr>
          <w:rFonts w:ascii="Palatino Linotype" w:eastAsia="Palatino Linotype" w:hAnsi="Palatino Linotype" w:cs="Palatino Linotype"/>
          <w:i/>
          <w:sz w:val="22"/>
          <w:szCs w:val="22"/>
        </w:rPr>
        <w:t xml:space="preserve">el nombre de la o el representante, acompañado del seudónimo del menor. </w:t>
      </w:r>
    </w:p>
    <w:p w:rsidR="00A31ADC" w:rsidRDefault="00A31ADC">
      <w:pPr>
        <w:tabs>
          <w:tab w:val="left" w:pos="7938"/>
        </w:tabs>
        <w:ind w:left="567" w:right="708"/>
        <w:jc w:val="both"/>
        <w:rPr>
          <w:rFonts w:ascii="Palatino Linotype" w:eastAsia="Palatino Linotype" w:hAnsi="Palatino Linotype" w:cs="Palatino Linotype"/>
          <w:i/>
          <w:sz w:val="22"/>
          <w:szCs w:val="22"/>
        </w:rPr>
      </w:pPr>
    </w:p>
    <w:p w:rsidR="00A31ADC" w:rsidRDefault="0099078C">
      <w:pPr>
        <w:tabs>
          <w:tab w:val="left" w:pos="7938"/>
        </w:tabs>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rPr>
        <w:t>responsable podrá limitar el acceso de la o el representante a los datos personales sensibles de adolescentes, en aquellos casos que se puedan afectar sus derechos humanos siempre</w:t>
      </w:r>
      <w:r>
        <w:rPr>
          <w:rFonts w:ascii="Palatino Linotype" w:eastAsia="Palatino Linotype" w:hAnsi="Palatino Linotype" w:cs="Palatino Linotype"/>
          <w:b/>
          <w:i/>
          <w:sz w:val="22"/>
          <w:szCs w:val="22"/>
        </w:rPr>
        <w:t xml:space="preserve"> y cuando no contravenga el interés superior</w:t>
      </w:r>
      <w:r>
        <w:rPr>
          <w:rFonts w:ascii="Palatino Linotype" w:eastAsia="Palatino Linotype" w:hAnsi="Palatino Linotype" w:cs="Palatino Linotype"/>
          <w:i/>
          <w:sz w:val="22"/>
          <w:szCs w:val="22"/>
        </w:rPr>
        <w:t>.”</w:t>
      </w:r>
    </w:p>
    <w:p w:rsidR="00A31ADC" w:rsidRDefault="0099078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lo antes expuesto, se destaca que en atención a la protección de datos personales de la menor, </w:t>
      </w:r>
      <w:r>
        <w:rPr>
          <w:rFonts w:ascii="Palatino Linotype" w:eastAsia="Palatino Linotype" w:hAnsi="Palatino Linotype" w:cs="Palatino Linotype"/>
          <w:b/>
        </w:rPr>
        <w:t>se requerirá del consentimiento de la o él titular de la patria potestad o tutela</w:t>
      </w:r>
      <w:r>
        <w:rPr>
          <w:rFonts w:ascii="Palatino Linotype" w:eastAsia="Palatino Linotype" w:hAnsi="Palatino Linotype" w:cs="Palatino Linotype"/>
        </w:rPr>
        <w:t xml:space="preserve">, y como ha quedado expresado en la solicitud de acceso a datos,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requiere el acceso </w:t>
      </w:r>
      <w:r>
        <w:rPr>
          <w:rFonts w:ascii="Palatino Linotype" w:eastAsia="Palatino Linotype" w:hAnsi="Palatino Linotype" w:cs="Palatino Linotype"/>
          <w:i/>
          <w:color w:val="000000"/>
        </w:rPr>
        <w:t xml:space="preserve">para solicitar la patria potestad y determinar guardia y custodia, </w:t>
      </w:r>
      <w:r>
        <w:rPr>
          <w:rFonts w:ascii="Palatino Linotype" w:eastAsia="Palatino Linotype" w:hAnsi="Palatino Linotype" w:cs="Palatino Linotype"/>
          <w:color w:val="000000"/>
        </w:rPr>
        <w:t>por tanto, es claro que no cuenta con ello.</w:t>
      </w:r>
    </w:p>
    <w:p w:rsidR="00A31ADC" w:rsidRDefault="0099078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señalado, no basta que el ahora </w:t>
      </w:r>
      <w:r>
        <w:rPr>
          <w:rFonts w:ascii="Palatino Linotype" w:eastAsia="Palatino Linotype" w:hAnsi="Palatino Linotype" w:cs="Palatino Linotype"/>
          <w:b/>
          <w:color w:val="000000"/>
        </w:rPr>
        <w:t>RE</w:t>
      </w:r>
      <w:r>
        <w:rPr>
          <w:rFonts w:ascii="Palatino Linotype" w:eastAsia="Palatino Linotype" w:hAnsi="Palatino Linotype" w:cs="Palatino Linotype"/>
          <w:b/>
          <w:color w:val="000000"/>
        </w:rPr>
        <w:t>CURRENTE</w:t>
      </w:r>
      <w:r>
        <w:rPr>
          <w:rFonts w:ascii="Palatino Linotype" w:eastAsia="Palatino Linotype" w:hAnsi="Palatino Linotype" w:cs="Palatino Linotype"/>
          <w:color w:val="000000"/>
        </w:rPr>
        <w:t xml:space="preserve"> sea el padre de la menor para poder acceder a sus datos personales, sino que deberá contar con la patria potestad que lo faculte para su acceso, de acuerdo con el interés superior de la niñez. </w:t>
      </w:r>
    </w:p>
    <w:p w:rsidR="00A31ADC" w:rsidRDefault="0099078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ante esta circunstancia el artículo 21 d</w:t>
      </w:r>
      <w:r>
        <w:rPr>
          <w:rFonts w:ascii="Palatino Linotype" w:eastAsia="Palatino Linotype" w:hAnsi="Palatino Linotype" w:cs="Palatino Linotype"/>
          <w:color w:val="000000"/>
        </w:rPr>
        <w:t>e la Ley de Protección de Datos Personales en Posesión de Sujetos Obligados del Estado de México y Municipios, establece las siguientes excepciones al principio de consentimiento:</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21.</w:t>
      </w:r>
      <w:r>
        <w:rPr>
          <w:rFonts w:ascii="Palatino Linotype" w:eastAsia="Palatino Linotype" w:hAnsi="Palatino Linotype" w:cs="Palatino Linotype"/>
          <w:i/>
          <w:sz w:val="22"/>
          <w:szCs w:val="22"/>
        </w:rPr>
        <w:t xml:space="preserve"> El responsable no estará obligado a recabar el consentimiento de la o el titular para el tratamiento de sus datos personales en los casos siguientes: </w:t>
      </w:r>
    </w:p>
    <w:p w:rsidR="00A31ADC" w:rsidRDefault="00A31ADC">
      <w:pPr>
        <w:ind w:left="709" w:right="709"/>
        <w:jc w:val="both"/>
        <w:rPr>
          <w:rFonts w:ascii="Palatino Linotype" w:eastAsia="Palatino Linotype" w:hAnsi="Palatino Linotype" w:cs="Palatino Linotype"/>
          <w:i/>
          <w:sz w:val="22"/>
          <w:szCs w:val="22"/>
        </w:rPr>
      </w:pP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Lo establezca una disposición acordes con las bases, principios y disposiciones establecidas en esta</w:t>
      </w:r>
      <w:r>
        <w:rPr>
          <w:rFonts w:ascii="Palatino Linotype" w:eastAsia="Palatino Linotype" w:hAnsi="Palatino Linotype" w:cs="Palatino Linotype"/>
          <w:i/>
          <w:sz w:val="22"/>
          <w:szCs w:val="22"/>
        </w:rPr>
        <w:t xml:space="preserve"> Ley.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Las transferencias que se realicen entre responsables, sean sobre datos personales que se utilicen para el ejercicio de facultades propias, compatibles o análogas con la finalidad que motivó su tratamiento. </w:t>
      </w:r>
    </w:p>
    <w:p w:rsidR="00A31ADC" w:rsidRDefault="0099078C">
      <w:pPr>
        <w:ind w:left="709"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III. Exista una orden judicial, resol</w:t>
      </w:r>
      <w:r>
        <w:rPr>
          <w:rFonts w:ascii="Palatino Linotype" w:eastAsia="Palatino Linotype" w:hAnsi="Palatino Linotype" w:cs="Palatino Linotype"/>
          <w:b/>
          <w:i/>
          <w:sz w:val="22"/>
          <w:szCs w:val="22"/>
          <w:u w:val="single"/>
        </w:rPr>
        <w:t xml:space="preserve">ución o mandato fundado y motivado de autoridad competente.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El reconocimiento o defensa de derechos de la o el titular ante autoridad competente.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datos personales se requieran para ejercer un derecho o cumplir obligaciones derivadas de una rel</w:t>
      </w:r>
      <w:r>
        <w:rPr>
          <w:rFonts w:ascii="Palatino Linotype" w:eastAsia="Palatino Linotype" w:hAnsi="Palatino Linotype" w:cs="Palatino Linotype"/>
          <w:i/>
          <w:sz w:val="22"/>
          <w:szCs w:val="22"/>
        </w:rPr>
        <w:t xml:space="preserve">ación jurídica entre la o el titular y el responsable.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Exista una situación de emergencia que pueda dañar a un individuo en su persona o en sus bienes.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VII. Los datos personales sean necesarios para el tratamiento de prevención, diagnóstico y la pres</w:t>
      </w:r>
      <w:r>
        <w:rPr>
          <w:rFonts w:ascii="Palatino Linotype" w:eastAsia="Palatino Linotype" w:hAnsi="Palatino Linotype" w:cs="Palatino Linotype"/>
          <w:i/>
          <w:sz w:val="22"/>
          <w:szCs w:val="22"/>
        </w:rPr>
        <w:t xml:space="preserve">tación de asistencia sanitaria.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Los datos personales figuren en fuentes de acceso público.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Los datos personales se sometan de manera previa a procedimientos de </w:t>
      </w:r>
      <w:proofErr w:type="spellStart"/>
      <w:r>
        <w:rPr>
          <w:rFonts w:ascii="Palatino Linotype" w:eastAsia="Palatino Linotype" w:hAnsi="Palatino Linotype" w:cs="Palatino Linotype"/>
          <w:i/>
          <w:sz w:val="22"/>
          <w:szCs w:val="22"/>
        </w:rPr>
        <w:t>anonimización</w:t>
      </w:r>
      <w:proofErr w:type="spellEnd"/>
      <w:r>
        <w:rPr>
          <w:rFonts w:ascii="Palatino Linotype" w:eastAsia="Palatino Linotype" w:hAnsi="Palatino Linotype" w:cs="Palatino Linotype"/>
          <w:i/>
          <w:sz w:val="22"/>
          <w:szCs w:val="22"/>
        </w:rPr>
        <w:t xml:space="preserve">, disociación o </w:t>
      </w:r>
      <w:proofErr w:type="spellStart"/>
      <w:r>
        <w:rPr>
          <w:rFonts w:ascii="Palatino Linotype" w:eastAsia="Palatino Linotype" w:hAnsi="Palatino Linotype" w:cs="Palatino Linotype"/>
          <w:i/>
          <w:sz w:val="22"/>
          <w:szCs w:val="22"/>
        </w:rPr>
        <w:t>seudonimización</w:t>
      </w:r>
      <w:proofErr w:type="spellEnd"/>
      <w:r>
        <w:rPr>
          <w:rFonts w:ascii="Palatino Linotype" w:eastAsia="Palatino Linotype" w:hAnsi="Palatino Linotype" w:cs="Palatino Linotype"/>
          <w:i/>
          <w:sz w:val="22"/>
          <w:szCs w:val="22"/>
        </w:rPr>
        <w:t xml:space="preserve">, tendientes a evitar la asociación de los datos personales con su titular. </w:t>
      </w:r>
    </w:p>
    <w:p w:rsidR="00A31ADC" w:rsidRDefault="0099078C">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La o el titular de los datos personales sea una persona rep</w:t>
      </w:r>
      <w:r>
        <w:rPr>
          <w:rFonts w:ascii="Palatino Linotype" w:eastAsia="Palatino Linotype" w:hAnsi="Palatino Linotype" w:cs="Palatino Linotype"/>
          <w:i/>
          <w:sz w:val="22"/>
          <w:szCs w:val="22"/>
        </w:rPr>
        <w:t>ortada como desaparecida en los términos de la ley en la materia.”</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expuesto, será necesario que para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pueda tener acceso a los mismos, exista una orden judicial, resolución o mandato fundado y motivado de autoridad competente</w:t>
      </w:r>
      <w:r>
        <w:rPr>
          <w:rFonts w:ascii="Palatino Linotype" w:eastAsia="Palatino Linotype" w:hAnsi="Palatino Linotype" w:cs="Palatino Linotype"/>
        </w:rPr>
        <w:t>, que determine el acceso a los datos personales de la menor.</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este motivo, es imprescindible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adopte medidas para garantizar la adecuada protección de los datos personales de la menor, por lo que además de acreditar la personalid</w:t>
      </w:r>
      <w:r>
        <w:rPr>
          <w:rFonts w:ascii="Palatino Linotype" w:eastAsia="Palatino Linotype" w:hAnsi="Palatino Linotype" w:cs="Palatino Linotype"/>
        </w:rPr>
        <w:t xml:space="preserve">ad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deberá contar con el consentimiento de aquella persona que ejerza la custodia y/o patria potestad sobre la niña o a falta de esta, la orden judicial, resolución o mandato fundado y motivado de autoridad competente, que determine el acceso </w:t>
      </w:r>
      <w:r>
        <w:rPr>
          <w:rFonts w:ascii="Palatino Linotype" w:eastAsia="Palatino Linotype" w:hAnsi="Palatino Linotype" w:cs="Palatino Linotype"/>
        </w:rPr>
        <w:t>a los mismos.</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Sirva de analogía, el Acuerdo mediante el cual se aprueban los Lineamientos para la recepción, sustanciación y resolución de los recursos de revisión en materia de datos personales, interpuestos ante el Instituto Nacional de Transparencia, Ac</w:t>
      </w:r>
      <w:r>
        <w:rPr>
          <w:rFonts w:ascii="Palatino Linotype" w:eastAsia="Palatino Linotype" w:hAnsi="Palatino Linotype" w:cs="Palatino Linotype"/>
        </w:rPr>
        <w:t xml:space="preserve">ceso a la Información y Protección de Datos Personales, publicado en el Diario Oficial de la Federación, el doce de junio de dos mil diecisiete, en la dirección electrónica: </w:t>
      </w:r>
      <w:hyperlink r:id="rId26">
        <w:r>
          <w:rPr>
            <w:rFonts w:ascii="Palatino Linotype" w:eastAsia="Palatino Linotype" w:hAnsi="Palatino Linotype" w:cs="Palatino Linotype"/>
            <w:color w:val="0563C1"/>
            <w:u w:val="single"/>
          </w:rPr>
          <w:t>https://www.dof.gob.mx/nota_detalle.php?codigo=5486354&amp;fecha=12/06/2017</w:t>
        </w:r>
      </w:hyperlink>
      <w:r>
        <w:rPr>
          <w:rFonts w:ascii="Palatino Linotype" w:eastAsia="Palatino Linotype" w:hAnsi="Palatino Linotype" w:cs="Palatino Linotype"/>
        </w:rPr>
        <w:t>, que señala lo siguiente:</w:t>
      </w:r>
    </w:p>
    <w:p w:rsidR="00A31ADC" w:rsidRDefault="0099078C">
      <w:pPr>
        <w:ind w:left="993" w:right="70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“Acreditación de menores de edad cuando sus padres ejercen la patria potestad</w:t>
      </w:r>
    </w:p>
    <w:p w:rsidR="00A31ADC" w:rsidRDefault="00A31ADC">
      <w:pPr>
        <w:ind w:left="993" w:right="708"/>
        <w:jc w:val="both"/>
        <w:rPr>
          <w:rFonts w:ascii="Palatino Linotype" w:eastAsia="Palatino Linotype" w:hAnsi="Palatino Linotype" w:cs="Palatino Linotype"/>
          <w:i/>
          <w:sz w:val="22"/>
          <w:szCs w:val="22"/>
        </w:rPr>
      </w:pPr>
    </w:p>
    <w:p w:rsidR="00A31ADC" w:rsidRDefault="0099078C">
      <w:pPr>
        <w:ind w:left="993"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sexto.</w:t>
      </w:r>
      <w:r>
        <w:rPr>
          <w:rFonts w:ascii="Palatino Linotype" w:eastAsia="Palatino Linotype" w:hAnsi="Palatino Linotype" w:cs="Palatino Linotype"/>
          <w:i/>
          <w:sz w:val="22"/>
          <w:szCs w:val="22"/>
        </w:rPr>
        <w:t> Cuando el titular sea un menor de edad y sus padres sean</w:t>
      </w:r>
      <w:r>
        <w:rPr>
          <w:rFonts w:ascii="Palatino Linotype" w:eastAsia="Palatino Linotype" w:hAnsi="Palatino Linotype" w:cs="Palatino Linotype"/>
          <w:i/>
          <w:sz w:val="22"/>
          <w:szCs w:val="22"/>
        </w:rPr>
        <w:t xml:space="preserve"> los que detenten su patria potestad y los que presenten el recurso de revisión, además de acreditar la identidad del menor conforme a lo dispuesto en el presente numeral y numeral décimo cuarto, penúltimo y último párrafo de los Lineamientos, deberán pres</w:t>
      </w:r>
      <w:r>
        <w:rPr>
          <w:rFonts w:ascii="Palatino Linotype" w:eastAsia="Palatino Linotype" w:hAnsi="Palatino Linotype" w:cs="Palatino Linotype"/>
          <w:i/>
          <w:sz w:val="22"/>
          <w:szCs w:val="22"/>
        </w:rPr>
        <w:t>entar los siguientes documentos:</w:t>
      </w:r>
    </w:p>
    <w:p w:rsidR="00A31ADC" w:rsidRDefault="00A31ADC">
      <w:pPr>
        <w:ind w:left="993" w:right="708"/>
        <w:jc w:val="both"/>
        <w:rPr>
          <w:rFonts w:ascii="Palatino Linotype" w:eastAsia="Palatino Linotype" w:hAnsi="Palatino Linotype" w:cs="Palatino Linotype"/>
          <w:i/>
          <w:sz w:val="22"/>
          <w:szCs w:val="22"/>
        </w:rPr>
      </w:pPr>
    </w:p>
    <w:p w:rsidR="00A31ADC" w:rsidRDefault="0099078C">
      <w:pPr>
        <w:ind w:left="993"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El acta de nacimiento del menor de edad;</w:t>
      </w:r>
    </w:p>
    <w:p w:rsidR="00A31ADC" w:rsidRDefault="0099078C">
      <w:pPr>
        <w:ind w:left="993"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El documento de identificación oficial del padre o de la madre que pretenda ejercer el derecho, y</w:t>
      </w:r>
    </w:p>
    <w:p w:rsidR="00A31ADC" w:rsidRDefault="0099078C">
      <w:pPr>
        <w:ind w:left="993"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carta en la que se manifieste, bajo protesta de decir ver</w:t>
      </w:r>
      <w:r>
        <w:rPr>
          <w:rFonts w:ascii="Palatino Linotype" w:eastAsia="Palatino Linotype" w:hAnsi="Palatino Linotype" w:cs="Palatino Linotype"/>
          <w:i/>
          <w:sz w:val="22"/>
          <w:szCs w:val="22"/>
        </w:rPr>
        <w:t>dad, que el padre o madre, según sea el caso, ejerce la patria potestad del menor, y que no se encuentra dentro de alguno de los supuestos legales de suspensión o limitación de la misma.”</w:t>
      </w:r>
    </w:p>
    <w:p w:rsidR="00A31ADC" w:rsidRDefault="00A31ADC">
      <w:pPr>
        <w:ind w:left="993" w:right="708"/>
        <w:jc w:val="both"/>
        <w:rPr>
          <w:rFonts w:ascii="Palatino Linotype" w:eastAsia="Palatino Linotype" w:hAnsi="Palatino Linotype" w:cs="Palatino Linotype"/>
          <w:i/>
          <w:sz w:val="22"/>
          <w:szCs w:val="22"/>
        </w:rPr>
      </w:pP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señalado, se exhorta al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en p</w:t>
      </w:r>
      <w:r>
        <w:rPr>
          <w:rFonts w:ascii="Palatino Linotype" w:eastAsia="Palatino Linotype" w:hAnsi="Palatino Linotype" w:cs="Palatino Linotype"/>
        </w:rPr>
        <w:t>osteriores ocasiones, y previo a emitir un pronunciamiento sobre los datos de menores solicitados, requiera lo siguiente:</w:t>
      </w:r>
    </w:p>
    <w:p w:rsidR="00A31ADC" w:rsidRDefault="0099078C">
      <w:pPr>
        <w:numPr>
          <w:ilvl w:val="3"/>
          <w:numId w:val="2"/>
        </w:numPr>
        <w:pBdr>
          <w:top w:val="nil"/>
          <w:left w:val="nil"/>
          <w:bottom w:val="nil"/>
          <w:right w:val="nil"/>
          <w:between w:val="nil"/>
        </w:pBdr>
        <w:spacing w:before="240" w:line="360" w:lineRule="auto"/>
        <w:ind w:left="1701"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Acreditación de la personalidad del solicitante;</w:t>
      </w:r>
    </w:p>
    <w:p w:rsidR="00A31ADC" w:rsidRDefault="0099078C">
      <w:pPr>
        <w:numPr>
          <w:ilvl w:val="3"/>
          <w:numId w:val="2"/>
        </w:numPr>
        <w:pBdr>
          <w:top w:val="nil"/>
          <w:left w:val="nil"/>
          <w:bottom w:val="nil"/>
          <w:right w:val="nil"/>
          <w:between w:val="nil"/>
        </w:pBdr>
        <w:spacing w:line="360" w:lineRule="auto"/>
        <w:ind w:left="1701"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identidad del menor (acta de nacimiento);</w:t>
      </w:r>
    </w:p>
    <w:p w:rsidR="00A31ADC" w:rsidRDefault="0099078C">
      <w:pPr>
        <w:numPr>
          <w:ilvl w:val="3"/>
          <w:numId w:val="2"/>
        </w:numPr>
        <w:pBdr>
          <w:top w:val="nil"/>
          <w:left w:val="nil"/>
          <w:bottom w:val="nil"/>
          <w:right w:val="nil"/>
          <w:between w:val="nil"/>
        </w:pBdr>
        <w:spacing w:line="360" w:lineRule="auto"/>
        <w:ind w:left="1701"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Consentimiento del Padre o Tutor;</w:t>
      </w:r>
    </w:p>
    <w:p w:rsidR="00A31ADC" w:rsidRDefault="0099078C">
      <w:pPr>
        <w:numPr>
          <w:ilvl w:val="3"/>
          <w:numId w:val="2"/>
        </w:numPr>
        <w:pBdr>
          <w:top w:val="nil"/>
          <w:left w:val="nil"/>
          <w:bottom w:val="nil"/>
          <w:right w:val="nil"/>
          <w:between w:val="nil"/>
        </w:pBdr>
        <w:spacing w:line="360" w:lineRule="auto"/>
        <w:ind w:left="1701"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falta de consentimiento, la orden judicial, resolución o mandato fundado y motivado de autoridad competente, que determine el acceso a los mismos.</w:t>
      </w:r>
    </w:p>
    <w:p w:rsidR="00A31ADC" w:rsidRDefault="0099078C">
      <w:pPr>
        <w:numPr>
          <w:ilvl w:val="3"/>
          <w:numId w:val="2"/>
        </w:numPr>
        <w:pBdr>
          <w:top w:val="nil"/>
          <w:left w:val="nil"/>
          <w:bottom w:val="nil"/>
          <w:right w:val="nil"/>
          <w:between w:val="nil"/>
        </w:pBdr>
        <w:spacing w:after="240" w:line="360" w:lineRule="auto"/>
        <w:ind w:left="1701" w:hanging="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considerarlo procedente, adoptar medidas idóneas para la protección de menores y medidas adicionales com</w:t>
      </w:r>
      <w:r>
        <w:rPr>
          <w:rFonts w:ascii="Palatino Linotype" w:eastAsia="Palatino Linotype" w:hAnsi="Palatino Linotype" w:cs="Palatino Linotype"/>
          <w:color w:val="000000"/>
        </w:rPr>
        <w:t xml:space="preserve">o la carta en la que se manifieste, bajo protesta de decir verdad, que el padre o madre, según sea el caso, ejerce la patria potestad del menor, y que </w:t>
      </w:r>
      <w:r>
        <w:rPr>
          <w:rFonts w:ascii="Palatino Linotype" w:eastAsia="Palatino Linotype" w:hAnsi="Palatino Linotype" w:cs="Palatino Linotype"/>
          <w:color w:val="000000"/>
        </w:rPr>
        <w:lastRenderedPageBreak/>
        <w:t>no se encuentra dentro de alguno de los supuestos legales de suspensión o limitación de la misma.</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w:t>
      </w:r>
      <w:r>
        <w:rPr>
          <w:rFonts w:ascii="Palatino Linotype" w:eastAsia="Palatino Linotype" w:hAnsi="Palatino Linotype" w:cs="Palatino Linotype"/>
        </w:rPr>
        <w:t xml:space="preserve">ción al último punto (5), se fundamenta en razón al párrafo primero del artículo 8 y 38 de la Ley de Protección de Datos Personales en Posesión de los Sujetos Obligados del Estado de México y Municipios, que señalan: que </w:t>
      </w:r>
      <w:r>
        <w:rPr>
          <w:rFonts w:ascii="Palatino Linotype" w:eastAsia="Palatino Linotype" w:hAnsi="Palatino Linotype" w:cs="Palatino Linotype"/>
          <w:b/>
        </w:rPr>
        <w:t>se adoptarán las medidas idóneas pa</w:t>
      </w:r>
      <w:r>
        <w:rPr>
          <w:rFonts w:ascii="Palatino Linotype" w:eastAsia="Palatino Linotype" w:hAnsi="Palatino Linotype" w:cs="Palatino Linotype"/>
          <w:b/>
        </w:rPr>
        <w:t>ra la protección de los  menores;</w:t>
      </w:r>
      <w:r>
        <w:rPr>
          <w:rFonts w:ascii="Palatino Linotype" w:eastAsia="Palatino Linotype" w:hAnsi="Palatino Linotype" w:cs="Palatino Linotype"/>
        </w:rPr>
        <w:t xml:space="preserve"> y </w:t>
      </w:r>
      <w:r>
        <w:rPr>
          <w:rFonts w:ascii="Palatino Linotype" w:eastAsia="Palatino Linotype" w:hAnsi="Palatino Linotype" w:cs="Palatino Linotype"/>
          <w:b/>
        </w:rPr>
        <w:t>que a través de las medidas de seguridad adicionales que adoptará el RESPONSABLE</w:t>
      </w:r>
      <w:r>
        <w:rPr>
          <w:rFonts w:ascii="Palatino Linotype" w:eastAsia="Palatino Linotype" w:hAnsi="Palatino Linotype" w:cs="Palatino Linotype"/>
        </w:rPr>
        <w:t xml:space="preserve">, </w:t>
      </w:r>
      <w:r>
        <w:rPr>
          <w:rFonts w:ascii="Palatino Linotype" w:eastAsia="Palatino Linotype" w:hAnsi="Palatino Linotype" w:cs="Palatino Linotype"/>
          <w:b/>
        </w:rPr>
        <w:t>brinde mayor garantía en la protección y resguardo de datos personales</w:t>
      </w:r>
      <w:r>
        <w:rPr>
          <w:rFonts w:ascii="Palatino Linotype" w:eastAsia="Palatino Linotype" w:hAnsi="Palatino Linotype" w:cs="Palatino Linotype"/>
        </w:rPr>
        <w:t>, este último artículo se inserta para mayor referencia:</w:t>
      </w:r>
    </w:p>
    <w:p w:rsidR="00A31ADC" w:rsidRDefault="00A31ADC">
      <w:pPr>
        <w:spacing w:line="360" w:lineRule="auto"/>
        <w:jc w:val="both"/>
        <w:rPr>
          <w:rFonts w:ascii="Palatino Linotype" w:eastAsia="Palatino Linotype" w:hAnsi="Palatino Linotype" w:cs="Palatino Linotype"/>
        </w:rPr>
      </w:pPr>
    </w:p>
    <w:p w:rsidR="00A31ADC" w:rsidRDefault="0099078C">
      <w:pPr>
        <w:spacing w:line="360" w:lineRule="auto"/>
        <w:ind w:left="851" w:right="99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w:t>
      </w:r>
      <w:r>
        <w:rPr>
          <w:rFonts w:ascii="Palatino Linotype" w:eastAsia="Palatino Linotype" w:hAnsi="Palatino Linotype" w:cs="Palatino Linotype"/>
          <w:b/>
          <w:i/>
          <w:sz w:val="22"/>
          <w:szCs w:val="22"/>
        </w:rPr>
        <w:t>el responsable adoptará, establecerá, mantendrá y documentará las medidas de seguridad administrativas</w:t>
      </w: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físicas y técnicas p</w:t>
      </w:r>
      <w:r>
        <w:rPr>
          <w:rFonts w:ascii="Palatino Linotype" w:eastAsia="Palatino Linotype" w:hAnsi="Palatino Linotype" w:cs="Palatino Linotype"/>
          <w:b/>
          <w:i/>
          <w:sz w:val="22"/>
          <w:szCs w:val="22"/>
        </w:rPr>
        <w:t>ara garantizar la integridad, confidencialidad y disponibilidad de los datos personales, a través de controles y acciones que eviten</w:t>
      </w:r>
      <w:r>
        <w:rPr>
          <w:rFonts w:ascii="Palatino Linotype" w:eastAsia="Palatino Linotype" w:hAnsi="Palatino Linotype" w:cs="Palatino Linotype"/>
          <w:i/>
          <w:sz w:val="22"/>
          <w:szCs w:val="22"/>
        </w:rPr>
        <w:t xml:space="preserve"> su daño, alteración, pérdida, destrucción, o el uso, transferencia, </w:t>
      </w:r>
      <w:r>
        <w:rPr>
          <w:rFonts w:ascii="Palatino Linotype" w:eastAsia="Palatino Linotype" w:hAnsi="Palatino Linotype" w:cs="Palatino Linotype"/>
          <w:b/>
          <w:i/>
          <w:sz w:val="22"/>
          <w:szCs w:val="22"/>
        </w:rPr>
        <w:t xml:space="preserve">acceso o cualquier tratamiento no </w:t>
      </w:r>
      <w:r>
        <w:rPr>
          <w:rFonts w:ascii="Palatino Linotype" w:eastAsia="Palatino Linotype" w:hAnsi="Palatino Linotype" w:cs="Palatino Linotype"/>
          <w:b/>
          <w:i/>
          <w:sz w:val="22"/>
          <w:szCs w:val="22"/>
        </w:rPr>
        <w:t>autorizado o ilícito</w:t>
      </w:r>
      <w:r>
        <w:rPr>
          <w:rFonts w:ascii="Palatino Linotype" w:eastAsia="Palatino Linotype" w:hAnsi="Palatino Linotype" w:cs="Palatino Linotype"/>
          <w:i/>
          <w:sz w:val="22"/>
          <w:szCs w:val="22"/>
        </w:rPr>
        <w:t>, de conformidad con lo dispuesto en los lineamientos que al efecto se expidan.”</w:t>
      </w:r>
    </w:p>
    <w:p w:rsidR="00A31ADC" w:rsidRDefault="0099078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las consideraciones de hecho y de derecho, señaladas en párrafos anteriores, con fundamento en el artículo 137 fracción III, de la </w:t>
      </w:r>
      <w:r>
        <w:rPr>
          <w:rFonts w:ascii="Palatino Linotype" w:eastAsia="Palatino Linotype" w:hAnsi="Palatino Linotype" w:cs="Palatino Linotype"/>
          <w:color w:val="000000"/>
        </w:rPr>
        <w:t>Ley de Prot</w:t>
      </w:r>
      <w:r>
        <w:rPr>
          <w:rFonts w:ascii="Palatino Linotype" w:eastAsia="Palatino Linotype" w:hAnsi="Palatino Linotype" w:cs="Palatino Linotype"/>
          <w:color w:val="000000"/>
        </w:rPr>
        <w:t>ección de Datos Personales en Posesión de Sujetos Obligados del Estado de México y Municipios</w:t>
      </w:r>
      <w:r>
        <w:rPr>
          <w:rFonts w:ascii="Palatino Linotype" w:eastAsia="Palatino Linotype" w:hAnsi="Palatino Linotype" w:cs="Palatino Linotype"/>
        </w:rPr>
        <w:t xml:space="preserve">; ésta Autoridad estima que las razones o motivos de inconformidad </w:t>
      </w:r>
      <w:r>
        <w:rPr>
          <w:rFonts w:ascii="Palatino Linotype" w:eastAsia="Palatino Linotype" w:hAnsi="Palatino Linotype" w:cs="Palatino Linotype"/>
        </w:rPr>
        <w:lastRenderedPageBreak/>
        <w:t xml:space="preserve">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resultan parcialmente fundadas; por lo que, lo procedente es </w:t>
      </w:r>
      <w:r>
        <w:rPr>
          <w:rFonts w:ascii="Palatino Linotype" w:eastAsia="Palatino Linotype" w:hAnsi="Palatino Linotype" w:cs="Palatino Linotype"/>
          <w:b/>
        </w:rPr>
        <w:t>MODI</w:t>
      </w:r>
      <w:r>
        <w:rPr>
          <w:rFonts w:ascii="Palatino Linotype" w:eastAsia="Palatino Linotype" w:hAnsi="Palatino Linotype" w:cs="Palatino Linotype"/>
          <w:b/>
        </w:rPr>
        <w:t>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A31ADC" w:rsidRDefault="0099078C">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rPr>
        <w:t xml:space="preserve"> </w:t>
      </w:r>
      <w:r>
        <w:rPr>
          <w:rFonts w:ascii="Palatino Linotype" w:eastAsia="Palatino Linotype" w:hAnsi="Palatino Linotype" w:cs="Palatino Linotype"/>
          <w:color w:val="222222"/>
          <w:highlight w:val="white"/>
        </w:rPr>
        <w:t>Así, con fundamento en lo prescrito en los artículos 5 párrafos trigésimo, trigésimo  primero, trigésimo segundo fracciones IV y V de la Constitución Política del Estado  Libre y Soberano de México; 2 fracción II, 29, 36 fracciones I y II, 176, 178, 179, 1</w:t>
      </w:r>
      <w:r>
        <w:rPr>
          <w:rFonts w:ascii="Palatino Linotype" w:eastAsia="Palatino Linotype" w:hAnsi="Palatino Linotype" w:cs="Palatino Linotype"/>
          <w:color w:val="222222"/>
          <w:highlight w:val="white"/>
        </w:rPr>
        <w:t>81,  185 fracción I, 186 y 188 de la Ley de Transparencia y Acceso a la Información Pública  del Estado de México y Municipios de aplicación supletoria, 1, 81, 82 fracciones I y III,  119, 127, 128, 129, 133, 137 y 139  de la Ley de Protección de Datos Per</w:t>
      </w:r>
      <w:r>
        <w:rPr>
          <w:rFonts w:ascii="Palatino Linotype" w:eastAsia="Palatino Linotype" w:hAnsi="Palatino Linotype" w:cs="Palatino Linotype"/>
          <w:color w:val="222222"/>
          <w:highlight w:val="white"/>
        </w:rPr>
        <w:t>sonales en Posesión  de Sujetos Obligados del Estado de México y Municipios, este Pleno:</w:t>
      </w:r>
    </w:p>
    <w:p w:rsidR="00A31ADC" w:rsidRDefault="0099078C">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A31ADC" w:rsidRDefault="0099078C">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la solicitud de acceso a la información con número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00018/SE/AD/2021,</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por resultar parcialmente </w:t>
      </w:r>
      <w:r>
        <w:rPr>
          <w:rFonts w:ascii="Palatino Linotype" w:eastAsia="Palatino Linotype" w:hAnsi="Palatino Linotype" w:cs="Palatino Linotype"/>
          <w:color w:val="000000"/>
        </w:rPr>
        <w:t xml:space="preserve">fundadas las razones o motivos de inconformidad hechas valer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términos del </w:t>
      </w:r>
      <w:r>
        <w:rPr>
          <w:rFonts w:ascii="Palatino Linotype" w:eastAsia="Palatino Linotype" w:hAnsi="Palatino Linotype" w:cs="Palatino Linotype"/>
          <w:b/>
          <w:color w:val="000000"/>
        </w:rPr>
        <w:t>Considerando Octavo</w:t>
      </w:r>
      <w:r>
        <w:rPr>
          <w:rFonts w:ascii="Palatino Linotype" w:eastAsia="Palatino Linotype" w:hAnsi="Palatino Linotype" w:cs="Palatino Linotype"/>
          <w:color w:val="000000"/>
        </w:rPr>
        <w:t xml:space="preserve"> de la presente resolución.</w:t>
      </w:r>
    </w:p>
    <w:p w:rsidR="00A31ADC" w:rsidRDefault="0099078C">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SEGUNDO.</w:t>
      </w:r>
      <w:r>
        <w:rPr>
          <w:rFonts w:ascii="Palatino Linotype" w:eastAsia="Palatino Linotype" w:hAnsi="Palatino Linotype" w:cs="Palatino Linotype"/>
          <w:color w:val="000000"/>
        </w:rPr>
        <w:t xml:space="preserve"> Se ordena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que en términos del </w:t>
      </w:r>
      <w:r>
        <w:rPr>
          <w:rFonts w:ascii="Palatino Linotype" w:eastAsia="Palatino Linotype" w:hAnsi="Palatino Linotype" w:cs="Palatino Linotype"/>
          <w:b/>
          <w:color w:val="000000"/>
        </w:rPr>
        <w:t xml:space="preserve">Considerando Octavo </w:t>
      </w:r>
      <w:r>
        <w:rPr>
          <w:rFonts w:ascii="Palatino Linotype" w:eastAsia="Palatino Linotype" w:hAnsi="Palatino Linotype" w:cs="Palatino Linotype"/>
          <w:color w:val="000000"/>
        </w:rPr>
        <w:t>de esta resolución, haga entrega</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SARCOEM,</w:t>
      </w:r>
      <w:r>
        <w:rPr>
          <w:rFonts w:ascii="Palatino Linotype" w:eastAsia="Palatino Linotype" w:hAnsi="Palatino Linotype" w:cs="Palatino Linotype"/>
          <w:color w:val="000000"/>
        </w:rPr>
        <w:t xml:space="preserve"> de lo siguiente:</w:t>
      </w:r>
    </w:p>
    <w:p w:rsidR="00A31ADC" w:rsidRDefault="0099078C">
      <w:pPr>
        <w:numPr>
          <w:ilvl w:val="0"/>
          <w:numId w:val="1"/>
        </w:numPr>
        <w:pBdr>
          <w:top w:val="nil"/>
          <w:left w:val="nil"/>
          <w:bottom w:val="nil"/>
          <w:right w:val="nil"/>
          <w:between w:val="nil"/>
        </w:pBdr>
        <w:spacing w:before="240" w:line="360" w:lineRule="auto"/>
        <w:ind w:right="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Historial Académico de la menor, y que la información se pondrá a su disposición previa acreditación de su personalidad, la identidad de la menor, así como el cumplimiento de los requisitos que señalan los </w:t>
      </w:r>
      <w:r>
        <w:rPr>
          <w:rFonts w:ascii="Palatino Linotype" w:eastAsia="Palatino Linotype" w:hAnsi="Palatino Linotype" w:cs="Palatino Linotype"/>
          <w:color w:val="000000"/>
        </w:rPr>
        <w:lastRenderedPageBreak/>
        <w:t>artículos 8 y de ser el caso el 21 fracción III de</w:t>
      </w:r>
      <w:r>
        <w:rPr>
          <w:rFonts w:ascii="Palatino Linotype" w:eastAsia="Palatino Linotype" w:hAnsi="Palatino Linotype" w:cs="Palatino Linotype"/>
          <w:color w:val="000000"/>
        </w:rPr>
        <w:t xml:space="preserve"> la Ley de Protección de Datos Personales en Posesión de Sujetos Obligados del Estado de México y Municipios.</w:t>
      </w:r>
    </w:p>
    <w:p w:rsidR="00A31ADC" w:rsidRDefault="00A31ADC">
      <w:pPr>
        <w:spacing w:before="240" w:line="360" w:lineRule="auto"/>
        <w:ind w:right="49"/>
        <w:jc w:val="both"/>
        <w:rPr>
          <w:rFonts w:ascii="Palatino Linotype" w:eastAsia="Palatino Linotype" w:hAnsi="Palatino Linotype" w:cs="Palatino Linotype"/>
          <w:i/>
        </w:rPr>
      </w:pPr>
      <w:bookmarkStart w:id="2" w:name="_heading=h.1fob9te" w:colFirst="0" w:colLast="0"/>
      <w:bookmarkEnd w:id="2"/>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 vía SARCOEM</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 lo a</w:t>
      </w:r>
      <w:r>
        <w:rPr>
          <w:rFonts w:ascii="Palatino Linotype" w:eastAsia="Palatino Linotype" w:hAnsi="Palatino Linotype" w:cs="Palatino Linotype"/>
        </w:rPr>
        <w:t>nterior en términos del artículo 189 de la Ley de Transparencia y Acceso a la Información Pública del Estado de México y Municipios;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dé cumplimiento a lo ordenado dentro del plazo de diez días hábiles, debiendo informar a este Instituto en un plazo de tres días hábiles siguientes sobre el cumplimiento dado a la presente resolución.</w:t>
      </w:r>
    </w:p>
    <w:p w:rsidR="00A31ADC" w:rsidRDefault="0099078C">
      <w:pPr>
        <w:spacing w:before="340" w:after="3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De conformidad con el artículo 198 de la Ley d</w:t>
      </w:r>
      <w:r>
        <w:rPr>
          <w:rFonts w:ascii="Palatino Linotype" w:eastAsia="Palatino Linotype" w:hAnsi="Palatino Linotype" w:cs="Palatino Linotype"/>
        </w:rPr>
        <w:t>e Transparencia y Acceso a la Información Pública del Estado de México y Municipios de aplicación supletoria, de considerarlo procedente, el Sujeto Obligado de manera fundada y motivada, podrá solicitar una ampliación de plazo para el cumplimiento de la pr</w:t>
      </w:r>
      <w:r>
        <w:rPr>
          <w:rFonts w:ascii="Palatino Linotype" w:eastAsia="Palatino Linotype" w:hAnsi="Palatino Linotype" w:cs="Palatino Linotype"/>
        </w:rPr>
        <w:t>esente resolución.</w:t>
      </w: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Notifíquese a través del SARCOEM,</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140 de la Ley de Protección de Datos Personales en Posesión de Sujetos Obligados  del Estado d</w:t>
      </w:r>
      <w:r>
        <w:rPr>
          <w:rFonts w:ascii="Palatino Linotype" w:eastAsia="Palatino Linotype" w:hAnsi="Palatino Linotype" w:cs="Palatino Linotype"/>
        </w:rPr>
        <w:t>e México y Municipios, podrá impugnarla en la vía Juicio de Amparo en los términos de las leyes aplicables.</w:t>
      </w:r>
    </w:p>
    <w:p w:rsidR="00A31ADC" w:rsidRDefault="00A31ADC">
      <w:pPr>
        <w:spacing w:line="360" w:lineRule="auto"/>
        <w:jc w:val="both"/>
        <w:rPr>
          <w:rFonts w:ascii="Palatino Linotype" w:eastAsia="Palatino Linotype" w:hAnsi="Palatino Linotype" w:cs="Palatino Linotype"/>
          <w:b/>
        </w:rPr>
      </w:pPr>
    </w:p>
    <w:p w:rsidR="00A31ADC" w:rsidRDefault="0099078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w:t>
      </w:r>
      <w:r>
        <w:rPr>
          <w:rFonts w:ascii="Palatino Linotype" w:eastAsia="Palatino Linotype" w:hAnsi="Palatino Linotype" w:cs="Palatino Linotype"/>
        </w:rPr>
        <w:t xml:space="preserve">DEL ESTADO DE MÉXICO Y MUNICIPIOS, CONFORMADO POR LOS COMISIONADOS JOSÉ MARTÍNEZ VILCHIS, MARÍA DEL ROSARIO MEJÍA AYALA, </w:t>
      </w:r>
      <w:r>
        <w:rPr>
          <w:rFonts w:ascii="Palatino Linotype" w:eastAsia="Palatino Linotype" w:hAnsi="Palatino Linotype" w:cs="Palatino Linotype"/>
          <w:color w:val="000000"/>
        </w:rPr>
        <w:t>SHARON CRISTINA MORALES MARTÍNEZ (AUSENCIA JUSTIFICADA)</w:t>
      </w:r>
      <w:r>
        <w:rPr>
          <w:rFonts w:ascii="Palatino Linotype" w:eastAsia="Palatino Linotype" w:hAnsi="Palatino Linotype" w:cs="Palatino Linotype"/>
        </w:rPr>
        <w:t xml:space="preserve">, LUIS GUSTAVO PARRA NORIEGA, EMITIENDO OPINIÓN PARTICULAR, Y GUADALUPE RAMÍREZ </w:t>
      </w:r>
      <w:r>
        <w:rPr>
          <w:rFonts w:ascii="Palatino Linotype" w:eastAsia="Palatino Linotype" w:hAnsi="Palatino Linotype" w:cs="Palatino Linotype"/>
        </w:rPr>
        <w:t xml:space="preserve">PEÑA; EN LA OCTAVA SESIÓN ORDINARIA CELEBRADA EL TRES DE MARZO DE DOS MIL VEINTIDÓS, ANTE EL SECRETARIO TÉCNICO DEL PLENO, ALEXIS TAPIA RAMÍREZ. </w:t>
      </w: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p w:rsidR="00A31ADC" w:rsidRDefault="00A31ADC">
      <w:pPr>
        <w:spacing w:line="360" w:lineRule="auto"/>
        <w:ind w:right="333"/>
        <w:jc w:val="both"/>
      </w:pPr>
    </w:p>
    <w:sectPr w:rsidR="00A31ADC">
      <w:headerReference w:type="default" r:id="rId27"/>
      <w:footerReference w:type="default" r:id="rId28"/>
      <w:headerReference w:type="first" r:id="rId29"/>
      <w:footerReference w:type="first" r:id="rId30"/>
      <w:pgSz w:w="12240" w:h="15840"/>
      <w:pgMar w:top="1417" w:right="1467" w:bottom="1417" w:left="2127"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78C" w:rsidRDefault="0099078C">
      <w:r>
        <w:separator/>
      </w:r>
    </w:p>
  </w:endnote>
  <w:endnote w:type="continuationSeparator" w:id="0">
    <w:p w:rsidR="0099078C" w:rsidRDefault="0099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DC" w:rsidRDefault="0099078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sidR="000C1955">
      <w:rPr>
        <w:rFonts w:ascii="Palatino Linotype" w:eastAsia="Palatino Linotype" w:hAnsi="Palatino Linotype" w:cs="Palatino Linotype"/>
        <w:color w:val="000000"/>
      </w:rPr>
      <w:fldChar w:fldCharType="separate"/>
    </w:r>
    <w:r w:rsidR="00370D96">
      <w:rPr>
        <w:rFonts w:ascii="Palatino Linotype" w:eastAsia="Palatino Linotype" w:hAnsi="Palatino Linotype" w:cs="Palatino Linotype"/>
        <w:noProof/>
        <w:color w:val="000000"/>
      </w:rPr>
      <w:t>30</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sidR="000C1955">
      <w:rPr>
        <w:rFonts w:ascii="Palatino Linotype" w:eastAsia="Palatino Linotype" w:hAnsi="Palatino Linotype" w:cs="Palatino Linotype"/>
        <w:color w:val="000000"/>
      </w:rPr>
      <w:fldChar w:fldCharType="separate"/>
    </w:r>
    <w:r w:rsidR="00370D96">
      <w:rPr>
        <w:rFonts w:ascii="Palatino Linotype" w:eastAsia="Palatino Linotype" w:hAnsi="Palatino Linotype" w:cs="Palatino Linotype"/>
        <w:noProof/>
        <w:color w:val="000000"/>
      </w:rPr>
      <w:t>30</w:t>
    </w:r>
    <w:r>
      <w:rPr>
        <w:rFonts w:ascii="Palatino Linotype" w:eastAsia="Palatino Linotype" w:hAnsi="Palatino Linotype" w:cs="Palatino Linotype"/>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DC" w:rsidRDefault="0099078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sidR="000C1955">
      <w:rPr>
        <w:rFonts w:ascii="Palatino Linotype" w:eastAsia="Palatino Linotype" w:hAnsi="Palatino Linotype" w:cs="Palatino Linotype"/>
        <w:color w:val="000000"/>
      </w:rPr>
      <w:fldChar w:fldCharType="separate"/>
    </w:r>
    <w:r w:rsidR="00370D96">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sidR="000C1955">
      <w:rPr>
        <w:rFonts w:ascii="Palatino Linotype" w:eastAsia="Palatino Linotype" w:hAnsi="Palatino Linotype" w:cs="Palatino Linotype"/>
        <w:color w:val="000000"/>
      </w:rPr>
      <w:fldChar w:fldCharType="separate"/>
    </w:r>
    <w:r w:rsidR="00370D96">
      <w:rPr>
        <w:rFonts w:ascii="Palatino Linotype" w:eastAsia="Palatino Linotype" w:hAnsi="Palatino Linotype" w:cs="Palatino Linotype"/>
        <w:noProof/>
        <w:color w:val="000000"/>
      </w:rPr>
      <w:t>30</w:t>
    </w:r>
    <w:r>
      <w:rPr>
        <w:rFonts w:ascii="Palatino Linotype" w:eastAsia="Palatino Linotype" w:hAnsi="Palatino Linotype" w:cs="Palatino Linotype"/>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78C" w:rsidRDefault="0099078C">
      <w:r>
        <w:separator/>
      </w:r>
    </w:p>
  </w:footnote>
  <w:footnote w:type="continuationSeparator" w:id="0">
    <w:p w:rsidR="0099078C" w:rsidRDefault="00990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DC" w:rsidRDefault="0099078C">
    <w:pPr>
      <w:pBdr>
        <w:top w:val="nil"/>
        <w:left w:val="nil"/>
        <w:bottom w:val="nil"/>
        <w:right w:val="nil"/>
        <w:between w:val="nil"/>
      </w:pBdr>
      <w:tabs>
        <w:tab w:val="center" w:pos="4419"/>
        <w:tab w:val="right" w:pos="8838"/>
      </w:tabs>
      <w:rPr>
        <w:color w:val="000000"/>
      </w:rPr>
    </w:pPr>
    <w:r>
      <w:rPr>
        <w:rFonts w:ascii="Palatino Linotype" w:eastAsia="Palatino Linotype" w:hAnsi="Palatino Linotype" w:cs="Palatino Linotype"/>
        <w:b/>
        <w:noProof/>
        <w:color w:val="000000"/>
        <w:lang w:val="es-MX"/>
      </w:rPr>
      <w:drawing>
        <wp:anchor distT="0" distB="0" distL="0" distR="0" simplePos="0" relativeHeight="251658240" behindDoc="1" locked="0" layoutInCell="1" hidden="0" allowOverlap="1">
          <wp:simplePos x="0" y="0"/>
          <wp:positionH relativeFrom="page">
            <wp:posOffset>-472385</wp:posOffset>
          </wp:positionH>
          <wp:positionV relativeFrom="page">
            <wp:posOffset>23808</wp:posOffset>
          </wp:positionV>
          <wp:extent cx="7705725" cy="10048875"/>
          <wp:effectExtent l="0" t="0" r="0" b="0"/>
          <wp:wrapNone/>
          <wp:docPr id="89" name="image5.jpg" descr="logo infoem"/>
          <wp:cNvGraphicFramePr/>
          <a:graphic xmlns:a="http://schemas.openxmlformats.org/drawingml/2006/main">
            <a:graphicData uri="http://schemas.openxmlformats.org/drawingml/2006/picture">
              <pic:pic xmlns:pic="http://schemas.openxmlformats.org/drawingml/2006/picture">
                <pic:nvPicPr>
                  <pic:cNvPr id="0" name="image5.jp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tbl>
    <w:tblPr>
      <w:tblStyle w:val="af0"/>
      <w:tblW w:w="9782" w:type="dxa"/>
      <w:tblInd w:w="-851" w:type="dxa"/>
      <w:tblLayout w:type="fixed"/>
      <w:tblLook w:val="0400" w:firstRow="0" w:lastRow="0" w:firstColumn="0" w:lastColumn="0" w:noHBand="0" w:noVBand="1"/>
    </w:tblPr>
    <w:tblGrid>
      <w:gridCol w:w="6096"/>
      <w:gridCol w:w="3686"/>
    </w:tblGrid>
    <w:tr w:rsidR="00A31ADC">
      <w:trPr>
        <w:trHeight w:val="227"/>
        <w:tblHeader/>
      </w:trPr>
      <w:tc>
        <w:tcPr>
          <w:tcW w:w="6096" w:type="dxa"/>
        </w:tcPr>
        <w:p w:rsidR="00A31ADC" w:rsidRDefault="0099078C">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3686" w:type="dxa"/>
        </w:tcPr>
        <w:p w:rsidR="00A31ADC" w:rsidRDefault="0099078C">
          <w:pPr>
            <w:spacing w:after="120" w:line="256" w:lineRule="auto"/>
            <w:ind w:left="-486" w:right="214" w:firstLine="700"/>
            <w:jc w:val="right"/>
            <w:rPr>
              <w:rFonts w:ascii="Palatino Linotype" w:eastAsia="Palatino Linotype" w:hAnsi="Palatino Linotype" w:cs="Palatino Linotype"/>
            </w:rPr>
          </w:pPr>
          <w:r>
            <w:rPr>
              <w:rFonts w:ascii="Palatino Linotype" w:eastAsia="Palatino Linotype" w:hAnsi="Palatino Linotype" w:cs="Palatino Linotype"/>
            </w:rPr>
            <w:t>05939/INFOEM/AD/RR/2021</w:t>
          </w:r>
        </w:p>
      </w:tc>
    </w:tr>
    <w:tr w:rsidR="00A31ADC">
      <w:trPr>
        <w:trHeight w:val="242"/>
      </w:trPr>
      <w:tc>
        <w:tcPr>
          <w:tcW w:w="6096" w:type="dxa"/>
        </w:tcPr>
        <w:p w:rsidR="00A31ADC" w:rsidRDefault="0099078C">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6" w:type="dxa"/>
        </w:tcPr>
        <w:p w:rsidR="00A31ADC" w:rsidRDefault="0099078C">
          <w:pPr>
            <w:ind w:left="-486" w:right="215" w:firstLine="284"/>
            <w:jc w:val="right"/>
            <w:rPr>
              <w:rFonts w:ascii="Palatino Linotype" w:eastAsia="Palatino Linotype" w:hAnsi="Palatino Linotype" w:cs="Palatino Linotype"/>
            </w:rPr>
          </w:pPr>
          <w:r>
            <w:rPr>
              <w:rFonts w:ascii="Palatino Linotype" w:eastAsia="Palatino Linotype" w:hAnsi="Palatino Linotype" w:cs="Palatino Linotype"/>
            </w:rPr>
            <w:t>Secretaría de Educación</w:t>
          </w:r>
        </w:p>
      </w:tc>
    </w:tr>
    <w:tr w:rsidR="00A31ADC">
      <w:trPr>
        <w:trHeight w:val="342"/>
      </w:trPr>
      <w:tc>
        <w:tcPr>
          <w:tcW w:w="6096" w:type="dxa"/>
        </w:tcPr>
        <w:p w:rsidR="00A31ADC" w:rsidRDefault="0099078C">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686" w:type="dxa"/>
        </w:tcPr>
        <w:p w:rsidR="00A31ADC" w:rsidRDefault="0099078C">
          <w:pPr>
            <w:spacing w:after="120" w:line="256" w:lineRule="auto"/>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A31ADC" w:rsidRDefault="00A31AD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DC" w:rsidRDefault="00A31ADC">
    <w:pPr>
      <w:widowControl w:val="0"/>
      <w:pBdr>
        <w:top w:val="nil"/>
        <w:left w:val="nil"/>
        <w:bottom w:val="nil"/>
        <w:right w:val="nil"/>
        <w:between w:val="nil"/>
      </w:pBdr>
    </w:pPr>
  </w:p>
  <w:tbl>
    <w:tblPr>
      <w:tblStyle w:val="af"/>
      <w:tblW w:w="9851" w:type="dxa"/>
      <w:tblInd w:w="-851" w:type="dxa"/>
      <w:tblLayout w:type="fixed"/>
      <w:tblLook w:val="0400" w:firstRow="0" w:lastRow="0" w:firstColumn="0" w:lastColumn="0" w:noHBand="0" w:noVBand="1"/>
    </w:tblPr>
    <w:tblGrid>
      <w:gridCol w:w="6611"/>
      <w:gridCol w:w="3240"/>
    </w:tblGrid>
    <w:tr w:rsidR="00A31ADC">
      <w:trPr>
        <w:trHeight w:val="227"/>
      </w:trPr>
      <w:tc>
        <w:tcPr>
          <w:tcW w:w="6611" w:type="dxa"/>
        </w:tcPr>
        <w:p w:rsidR="00A31ADC" w:rsidRDefault="0099078C">
          <w:pPr>
            <w:spacing w:after="120" w:line="256" w:lineRule="auto"/>
            <w:ind w:left="1418"/>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3240" w:type="dxa"/>
        </w:tcPr>
        <w:p w:rsidR="00A31ADC" w:rsidRDefault="0099078C">
          <w:pPr>
            <w:spacing w:after="120" w:line="256" w:lineRule="auto"/>
            <w:ind w:left="-486"/>
            <w:rPr>
              <w:rFonts w:ascii="Palatino Linotype" w:eastAsia="Palatino Linotype" w:hAnsi="Palatino Linotype" w:cs="Palatino Linotype"/>
            </w:rPr>
          </w:pPr>
          <w:r>
            <w:rPr>
              <w:rFonts w:ascii="Palatino Linotype" w:eastAsia="Palatino Linotype" w:hAnsi="Palatino Linotype" w:cs="Palatino Linotype"/>
            </w:rPr>
            <w:t xml:space="preserve">       05939/INFOEM/AD/RR/2021</w:t>
          </w:r>
        </w:p>
      </w:tc>
    </w:tr>
    <w:tr w:rsidR="00A31ADC">
      <w:trPr>
        <w:trHeight w:val="196"/>
      </w:trPr>
      <w:tc>
        <w:tcPr>
          <w:tcW w:w="6611" w:type="dxa"/>
        </w:tcPr>
        <w:p w:rsidR="00A31ADC" w:rsidRDefault="0099078C">
          <w:pPr>
            <w:spacing w:after="120" w:line="256" w:lineRule="auto"/>
            <w:ind w:left="1418"/>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240" w:type="dxa"/>
        </w:tcPr>
        <w:p w:rsidR="00A31ADC" w:rsidRDefault="000C1955">
          <w:pPr>
            <w:spacing w:after="120" w:line="256" w:lineRule="auto"/>
            <w:ind w:left="-486" w:firstLine="769"/>
            <w:rPr>
              <w:rFonts w:ascii="Palatino Linotype" w:eastAsia="Palatino Linotype" w:hAnsi="Palatino Linotype" w:cs="Palatino Linotype"/>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XXXXXX</w:t>
          </w:r>
        </w:p>
      </w:tc>
    </w:tr>
    <w:tr w:rsidR="00A31ADC">
      <w:trPr>
        <w:trHeight w:val="242"/>
      </w:trPr>
      <w:tc>
        <w:tcPr>
          <w:tcW w:w="6611" w:type="dxa"/>
        </w:tcPr>
        <w:p w:rsidR="00A31ADC" w:rsidRDefault="0099078C">
          <w:pPr>
            <w:spacing w:after="120" w:line="256" w:lineRule="auto"/>
            <w:ind w:left="1418"/>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240" w:type="dxa"/>
        </w:tcPr>
        <w:p w:rsidR="00A31ADC" w:rsidRDefault="0099078C">
          <w:pPr>
            <w:tabs>
              <w:tab w:val="left" w:pos="966"/>
              <w:tab w:val="right" w:pos="5031"/>
            </w:tabs>
            <w:ind w:left="283"/>
            <w:rPr>
              <w:rFonts w:ascii="Palatino Linotype" w:eastAsia="Palatino Linotype" w:hAnsi="Palatino Linotype" w:cs="Palatino Linotype"/>
            </w:rPr>
          </w:pPr>
          <w:r>
            <w:rPr>
              <w:rFonts w:ascii="Palatino Linotype" w:eastAsia="Palatino Linotype" w:hAnsi="Palatino Linotype" w:cs="Palatino Linotype"/>
            </w:rPr>
            <w:t>Secretaría de Educación</w:t>
          </w:r>
        </w:p>
      </w:tc>
    </w:tr>
    <w:tr w:rsidR="00A31ADC">
      <w:trPr>
        <w:trHeight w:val="342"/>
      </w:trPr>
      <w:tc>
        <w:tcPr>
          <w:tcW w:w="6611" w:type="dxa"/>
        </w:tcPr>
        <w:p w:rsidR="00A31ADC" w:rsidRDefault="0099078C">
          <w:pPr>
            <w:tabs>
              <w:tab w:val="left" w:pos="4892"/>
            </w:tabs>
            <w:spacing w:after="120" w:line="256" w:lineRule="auto"/>
            <w:ind w:left="1418"/>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240" w:type="dxa"/>
        </w:tcPr>
        <w:p w:rsidR="00A31ADC" w:rsidRDefault="0099078C">
          <w:pPr>
            <w:spacing w:after="120" w:line="256" w:lineRule="auto"/>
            <w:ind w:left="-486" w:firstLine="567"/>
            <w:rPr>
              <w:rFonts w:ascii="Palatino Linotype" w:eastAsia="Palatino Linotype" w:hAnsi="Palatino Linotype" w:cs="Palatino Linotype"/>
            </w:rPr>
          </w:pPr>
          <w:r>
            <w:rPr>
              <w:rFonts w:ascii="Palatino Linotype" w:eastAsia="Palatino Linotype" w:hAnsi="Palatino Linotype" w:cs="Palatino Linotype"/>
            </w:rPr>
            <w:t xml:space="preserve">   Guadalupe Ramírez Peña</w:t>
          </w:r>
        </w:p>
      </w:tc>
    </w:tr>
  </w:tbl>
  <w:p w:rsidR="00A31ADC" w:rsidRDefault="0099078C">
    <w:pPr>
      <w:pBdr>
        <w:top w:val="nil"/>
        <w:left w:val="nil"/>
        <w:bottom w:val="nil"/>
        <w:right w:val="nil"/>
        <w:between w:val="nil"/>
      </w:pBdr>
      <w:tabs>
        <w:tab w:val="center" w:pos="4962"/>
        <w:tab w:val="right" w:pos="8838"/>
      </w:tabs>
      <w:rPr>
        <w:color w:val="000000"/>
      </w:rPr>
    </w:pPr>
    <w:r>
      <w:rPr>
        <w:rFonts w:ascii="Palatino Linotype" w:eastAsia="Palatino Linotype" w:hAnsi="Palatino Linotype" w:cs="Palatino Linotype"/>
        <w:b/>
        <w:noProof/>
        <w:color w:val="000000"/>
        <w:lang w:val="es-MX"/>
      </w:rPr>
      <w:drawing>
        <wp:anchor distT="0" distB="0" distL="0" distR="0" simplePos="0" relativeHeight="251659264" behindDoc="1" locked="0" layoutInCell="1" hidden="0" allowOverlap="1">
          <wp:simplePos x="0" y="0"/>
          <wp:positionH relativeFrom="page">
            <wp:posOffset>-431442</wp:posOffset>
          </wp:positionH>
          <wp:positionV relativeFrom="page">
            <wp:posOffset>60145</wp:posOffset>
          </wp:positionV>
          <wp:extent cx="7705725" cy="10048875"/>
          <wp:effectExtent l="0" t="0" r="0" b="0"/>
          <wp:wrapNone/>
          <wp:docPr id="88" name="image5.jpg" descr="logo infoem"/>
          <wp:cNvGraphicFramePr/>
          <a:graphic xmlns:a="http://schemas.openxmlformats.org/drawingml/2006/main">
            <a:graphicData uri="http://schemas.openxmlformats.org/drawingml/2006/picture">
              <pic:pic xmlns:pic="http://schemas.openxmlformats.org/drawingml/2006/picture">
                <pic:nvPicPr>
                  <pic:cNvPr id="0" name="image5.jp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C1F43"/>
    <w:multiLevelType w:val="multilevel"/>
    <w:tmpl w:val="14765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CC4B01"/>
    <w:multiLevelType w:val="multilevel"/>
    <w:tmpl w:val="61C42A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ADC"/>
    <w:rsid w:val="000C1955"/>
    <w:rsid w:val="00370D96"/>
    <w:rsid w:val="0099078C"/>
    <w:rsid w:val="00A31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CF6CB-6AF2-4CB6-9537-C1E2802E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945"/>
  </w:style>
  <w:style w:type="paragraph" w:styleId="Ttulo1">
    <w:name w:val="heading 1"/>
    <w:basedOn w:val="Normal"/>
    <w:next w:val="Normal"/>
    <w:link w:val="Ttulo1Car"/>
    <w:uiPriority w:val="9"/>
    <w:qFormat/>
    <w:rsid w:val="006C312B"/>
    <w:pPr>
      <w:spacing w:before="300" w:after="40"/>
      <w:outlineLvl w:val="0"/>
    </w:pPr>
    <w:rPr>
      <w:smallCaps/>
      <w:spacing w:val="5"/>
      <w:sz w:val="32"/>
      <w:szCs w:val="32"/>
    </w:rPr>
  </w:style>
  <w:style w:type="paragraph" w:styleId="Ttulo2">
    <w:name w:val="heading 2"/>
    <w:basedOn w:val="Normal"/>
    <w:next w:val="Normal"/>
    <w:link w:val="Ttulo2Car"/>
    <w:uiPriority w:val="9"/>
    <w:semiHidden/>
    <w:unhideWhenUsed/>
    <w:qFormat/>
    <w:rsid w:val="006C312B"/>
    <w:pPr>
      <w:spacing w:before="240" w:after="80"/>
      <w:outlineLvl w:val="1"/>
    </w:pPr>
    <w:rPr>
      <w:smallCaps/>
      <w:spacing w:val="5"/>
      <w:sz w:val="28"/>
      <w:szCs w:val="28"/>
    </w:rPr>
  </w:style>
  <w:style w:type="paragraph" w:styleId="Ttulo3">
    <w:name w:val="heading 3"/>
    <w:basedOn w:val="Normal"/>
    <w:next w:val="Normal"/>
    <w:link w:val="Ttulo3Car"/>
    <w:uiPriority w:val="9"/>
    <w:semiHidden/>
    <w:unhideWhenUsed/>
    <w:qFormat/>
    <w:rsid w:val="006C312B"/>
    <w:pPr>
      <w:outlineLvl w:val="2"/>
    </w:pPr>
    <w:rPr>
      <w:smallCaps/>
      <w:spacing w:val="5"/>
    </w:rPr>
  </w:style>
  <w:style w:type="paragraph" w:styleId="Ttulo4">
    <w:name w:val="heading 4"/>
    <w:basedOn w:val="Normal"/>
    <w:next w:val="Normal"/>
    <w:link w:val="Ttulo4Car"/>
    <w:uiPriority w:val="9"/>
    <w:semiHidden/>
    <w:unhideWhenUsed/>
    <w:qFormat/>
    <w:rsid w:val="006C312B"/>
    <w:pPr>
      <w:spacing w:before="240"/>
      <w:outlineLvl w:val="3"/>
    </w:pPr>
    <w:rPr>
      <w:smallCaps/>
      <w:spacing w:val="10"/>
      <w:sz w:val="22"/>
      <w:szCs w:val="22"/>
    </w:rPr>
  </w:style>
  <w:style w:type="paragraph" w:styleId="Ttulo5">
    <w:name w:val="heading 5"/>
    <w:basedOn w:val="Normal"/>
    <w:next w:val="Normal"/>
    <w:link w:val="Ttulo5Car"/>
    <w:uiPriority w:val="9"/>
    <w:semiHidden/>
    <w:unhideWhenUsed/>
    <w:qFormat/>
    <w:rsid w:val="006C312B"/>
    <w:pPr>
      <w:spacing w:before="200"/>
      <w:outlineLvl w:val="4"/>
    </w:pPr>
    <w:rPr>
      <w:smallCaps/>
      <w:color w:val="C45911" w:themeColor="accent2" w:themeShade="BF"/>
      <w:spacing w:val="10"/>
      <w:sz w:val="22"/>
      <w:szCs w:val="26"/>
    </w:rPr>
  </w:style>
  <w:style w:type="paragraph" w:styleId="Ttulo6">
    <w:name w:val="heading 6"/>
    <w:basedOn w:val="Normal"/>
    <w:next w:val="Normal"/>
    <w:link w:val="Ttulo6Car"/>
    <w:uiPriority w:val="9"/>
    <w:semiHidden/>
    <w:unhideWhenUsed/>
    <w:qFormat/>
    <w:rsid w:val="006C312B"/>
    <w:pPr>
      <w:outlineLvl w:val="5"/>
    </w:pPr>
    <w:rPr>
      <w:smallCaps/>
      <w:color w:val="ED7D31" w:themeColor="accent2"/>
      <w:spacing w:val="5"/>
      <w:sz w:val="22"/>
    </w:rPr>
  </w:style>
  <w:style w:type="paragraph" w:styleId="Ttulo7">
    <w:name w:val="heading 7"/>
    <w:basedOn w:val="Normal"/>
    <w:next w:val="Normal"/>
    <w:link w:val="Ttulo7Car"/>
    <w:uiPriority w:val="9"/>
    <w:semiHidden/>
    <w:unhideWhenUsed/>
    <w:qFormat/>
    <w:rsid w:val="006C312B"/>
    <w:pPr>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6C312B"/>
    <w:pPr>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6C312B"/>
    <w:pPr>
      <w:outlineLvl w:val="8"/>
    </w:pPr>
    <w:rPr>
      <w:b/>
      <w:i/>
      <w:smallCaps/>
      <w:color w:val="823B0B"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6C312B"/>
    <w:pPr>
      <w:pBdr>
        <w:top w:val="single" w:sz="12" w:space="1" w:color="ED7D31" w:themeColor="accent2"/>
      </w:pBdr>
      <w:jc w:val="right"/>
    </w:pPr>
    <w:rPr>
      <w:smallCaps/>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15E85"/>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31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locked/>
    <w:rsid w:val="00E15E85"/>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basedOn w:val="Normal"/>
    <w:link w:val="SinespaciadoCar"/>
    <w:uiPriority w:val="1"/>
    <w:qFormat/>
    <w:rsid w:val="006C312B"/>
  </w:style>
  <w:style w:type="character" w:styleId="Textoennegrita">
    <w:name w:val="Strong"/>
    <w:uiPriority w:val="22"/>
    <w:qFormat/>
    <w:rsid w:val="006C312B"/>
    <w:rPr>
      <w:b/>
      <w:color w:val="ED7D31" w:themeColor="accent2"/>
    </w:rPr>
  </w:style>
  <w:style w:type="character" w:customStyle="1" w:styleId="SinespaciadoCar">
    <w:name w:val="Sin espaciado Car"/>
    <w:aliases w:val="Francesa Car,INAI Car"/>
    <w:basedOn w:val="Fuentedeprrafopredeter"/>
    <w:link w:val="Sinespaciado"/>
    <w:uiPriority w:val="1"/>
    <w:locked/>
    <w:rsid w:val="006C312B"/>
  </w:style>
  <w:style w:type="paragraph" w:customStyle="1" w:styleId="Cuerpo">
    <w:name w:val="Cuerpo"/>
    <w:rsid w:val="0015550A"/>
    <w:pPr>
      <w:pBdr>
        <w:top w:val="nil"/>
        <w:left w:val="nil"/>
        <w:bottom w:val="nil"/>
        <w:right w:val="nil"/>
        <w:between w:val="nil"/>
        <w:bar w:val="nil"/>
      </w:pBdr>
    </w:pPr>
    <w:rPr>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style>
  <w:style w:type="paragraph" w:styleId="Textodeglobo">
    <w:name w:val="Balloon Text"/>
    <w:basedOn w:val="Normal"/>
    <w:link w:val="TextodegloboCar"/>
    <w:uiPriority w:val="99"/>
    <w:semiHidden/>
    <w:unhideWhenUsed/>
    <w:rsid w:val="00B43530"/>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pPr>
    <w:rPr>
      <w:lang w:val="es-ES"/>
    </w:rPr>
  </w:style>
  <w:style w:type="paragraph" w:customStyle="1" w:styleId="n2">
    <w:name w:val="n2"/>
    <w:basedOn w:val="Normal"/>
    <w:rsid w:val="00624C9F"/>
    <w:pPr>
      <w:spacing w:before="100" w:beforeAutospacing="1" w:after="100" w:afterAutospacing="1"/>
    </w:pPr>
    <w:rPr>
      <w:lang w:val="es-ES"/>
    </w:rPr>
  </w:style>
  <w:style w:type="character" w:styleId="nfasis">
    <w:name w:val="Emphasis"/>
    <w:uiPriority w:val="20"/>
    <w:qFormat/>
    <w:rsid w:val="006C312B"/>
    <w:rPr>
      <w:b/>
      <w:i/>
      <w:spacing w:val="1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7222CB"/>
    <w:rPr>
      <w:rFonts w:ascii="Calibri" w:eastAsia="Calibri" w:hAnsi="Calibri" w:cs="Calibri"/>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pPr>
    <w:rPr>
      <w:lang w:val="es-ES"/>
    </w:rPr>
  </w:style>
  <w:style w:type="paragraph" w:customStyle="1" w:styleId="m-7074291933661269980gmail-msolistparagraph">
    <w:name w:val="m_-7074291933661269980gmail-msolistparagraph"/>
    <w:basedOn w:val="Normal"/>
    <w:rsid w:val="005F014F"/>
    <w:pPr>
      <w:spacing w:before="100" w:beforeAutospacing="1" w:after="100" w:afterAutospacing="1"/>
    </w:pPr>
    <w:rPr>
      <w:lang w:val="es-ES"/>
    </w:rPr>
  </w:style>
  <w:style w:type="paragraph" w:customStyle="1" w:styleId="m-7074291933661269980gmail-msonormal">
    <w:name w:val="m_-7074291933661269980gmail-msonormal"/>
    <w:basedOn w:val="Normal"/>
    <w:rsid w:val="005F014F"/>
    <w:pPr>
      <w:spacing w:before="100" w:beforeAutospacing="1" w:after="100" w:afterAutospacing="1"/>
    </w:pPr>
    <w:rPr>
      <w:lang w:val="es-ES"/>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pPr>
    <w:rPr>
      <w:lang w:val="es-ES"/>
    </w:rPr>
  </w:style>
  <w:style w:type="table" w:styleId="Tablaconcuadrcula">
    <w:name w:val="Table Grid"/>
    <w:basedOn w:val="Tablanormal"/>
    <w:uiPriority w:val="39"/>
    <w:rsid w:val="00BD3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CFE"/>
    <w:pPr>
      <w:autoSpaceDE w:val="0"/>
      <w:autoSpaceDN w:val="0"/>
      <w:adjustRightInd w:val="0"/>
    </w:pPr>
    <w:rPr>
      <w:rFonts w:ascii="Arial" w:hAnsi="Arial" w:cs="Arial"/>
      <w:color w:val="000000"/>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6C312B"/>
    <w:rPr>
      <w:smallCaps/>
      <w:spacing w:val="5"/>
      <w:sz w:val="32"/>
      <w:szCs w:val="32"/>
    </w:rPr>
  </w:style>
  <w:style w:type="character" w:customStyle="1" w:styleId="Ttulo2Car">
    <w:name w:val="Título 2 Car"/>
    <w:basedOn w:val="Fuentedeprrafopredeter"/>
    <w:link w:val="Ttulo2"/>
    <w:uiPriority w:val="9"/>
    <w:semiHidden/>
    <w:rsid w:val="006C312B"/>
    <w:rPr>
      <w:smallCaps/>
      <w:spacing w:val="5"/>
      <w:sz w:val="28"/>
      <w:szCs w:val="28"/>
    </w:rPr>
  </w:style>
  <w:style w:type="character" w:customStyle="1" w:styleId="Ttulo4Car">
    <w:name w:val="Título 4 Car"/>
    <w:basedOn w:val="Fuentedeprrafopredeter"/>
    <w:link w:val="Ttulo4"/>
    <w:uiPriority w:val="9"/>
    <w:semiHidden/>
    <w:rsid w:val="006C312B"/>
    <w:rPr>
      <w:smallCaps/>
      <w:spacing w:val="10"/>
      <w:sz w:val="22"/>
      <w:szCs w:val="22"/>
    </w:rPr>
  </w:style>
  <w:style w:type="character" w:customStyle="1" w:styleId="apple-style-span">
    <w:name w:val="apple-style-span"/>
    <w:rsid w:val="00436187"/>
  </w:style>
  <w:style w:type="paragraph" w:styleId="Textosinformato">
    <w:name w:val="Plain Text"/>
    <w:basedOn w:val="Normal"/>
    <w:link w:val="TextosinformatoCar"/>
    <w:rsid w:val="00436187"/>
    <w:rPr>
      <w:rFonts w:ascii="Courier New" w:hAnsi="Courier New"/>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rsid w:val="00436187"/>
    <w:pPr>
      <w:widowControl w:val="0"/>
      <w:ind w:left="20"/>
    </w:pPr>
    <w:rPr>
      <w:rFonts w:cs="Calibri"/>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pPr>
    <w:rPr>
      <w:lang w:val="es-ES"/>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pPr>
    <w:rPr>
      <w:lang w:val="es-ES"/>
    </w:rPr>
  </w:style>
  <w:style w:type="paragraph" w:customStyle="1" w:styleId="o">
    <w:name w:val="o"/>
    <w:basedOn w:val="Normal"/>
    <w:rsid w:val="00436187"/>
    <w:pPr>
      <w:spacing w:before="100" w:beforeAutospacing="1" w:after="100" w:afterAutospacing="1"/>
    </w:pPr>
    <w:rPr>
      <w:lang w:val="es-ES"/>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ind w:left="283"/>
    </w:pPr>
    <w:rPr>
      <w:rFonts w:ascii="Calibri" w:eastAsia="Calibri" w:hAnsi="Calibri"/>
      <w:sz w:val="22"/>
      <w:szCs w:val="22"/>
      <w:lang w:val="es-ES"/>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pPr>
    <w:rPr>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after="160"/>
    </w:pPr>
    <w:rPr>
      <w:rFonts w:ascii="Calibri" w:eastAsia="Calibri" w:hAnsi="Calibri" w:cs="Calibri"/>
      <w:lang w:val="es-ES"/>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style>
  <w:style w:type="character" w:customStyle="1" w:styleId="notranslate">
    <w:name w:val="notranslate"/>
    <w:basedOn w:val="Fuentedeprrafopredeter"/>
    <w:rsid w:val="00436187"/>
  </w:style>
  <w:style w:type="paragraph" w:styleId="Subttulo">
    <w:name w:val="Subtitle"/>
    <w:basedOn w:val="Normal"/>
    <w:next w:val="Normal"/>
    <w:link w:val="SubttuloCar"/>
    <w:pPr>
      <w:spacing w:after="720"/>
      <w:jc w:val="right"/>
    </w:pPr>
    <w:rPr>
      <w:rFonts w:ascii="Calibri" w:eastAsia="Calibri" w:hAnsi="Calibri" w:cs="Calibri"/>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70" w:type="dxa"/>
        <w:right w:w="70" w:type="dxa"/>
      </w:tblCellMar>
    </w:tblPr>
  </w:style>
  <w:style w:type="table" w:customStyle="1" w:styleId="a6">
    <w:basedOn w:val="TableNormal4"/>
    <w:tblPr>
      <w:tblStyleRowBandSize w:val="1"/>
      <w:tblStyleColBandSize w:val="1"/>
      <w:tblCellMar>
        <w:left w:w="70" w:type="dxa"/>
        <w:right w:w="70" w:type="dxa"/>
      </w:tblCellMar>
    </w:tblPr>
  </w:style>
  <w:style w:type="table" w:customStyle="1" w:styleId="a7">
    <w:basedOn w:val="TableNormal4"/>
    <w:tblPr>
      <w:tblStyleRowBandSize w:val="1"/>
      <w:tblStyleColBandSize w:val="1"/>
      <w:tblCellMar>
        <w:left w:w="70" w:type="dxa"/>
        <w:right w:w="70" w:type="dxa"/>
      </w:tblCellMar>
    </w:tblPr>
  </w:style>
  <w:style w:type="table" w:customStyle="1" w:styleId="a8">
    <w:basedOn w:val="TableNormal4"/>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character" w:customStyle="1" w:styleId="Ttulo3Car">
    <w:name w:val="Título 3 Car"/>
    <w:basedOn w:val="Fuentedeprrafopredeter"/>
    <w:link w:val="Ttulo3"/>
    <w:uiPriority w:val="9"/>
    <w:semiHidden/>
    <w:rsid w:val="006C312B"/>
    <w:rPr>
      <w:smallCaps/>
      <w:spacing w:val="5"/>
      <w:sz w:val="24"/>
      <w:szCs w:val="24"/>
    </w:rPr>
  </w:style>
  <w:style w:type="character" w:customStyle="1" w:styleId="Ttulo5Car">
    <w:name w:val="Título 5 Car"/>
    <w:basedOn w:val="Fuentedeprrafopredeter"/>
    <w:link w:val="Ttulo5"/>
    <w:uiPriority w:val="9"/>
    <w:semiHidden/>
    <w:rsid w:val="006C312B"/>
    <w:rPr>
      <w:smallCaps/>
      <w:color w:val="C45911" w:themeColor="accent2" w:themeShade="BF"/>
      <w:spacing w:val="10"/>
      <w:sz w:val="22"/>
      <w:szCs w:val="26"/>
    </w:rPr>
  </w:style>
  <w:style w:type="character" w:customStyle="1" w:styleId="Ttulo6Car">
    <w:name w:val="Título 6 Car"/>
    <w:basedOn w:val="Fuentedeprrafopredeter"/>
    <w:link w:val="Ttulo6"/>
    <w:uiPriority w:val="9"/>
    <w:semiHidden/>
    <w:rsid w:val="006C312B"/>
    <w:rPr>
      <w:smallCaps/>
      <w:color w:val="ED7D31" w:themeColor="accent2"/>
      <w:spacing w:val="5"/>
      <w:sz w:val="22"/>
    </w:rPr>
  </w:style>
  <w:style w:type="character" w:customStyle="1" w:styleId="Ttulo7Car">
    <w:name w:val="Título 7 Car"/>
    <w:basedOn w:val="Fuentedeprrafopredeter"/>
    <w:link w:val="Ttulo7"/>
    <w:uiPriority w:val="9"/>
    <w:semiHidden/>
    <w:rsid w:val="006C312B"/>
    <w:rPr>
      <w:b/>
      <w:smallCaps/>
      <w:color w:val="ED7D31" w:themeColor="accent2"/>
      <w:spacing w:val="10"/>
    </w:rPr>
  </w:style>
  <w:style w:type="character" w:customStyle="1" w:styleId="Ttulo8Car">
    <w:name w:val="Título 8 Car"/>
    <w:basedOn w:val="Fuentedeprrafopredeter"/>
    <w:link w:val="Ttulo8"/>
    <w:uiPriority w:val="9"/>
    <w:semiHidden/>
    <w:rsid w:val="006C312B"/>
    <w:rPr>
      <w:b/>
      <w:i/>
      <w:smallCaps/>
      <w:color w:val="C45911" w:themeColor="accent2" w:themeShade="BF"/>
    </w:rPr>
  </w:style>
  <w:style w:type="character" w:customStyle="1" w:styleId="Ttulo9Car">
    <w:name w:val="Título 9 Car"/>
    <w:basedOn w:val="Fuentedeprrafopredeter"/>
    <w:link w:val="Ttulo9"/>
    <w:uiPriority w:val="9"/>
    <w:semiHidden/>
    <w:rsid w:val="006C312B"/>
    <w:rPr>
      <w:b/>
      <w:i/>
      <w:smallCaps/>
      <w:color w:val="823B0B" w:themeColor="accent2" w:themeShade="7F"/>
    </w:rPr>
  </w:style>
  <w:style w:type="paragraph" w:styleId="Descripcin">
    <w:name w:val="caption"/>
    <w:basedOn w:val="Normal"/>
    <w:next w:val="Normal"/>
    <w:uiPriority w:val="35"/>
    <w:semiHidden/>
    <w:unhideWhenUsed/>
    <w:qFormat/>
    <w:rsid w:val="006C312B"/>
    <w:rPr>
      <w:b/>
      <w:bCs/>
      <w:caps/>
      <w:sz w:val="16"/>
      <w:szCs w:val="18"/>
    </w:rPr>
  </w:style>
  <w:style w:type="character" w:customStyle="1" w:styleId="PuestoCar">
    <w:name w:val="Puesto Car"/>
    <w:basedOn w:val="Fuentedeprrafopredeter"/>
    <w:link w:val="Puesto"/>
    <w:uiPriority w:val="10"/>
    <w:rsid w:val="006C312B"/>
    <w:rPr>
      <w:smallCaps/>
      <w:sz w:val="48"/>
      <w:szCs w:val="48"/>
    </w:rPr>
  </w:style>
  <w:style w:type="character" w:customStyle="1" w:styleId="SubttuloCar">
    <w:name w:val="Subtítulo Car"/>
    <w:basedOn w:val="Fuentedeprrafopredeter"/>
    <w:link w:val="Subttulo"/>
    <w:uiPriority w:val="11"/>
    <w:rsid w:val="006C312B"/>
    <w:rPr>
      <w:rFonts w:asciiTheme="majorHAnsi" w:eastAsiaTheme="majorEastAsia" w:hAnsiTheme="majorHAnsi" w:cstheme="majorBidi"/>
      <w:szCs w:val="22"/>
    </w:rPr>
  </w:style>
  <w:style w:type="paragraph" w:styleId="Cita">
    <w:name w:val="Quote"/>
    <w:basedOn w:val="Normal"/>
    <w:next w:val="Normal"/>
    <w:link w:val="CitaCar"/>
    <w:uiPriority w:val="29"/>
    <w:qFormat/>
    <w:rsid w:val="006C312B"/>
    <w:rPr>
      <w:i/>
    </w:rPr>
  </w:style>
  <w:style w:type="character" w:customStyle="1" w:styleId="CitaCar">
    <w:name w:val="Cita Car"/>
    <w:basedOn w:val="Fuentedeprrafopredeter"/>
    <w:link w:val="Cita"/>
    <w:uiPriority w:val="29"/>
    <w:rsid w:val="006C312B"/>
    <w:rPr>
      <w:i/>
    </w:rPr>
  </w:style>
  <w:style w:type="paragraph" w:styleId="Citadestacada">
    <w:name w:val="Intense Quote"/>
    <w:basedOn w:val="Normal"/>
    <w:next w:val="Normal"/>
    <w:link w:val="CitadestacadaCar"/>
    <w:uiPriority w:val="30"/>
    <w:qFormat/>
    <w:rsid w:val="006C312B"/>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6C312B"/>
    <w:rPr>
      <w:b/>
      <w:i/>
      <w:color w:val="FFFFFF" w:themeColor="background1"/>
      <w:shd w:val="clear" w:color="auto" w:fill="ED7D31" w:themeFill="accent2"/>
    </w:rPr>
  </w:style>
  <w:style w:type="character" w:styleId="nfasissutil">
    <w:name w:val="Subtle Emphasis"/>
    <w:uiPriority w:val="19"/>
    <w:qFormat/>
    <w:rsid w:val="006C312B"/>
    <w:rPr>
      <w:i/>
    </w:rPr>
  </w:style>
  <w:style w:type="character" w:styleId="nfasisintenso">
    <w:name w:val="Intense Emphasis"/>
    <w:uiPriority w:val="21"/>
    <w:qFormat/>
    <w:rsid w:val="006C312B"/>
    <w:rPr>
      <w:b/>
      <w:i/>
      <w:color w:val="ED7D31" w:themeColor="accent2"/>
      <w:spacing w:val="10"/>
    </w:rPr>
  </w:style>
  <w:style w:type="character" w:styleId="Referenciasutil">
    <w:name w:val="Subtle Reference"/>
    <w:uiPriority w:val="31"/>
    <w:qFormat/>
    <w:rsid w:val="006C312B"/>
    <w:rPr>
      <w:b/>
    </w:rPr>
  </w:style>
  <w:style w:type="character" w:styleId="Referenciaintensa">
    <w:name w:val="Intense Reference"/>
    <w:uiPriority w:val="32"/>
    <w:qFormat/>
    <w:rsid w:val="006C312B"/>
    <w:rPr>
      <w:b/>
      <w:bCs/>
      <w:smallCaps/>
      <w:spacing w:val="5"/>
      <w:sz w:val="22"/>
      <w:szCs w:val="22"/>
      <w:u w:val="single"/>
    </w:rPr>
  </w:style>
  <w:style w:type="character" w:styleId="Ttulodellibro">
    <w:name w:val="Book Title"/>
    <w:uiPriority w:val="33"/>
    <w:qFormat/>
    <w:rsid w:val="006C312B"/>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6C312B"/>
    <w:pPr>
      <w:outlineLvl w:val="9"/>
    </w:p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escarga/1237393/004712021014135512003/401590.page" TargetMode="External"/><Relationship Id="rId13" Type="http://schemas.openxmlformats.org/officeDocument/2006/relationships/image" Target="media/image12.png"/><Relationship Id="rId18" Type="http://schemas.openxmlformats.org/officeDocument/2006/relationships/image" Target="media/image4.png"/><Relationship Id="rId26" Type="http://schemas.openxmlformats.org/officeDocument/2006/relationships/hyperlink" Target="https://www.dof.gob.mx/nota_detalle.php?codigo=5486354&amp;fecha=12/06/201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rcoem.org.mx/sarcoem/solicitud/downloadAttach/1273731.page"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www.sarcoem.org.mx/sarcoem/solicitud/downloadAttach/1273730.page"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rcoem.org.mx/sarcoem/solicitud/downloadAttach/1273729.page" TargetMode="External"/><Relationship Id="rId14"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TJ4f0iDoToib219MuN9T0jQW3Q==">AMUW2mWvAs5ACftd9255ewWTGRr1PB15p82k+Keem6ZuQTZN+ICpeFN9ZHXRQ1u7nAQx6027K6JCF32SHgt2zlUeQ61Ge8dUS43NqD5l/G2hmgYAmVxNoiltRJGnx+ofaLt8rQ/VvSZfWEdhAP6fQu2M01MKxwiy3w==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6276</Words>
  <Characters>34521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2</cp:revision>
  <dcterms:created xsi:type="dcterms:W3CDTF">2022-03-04T22:28:00Z</dcterms:created>
  <dcterms:modified xsi:type="dcterms:W3CDTF">2022-04-04T17:10:00Z</dcterms:modified>
</cp:coreProperties>
</file>