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nueve de noviembre del dos mil veintidós.</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Visto</w:t>
      </w:r>
      <w:r w:rsidDel="00000000" w:rsidR="00000000" w:rsidRPr="00000000">
        <w:rPr>
          <w:rFonts w:ascii="Palatino Linotype" w:cs="Palatino Linotype" w:eastAsia="Palatino Linotype" w:hAnsi="Palatino Linotype"/>
          <w:rtl w:val="0"/>
        </w:rPr>
        <w:t xml:space="preserve"> el expediente relativo al recurso de revisión </w:t>
      </w:r>
      <w:r w:rsidDel="00000000" w:rsidR="00000000" w:rsidRPr="00000000">
        <w:rPr>
          <w:rFonts w:ascii="Palatino Linotype" w:cs="Palatino Linotype" w:eastAsia="Palatino Linotype" w:hAnsi="Palatino Linotype"/>
          <w:b w:val="1"/>
          <w:rtl w:val="0"/>
        </w:rPr>
        <w:t xml:space="preserve">13404</w:t>
      </w:r>
      <w:r w:rsidDel="00000000" w:rsidR="00000000" w:rsidRPr="00000000">
        <w:rPr>
          <w:rFonts w:ascii="Palatino Linotype" w:cs="Palatino Linotype" w:eastAsia="Palatino Linotype" w:hAnsi="Palatino Linotype"/>
          <w:b w:val="1"/>
          <w:sz w:val="22"/>
          <w:szCs w:val="22"/>
          <w:rtl w:val="0"/>
        </w:rPr>
        <w:t xml:space="preserve">/INFOEM/AD/RR/2022</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sz w:val="22"/>
          <w:szCs w:val="22"/>
          <w:rtl w:val="0"/>
        </w:rPr>
        <w:t xml:space="preserve">XXXXX XXXXXXXX XXXXXX</w:t>
      </w:r>
      <w:r w:rsidDel="00000000" w:rsidR="00000000" w:rsidRPr="00000000">
        <w:rPr>
          <w:rFonts w:ascii="Palatino Linotype" w:cs="Palatino Linotype" w:eastAsia="Palatino Linotype" w:hAnsi="Palatino Linotype"/>
          <w:rtl w:val="0"/>
        </w:rPr>
        <w:t xml:space="preserve">, a quien en lo sucesivo se le denominará la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la solicitud con número de folio </w:t>
      </w:r>
      <w:r w:rsidDel="00000000" w:rsidR="00000000" w:rsidRPr="00000000">
        <w:rPr>
          <w:rFonts w:ascii="Palatino Linotype" w:cs="Palatino Linotype" w:eastAsia="Palatino Linotype" w:hAnsi="Palatino Linotype"/>
          <w:b w:val="1"/>
          <w:rtl w:val="0"/>
        </w:rPr>
        <w:t xml:space="preserve">00436/ISSEMYM/AD/2022</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rtl w:val="0"/>
        </w:rPr>
        <w:t xml:space="preserve"> del </w:t>
      </w:r>
      <w:r w:rsidDel="00000000" w:rsidR="00000000" w:rsidRPr="00000000">
        <w:rPr>
          <w:rFonts w:ascii="Palatino Linotype" w:cs="Palatino Linotype" w:eastAsia="Palatino Linotype" w:hAnsi="Palatino Linotype"/>
          <w:b w:val="1"/>
          <w:rtl w:val="0"/>
        </w:rPr>
        <w:t xml:space="preserve">Instituto de Seguridad Social del Estado de México y Municipios</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se procede a dictar la presente resolución, con base en los siguientes.</w:t>
      </w:r>
    </w:p>
    <w:p w:rsidR="00000000" w:rsidDel="00000000" w:rsidP="00000000" w:rsidRDefault="00000000" w:rsidRPr="00000000" w14:paraId="00000003">
      <w:pPr>
        <w:pStyle w:val="Heading2"/>
        <w:jc w:val="center"/>
        <w:rPr>
          <w:rFonts w:ascii="Palatino Linotype" w:cs="Palatino Linotype" w:eastAsia="Palatino Linotype" w:hAnsi="Palatino Linotype"/>
          <w:b w:val="1"/>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Solicitud de acceso a datos personales.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cuatro de  julio </w:t>
      </w:r>
      <w:r w:rsidDel="00000000" w:rsidR="00000000" w:rsidRPr="00000000">
        <w:rPr>
          <w:rFonts w:ascii="Palatino Linotype" w:cs="Palatino Linotype" w:eastAsia="Palatino Linotype" w:hAnsi="Palatino Linotype"/>
          <w:rtl w:val="0"/>
        </w:rPr>
        <w:t xml:space="preserve">de dos mil veintidós, la ahora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presentó solicitud de acceso de datos personales a través del a través del Sistema de Acceso, Rectificación, Cancelación y Oposición de Datos Personales del Estado de México y Municipios, en adelante </w:t>
      </w:r>
      <w:r w:rsidDel="00000000" w:rsidR="00000000" w:rsidRPr="00000000">
        <w:rPr>
          <w:rFonts w:ascii="Palatino Linotype" w:cs="Palatino Linotype" w:eastAsia="Palatino Linotype" w:hAnsi="Palatino Linotype"/>
          <w:b w:val="1"/>
          <w:rtl w:val="0"/>
        </w:rPr>
        <w:t xml:space="preserve">SARCOEM,</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requiriendo lo siguiente:</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360" w:before="24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“Requiero una copia certificada del dictamen aprobado de riesgo de trabajo emitido por ISEMMYM de la fallecida C.XXXXX XXXXXX XXXX registrada ante la dependencia con el número XXXXXXX.” (Sic)</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Solicitud a la que adjuntó los archivos electrónicos denominados </w:t>
      </w:r>
      <w:r w:rsidDel="00000000" w:rsidR="00000000" w:rsidRPr="00000000">
        <w:rPr>
          <w:rFonts w:ascii="Palatino Linotype" w:cs="Palatino Linotype" w:eastAsia="Palatino Linotype" w:hAnsi="Palatino Linotype"/>
          <w:b w:val="1"/>
          <w:i w:val="1"/>
          <w:rtl w:val="0"/>
        </w:rPr>
        <w:t xml:space="preserve">“ACTADEF.pdf” </w:t>
      </w:r>
      <w:r w:rsidDel="00000000" w:rsidR="00000000" w:rsidRPr="00000000">
        <w:rPr>
          <w:rFonts w:ascii="Palatino Linotype" w:cs="Palatino Linotype" w:eastAsia="Palatino Linotype" w:hAnsi="Palatino Linotype"/>
          <w:rtl w:val="0"/>
        </w:rPr>
        <w:t xml:space="preserve">y</w:t>
      </w:r>
      <w:r w:rsidDel="00000000" w:rsidR="00000000" w:rsidRPr="00000000">
        <w:rPr>
          <w:rFonts w:ascii="Palatino Linotype" w:cs="Palatino Linotype" w:eastAsia="Palatino Linotype" w:hAnsi="Palatino Linotype"/>
          <w:b w:val="1"/>
          <w:i w:val="1"/>
          <w:rtl w:val="0"/>
        </w:rPr>
        <w:t xml:space="preserve"> “INENADIA.pdf”</w:t>
      </w:r>
      <w:r w:rsidDel="00000000" w:rsidR="00000000" w:rsidRPr="00000000">
        <w:rPr>
          <w:rFonts w:ascii="Palatino Linotype" w:cs="Palatino Linotype" w:eastAsia="Palatino Linotype" w:hAnsi="Palatino Linotype"/>
          <w:rtl w:val="0"/>
        </w:rPr>
        <w:t xml:space="preserve"> consistentes en el acta de defunción de la persona fallecida y credencial para votar con fotografía emitida por el Instituto Nacional Electoral a favor de la solicitante. </w:t>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 </w:t>
      </w:r>
      <w:r w:rsidDel="00000000" w:rsidR="00000000" w:rsidRPr="00000000">
        <w:rPr>
          <w:rFonts w:ascii="Palatino Linotype" w:cs="Palatino Linotype" w:eastAsia="Palatino Linotype" w:hAnsi="Palatino Linotype"/>
          <w:rtl w:val="0"/>
        </w:rPr>
        <w:t xml:space="preserve">Copias Certificadas.</w:t>
      </w:r>
    </w:p>
    <w:p w:rsidR="00000000" w:rsidDel="00000000" w:rsidP="00000000" w:rsidRDefault="00000000" w:rsidRPr="00000000" w14:paraId="0000000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 a la solicitud: </w:t>
      </w:r>
      <w:r w:rsidDel="00000000" w:rsidR="00000000" w:rsidRPr="00000000">
        <w:rPr>
          <w:rFonts w:ascii="Palatino Linotype" w:cs="Palatino Linotype" w:eastAsia="Palatino Linotype" w:hAnsi="Palatino Linotype"/>
          <w:rtl w:val="0"/>
        </w:rPr>
        <w:t xml:space="preserve">El cinco de agosto de dos mil veintidós,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respondió a la solicitud de acceso a datos personales en los siguientes términos: </w:t>
      </w:r>
    </w:p>
    <w:p w:rsidR="00000000" w:rsidDel="00000000" w:rsidP="00000000" w:rsidRDefault="00000000" w:rsidRPr="00000000" w14:paraId="0000000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“Como archivo adjunto, encontrará el oficio que dará respuesta a su solicitud de acceso a datos personales, mismo que podrá visualizar una vez que valide el Código para el Solicitante, el cual podrá localizar en el Acuse de la Solicitud, por lo que, deberá copiar y pegar dicho código en el campo “Para visualizar correctamente los archivos, debe ingresar el código de la solicitud”.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horas. Es indispensable que al presentarse lo realice con cubrebocas y pluma o bolígrafo personal, como medidas de seguridad sanitaria..” (Sic)</w:t>
      </w:r>
    </w:p>
    <w:p w:rsidR="00000000" w:rsidDel="00000000" w:rsidP="00000000" w:rsidRDefault="00000000" w:rsidRPr="00000000" w14:paraId="0000000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Pronunciamiento al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adjuntó el archivo denominado </w:t>
      </w:r>
      <w:r w:rsidDel="00000000" w:rsidR="00000000" w:rsidRPr="00000000">
        <w:rPr>
          <w:rFonts w:ascii="Palatino Linotype" w:cs="Palatino Linotype" w:eastAsia="Palatino Linotype" w:hAnsi="Palatino Linotype"/>
          <w:b w:val="1"/>
          <w:i w:val="1"/>
          <w:rtl w:val="0"/>
        </w:rPr>
        <w:t xml:space="preserve">436 AD sin anexos.pdf </w:t>
      </w:r>
      <w:r w:rsidDel="00000000" w:rsidR="00000000" w:rsidRPr="00000000">
        <w:rPr>
          <w:rFonts w:ascii="Palatino Linotype" w:cs="Palatino Linotype" w:eastAsia="Palatino Linotype" w:hAnsi="Palatino Linotype"/>
          <w:rtl w:val="0"/>
        </w:rPr>
        <w:t xml:space="preserve"> cuyo contenido se trata del oficio 207C-0401210001S-UT-1264/2022 de fecha primero de agosto dos mil veintidós, suscrito y signado por la Responsable y Titular de la Unidad de Transparencia por medio del cual requirió al entonces solicitante para que presentara ante la Unidad de Transparencia, el documento a través del cual acreditara la representación de la persona fallecida; asimismo, le informó que considerando que solicitó como modalidad de acceso “Copias certificadas (con costo) y la información consta en una foja, la misma se puso a disposición en el módulo de acceso de ese organismo auxiliar; del mismo modo, manifestó no genera costo de reproducción por tratarse de una sola foja. </w:t>
      </w:r>
    </w:p>
    <w:p w:rsidR="00000000" w:rsidDel="00000000" w:rsidP="00000000" w:rsidRDefault="00000000" w:rsidRPr="00000000" w14:paraId="0000000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Recurso de revisión. </w:t>
      </w:r>
      <w:r w:rsidDel="00000000" w:rsidR="00000000" w:rsidRPr="00000000">
        <w:rPr>
          <w:rFonts w:ascii="Palatino Linotype" w:cs="Palatino Linotype" w:eastAsia="Palatino Linotype" w:hAnsi="Palatino Linotype"/>
          <w:rtl w:val="0"/>
        </w:rPr>
        <w:t xml:space="preserve">El recurso de revisión se interpuso a través del SARCOEM con fecha dieciocho de agosto del año dos mil veintidós, por parte del solicitante de información, quien expresó las siguientes manifestaciones:</w:t>
      </w:r>
    </w:p>
    <w:p w:rsidR="00000000" w:rsidDel="00000000" w:rsidP="00000000" w:rsidRDefault="00000000" w:rsidRPr="00000000" w14:paraId="0000000E">
      <w:pPr>
        <w:spacing w:after="240" w:before="240" w:line="360" w:lineRule="auto"/>
        <w:ind w:left="567"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0F">
      <w:pPr>
        <w:spacing w:line="36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ME NEGÓ LA INFORMACIÓN SOLICITADA.” (Sic)</w:t>
      </w:r>
    </w:p>
    <w:p w:rsidR="00000000" w:rsidDel="00000000" w:rsidP="00000000" w:rsidRDefault="00000000" w:rsidRPr="00000000" w14:paraId="00000010">
      <w:pPr>
        <w:spacing w:after="240" w:before="240" w:line="360" w:lineRule="auto"/>
        <w:ind w:left="567"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Motivos de inconformidad.</w:t>
      </w:r>
    </w:p>
    <w:p w:rsidR="00000000" w:rsidDel="00000000" w:rsidP="00000000" w:rsidRDefault="00000000" w:rsidRPr="00000000" w14:paraId="00000011">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“Ingrese una solicitud en el SARCOEM, el día 4 de julio del año en curso, para solicitar copia certificada del Dictamen de riesgo de trabajo, de mi difunta madre la C. XXXXX XXXXXX XXXX, con clave ISSEMyM XXXXXXX, lo cual adjunte la siguiente información que son: mi identificación oficial y acta de defunción de mi difunta madre. Posteriormente la Unidad de Transparencia me requirió complementara mi solicitud de acceso a datos, debido a que no anexe el documento mediante el cual mi difunta madre haya expresado su voluntad para que yo pudiera acceder a sus datos personales, es importante mencionar que no cuento con dicho documento. Sin embargo en el artículo 106, de la Ley de Acceso a Datos Personales del Estado de México se menciona que: “Tratándose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así mismo, de acuerdo con el artículo 122, de la Ley antes citada, el cual menciona que “La interposición de un recurso de revisión de datos personales concernientes a personas fallecidas, podrá realizarla la persona que acredite tener un interés jurídico o legítimo”, por lo tanto, acredito tener un interés legítimo, tal como lo demostré en los documentos que adjunte en la solicitud. Por lo anterior, solicito al ISSEMYM, que se me entregue una copia certificada del Dictamen de riesgo de trabajo, de mi difunta madre la C. XXXXX XXXXXX XXXX, con clave ISSEMyM XXXXXXX, lo cual requiero ya que me lo solicitan para el cobro del seguro por fallecimiento.” (Sic)</w:t>
      </w:r>
    </w:p>
    <w:p w:rsidR="00000000" w:rsidDel="00000000" w:rsidP="00000000" w:rsidRDefault="00000000" w:rsidRPr="00000000" w14:paraId="00000012">
      <w:pPr>
        <w:ind w:right="90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w:t>
      </w: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De conformidad con los artículos 129, 130 y 131, de la Ley de Protección de Datos Personales en Posesión de Sujetos Obligados del Estado de México y Municipios,</w:t>
      </w:r>
      <w:r w:rsidDel="00000000" w:rsidR="00000000" w:rsidRPr="00000000">
        <w:rPr>
          <w:rFonts w:ascii="Palatino Linotype" w:cs="Palatino Linotype" w:eastAsia="Palatino Linotype" w:hAnsi="Palatino Linotype"/>
          <w:b w:val="1"/>
          <w:sz w:val="32"/>
          <w:szCs w:val="32"/>
          <w:rtl w:val="0"/>
        </w:rPr>
        <w:t xml:space="preserve"> </w:t>
      </w:r>
      <w:r w:rsidDel="00000000" w:rsidR="00000000" w:rsidRPr="00000000">
        <w:rPr>
          <w:rFonts w:ascii="Palatino Linotype" w:cs="Palatino Linotype" w:eastAsia="Palatino Linotype" w:hAnsi="Palatino Linotype"/>
          <w:rtl w:val="0"/>
        </w:rPr>
        <w:t xml:space="preserve">el presente recurso de revisión se envió electrónicamente al Instituto de Transparencia, Acceso a la Información Pública y Protección de Datos Personales del Estado de México y Municipios, que por razón de turno fue asignado a la Comisionada </w:t>
      </w:r>
      <w:r w:rsidDel="00000000" w:rsidR="00000000" w:rsidRPr="00000000">
        <w:rPr>
          <w:rFonts w:ascii="Palatino Linotype" w:cs="Palatino Linotype" w:eastAsia="Palatino Linotype" w:hAnsi="Palatino Linotype"/>
          <w:b w:val="1"/>
          <w:rtl w:val="0"/>
        </w:rPr>
        <w:t xml:space="preserve">Guadalupe Ramírez Peña</w:t>
      </w:r>
      <w:r w:rsidDel="00000000" w:rsidR="00000000" w:rsidRPr="00000000">
        <w:rPr>
          <w:rFonts w:ascii="Palatino Linotype" w:cs="Palatino Linotype" w:eastAsia="Palatino Linotype" w:hAnsi="Palatino Linotype"/>
          <w:rtl w:val="0"/>
        </w:rPr>
        <w:t xml:space="preserve"> para su análisis, estudio, elaboración del proyecto y presentación ante el Pleno de este Instituto.</w:t>
      </w:r>
    </w:p>
    <w:p w:rsidR="00000000" w:rsidDel="00000000" w:rsidP="00000000" w:rsidRDefault="00000000" w:rsidRPr="00000000" w14:paraId="00000014">
      <w:pPr>
        <w:tabs>
          <w:tab w:val="left" w:pos="4667"/>
        </w:tabs>
        <w:spacing w:line="360" w:lineRule="auto"/>
        <w:jc w:val="both"/>
        <w:rPr/>
      </w:pPr>
      <w:r w:rsidDel="00000000" w:rsidR="00000000" w:rsidRPr="00000000">
        <w:rPr>
          <w:rFonts w:ascii="Palatino Linotype" w:cs="Palatino Linotype" w:eastAsia="Palatino Linotype" w:hAnsi="Palatino Linotype"/>
          <w:b w:val="1"/>
          <w:rtl w:val="0"/>
        </w:rPr>
        <w:t xml:space="preserve">5. Admisión.</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Mediante auto de veintitrés de agosto del año dos mil veintidós, este Organismo Garante, admitió a trámite el recurso interpuesto por la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términos del 132, fracción I de la Ley de Protección de Datos Personales en Posesión de Sujeto Obligados del Estado de México y Municipios y del artículo 185, fracciones I, II y IV de la Ley de Transparencia y Acceso a la Información Pública del Estado de México y Municipios, supletoria a la Ley de Datos en mención, en el que se les otorgó un plazo de siete días hábiles posteriores a la misma, para expresar su intención de conciliar.</w:t>
      </w:r>
      <w:r w:rsidDel="00000000" w:rsidR="00000000" w:rsidRPr="00000000">
        <w:rPr>
          <w:rtl w:val="0"/>
        </w:rPr>
        <w:t xml:space="preserve"> </w:t>
      </w:r>
    </w:p>
    <w:p w:rsidR="00000000" w:rsidDel="00000000" w:rsidP="00000000" w:rsidRDefault="00000000" w:rsidRPr="00000000" w14:paraId="00000015">
      <w:pPr>
        <w:tabs>
          <w:tab w:val="left" w:pos="4667"/>
        </w:tabs>
        <w:spacing w:line="360" w:lineRule="auto"/>
        <w:rPr>
          <w:b w:val="1"/>
        </w:rPr>
      </w:pPr>
      <w:r w:rsidDel="00000000" w:rsidR="00000000" w:rsidRPr="00000000">
        <w:rPr>
          <w:rtl w:val="0"/>
        </w:rPr>
      </w:r>
    </w:p>
    <w:p w:rsidR="00000000" w:rsidDel="00000000" w:rsidP="00000000" w:rsidRDefault="00000000" w:rsidRPr="00000000" w14:paraId="00000016">
      <w:pPr>
        <w:tabs>
          <w:tab w:val="left" w:pos="4667"/>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Manifestaciones para conciliar.</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De las constancias que integran el expediente en que se actúa se advierte que  el veintitrés y veintinueve de agosto de dos mil veintidós, las partes manifestaron su voluntad para conciliar en el presente recurso de revisión. </w:t>
      </w:r>
    </w:p>
    <w:p w:rsidR="00000000" w:rsidDel="00000000" w:rsidP="00000000" w:rsidRDefault="00000000" w:rsidRPr="00000000" w14:paraId="00000017">
      <w:pPr>
        <w:tabs>
          <w:tab w:val="left" w:pos="4667"/>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8">
      <w:pPr>
        <w:tabs>
          <w:tab w:val="left" w:pos="4667"/>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Audiencia de conciliación. </w:t>
      </w:r>
      <w:r w:rsidDel="00000000" w:rsidR="00000000" w:rsidRPr="00000000">
        <w:rPr>
          <w:rFonts w:ascii="Palatino Linotype" w:cs="Palatino Linotype" w:eastAsia="Palatino Linotype" w:hAnsi="Palatino Linotype"/>
          <w:rtl w:val="0"/>
        </w:rPr>
        <w:t xml:space="preserve">El veinte de septiembre de dos mil veintidós, se notificó a las partes el acuerdo en el que se señaló día, hora, lugar y medio para celebrar la audiencia de conciliación; misma que se llevó a cabo el veintitrés de septiembre de dos mil veintidós. </w:t>
      </w:r>
    </w:p>
    <w:p w:rsidR="00000000" w:rsidDel="00000000" w:rsidP="00000000" w:rsidRDefault="00000000" w:rsidRPr="00000000" w14:paraId="00000019">
      <w:pPr>
        <w:tabs>
          <w:tab w:val="left" w:pos="4667"/>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A">
      <w:pPr>
        <w:tabs>
          <w:tab w:val="left" w:pos="4667"/>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Recepción de la información. </w:t>
      </w:r>
      <w:r w:rsidDel="00000000" w:rsidR="00000000" w:rsidRPr="00000000">
        <w:rPr>
          <w:rFonts w:ascii="Palatino Linotype" w:cs="Palatino Linotype" w:eastAsia="Palatino Linotype" w:hAnsi="Palatino Linotype"/>
          <w:rtl w:val="0"/>
        </w:rPr>
        <w:t xml:space="preserve">El veintiséis de septiembre de dos mil veintidós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adjuntó el acuse de recibido del Dictamen Médico de Defunción por Riesgo de Trabajo, de fecha primero de febrero de dos mil veintidós, que consta de 2 fojas en modalidad de copia certificada. </w:t>
      </w:r>
    </w:p>
    <w:p w:rsidR="00000000" w:rsidDel="00000000" w:rsidP="00000000" w:rsidRDefault="00000000" w:rsidRPr="00000000" w14:paraId="0000001B">
      <w:pPr>
        <w:widowControl w:val="0"/>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9.</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Cierre de Instrucción</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de aplicación supletoria, en relación con el artículo 127 de la Ley de Protección de Datos Personales en Posesión de Sujetos Obligados del Estado de México y Municipios, el día cinco de agosto del dos mil veintidós se procedió a decretar el cierre de instrucción respectivo. </w:t>
      </w:r>
    </w:p>
    <w:p w:rsidR="00000000" w:rsidDel="00000000" w:rsidP="00000000" w:rsidRDefault="00000000" w:rsidRPr="00000000" w14:paraId="0000001C">
      <w:pPr>
        <w:widowControl w:val="0"/>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10. Ampliación de plazo.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veinte de octubre de dos mil veintidós</w:t>
      </w:r>
      <w:r w:rsidDel="00000000" w:rsidR="00000000" w:rsidRPr="00000000">
        <w:rPr>
          <w:rFonts w:ascii="Palatino Linotype" w:cs="Palatino Linotype" w:eastAsia="Palatino Linotype" w:hAnsi="Palatino Linotype"/>
          <w:rtl w:val="0"/>
        </w:rPr>
        <w:t xml:space="preserve">, se notificó a las partes el acuerdo de ampliación de plazo para resolver el medio de impugnación que nos ocupa, en términos de lo dispuesto por el artículo 133 de la Ley de Protección de Datos Personales en Posesión de Sujetos Obligados del Estado de México y Municipios; lo anterior, con la finalidad de realizar un análisis exhaustivo de las constancias que obran en el expediente electrónico.</w:t>
      </w:r>
      <w:r w:rsidDel="00000000" w:rsidR="00000000" w:rsidRPr="00000000">
        <w:rPr>
          <w:rtl w:val="0"/>
        </w:rPr>
      </w:r>
    </w:p>
    <w:p w:rsidR="00000000" w:rsidDel="00000000" w:rsidP="00000000" w:rsidRDefault="00000000" w:rsidRPr="00000000" w14:paraId="0000001D">
      <w:pPr>
        <w:widowControl w:val="0"/>
        <w:spacing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substanciado el expediente y no existiendo diligencia pendiente de desahogo, se ordenó emitir la resolución que conforme a derecho proceda, de acuerdo a los siguientes:</w:t>
      </w:r>
    </w:p>
    <w:p w:rsidR="00000000" w:rsidDel="00000000" w:rsidP="00000000" w:rsidRDefault="00000000" w:rsidRPr="00000000" w14:paraId="0000001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0">
      <w:pPr>
        <w:pStyle w:val="Heading2"/>
        <w:jc w:val="center"/>
        <w:rPr>
          <w:rFonts w:ascii="Palatino Linotype" w:cs="Palatino Linotype" w:eastAsia="Palatino Linotype" w:hAnsi="Palatino Linotype"/>
          <w:b w:val="1"/>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II. C O N S I D E R A N D O S:</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spacing w:line="360" w:lineRule="auto"/>
        <w:jc w:val="both"/>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rtl w:val="0"/>
        </w:rPr>
        <w:t xml:space="preserve">El Instituto de Transparencia, Acceso a la Información Pública y Protección de Datos Personales del Estado de México y Municipios, es competente para conocer y resolver el presente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conforme a lo dispuesto por los artículos 6°, apartado A, de la Constitución Política de los Estados Unidos Mexicanos; 5°, párrafos trigésimo,  trigésimo primero y trigésimo segundo fracciones I, II, III, IV y V, de la Constitución Política del Estado Libre y Soberano de México; 1°, 3°, fracción XXIV, fracción I, 103 y 111, de la Ley General de Protección de Datos Personales en Posesión de Sujetos Obligados,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así como en lo dispuesto por los artículos 9°, fracciones I y XXIV y 11, del Reglamento Interior del Instituto de Transparencia, Acceso a la Información Pública y Protección de Datos Personales del Estado de México y Municipios</w:t>
      </w:r>
      <w:r w:rsidDel="00000000" w:rsidR="00000000" w:rsidRPr="00000000">
        <w:rPr>
          <w:rtl w:val="0"/>
        </w:rPr>
        <w:t xml:space="preserve">.</w:t>
      </w:r>
    </w:p>
    <w:p w:rsidR="00000000" w:rsidDel="00000000" w:rsidP="00000000" w:rsidRDefault="00000000" w:rsidRPr="00000000" w14:paraId="00000023">
      <w:pPr>
        <w:spacing w:line="360" w:lineRule="auto"/>
        <w:jc w:val="both"/>
        <w:rPr/>
      </w:pPr>
      <w:r w:rsidDel="00000000" w:rsidR="00000000" w:rsidRPr="00000000">
        <w:rPr>
          <w:rtl w:val="0"/>
        </w:rPr>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Oportunidad y Procedibilidad. </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rsidR="00000000" w:rsidDel="00000000" w:rsidP="00000000" w:rsidRDefault="00000000" w:rsidRPr="00000000" w14:paraId="00000025">
      <w:pPr>
        <w:spacing w:after="120" w:before="12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128. </w:t>
      </w:r>
      <w:r w:rsidDel="00000000" w:rsidR="00000000" w:rsidRPr="00000000">
        <w:rPr>
          <w:rFonts w:ascii="Palatino Linotype" w:cs="Palatino Linotype" w:eastAsia="Palatino Linotype" w:hAnsi="Palatino Linotype"/>
          <w:i w:val="1"/>
          <w:sz w:val="22"/>
          <w:szCs w:val="22"/>
          <w:rtl w:val="0"/>
        </w:rPr>
        <w:t xml:space="preserve">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rsidR="00000000" w:rsidDel="00000000" w:rsidP="00000000" w:rsidRDefault="00000000" w:rsidRPr="00000000" w14:paraId="00000026">
      <w:pPr>
        <w:spacing w:after="120" w:before="12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 (Sic)</w:t>
      </w:r>
    </w:p>
    <w:p w:rsidR="00000000" w:rsidDel="00000000" w:rsidP="00000000" w:rsidRDefault="00000000" w:rsidRPr="00000000" w14:paraId="00000027">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atendiendo a que 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notificó la respuesta a la solicitud de acceso a datos personales el </w:t>
      </w:r>
      <w:r w:rsidDel="00000000" w:rsidR="00000000" w:rsidRPr="00000000">
        <w:rPr>
          <w:rFonts w:ascii="Palatino Linotype" w:cs="Palatino Linotype" w:eastAsia="Palatino Linotype" w:hAnsi="Palatino Linotype"/>
          <w:b w:val="1"/>
          <w:rtl w:val="0"/>
        </w:rPr>
        <w:t xml:space="preserve">cinco de agosto de dos mil veintidós</w:t>
      </w:r>
      <w:r w:rsidDel="00000000" w:rsidR="00000000" w:rsidRPr="00000000">
        <w:rPr>
          <w:rFonts w:ascii="Palatino Linotype" w:cs="Palatino Linotype" w:eastAsia="Palatino Linotype" w:hAnsi="Palatino Linotype"/>
          <w:rtl w:val="0"/>
        </w:rPr>
        <w:t xml:space="preserve">; así, el plazo de quince días hábiles que el artículo 128 de la Ley de Protección de Datos Personales en Posesión de Sujetos Obligados del Estado de México y Municipios, transcurrió del </w:t>
      </w:r>
      <w:r w:rsidDel="00000000" w:rsidR="00000000" w:rsidRPr="00000000">
        <w:rPr>
          <w:rFonts w:ascii="Palatino Linotype" w:cs="Palatino Linotype" w:eastAsia="Palatino Linotype" w:hAnsi="Palatino Linotype"/>
          <w:b w:val="1"/>
          <w:rtl w:val="0"/>
        </w:rPr>
        <w:t xml:space="preserve">ocho al veintiséis de agosto de dos mil veintidós</w:t>
      </w:r>
      <w:r w:rsidDel="00000000" w:rsidR="00000000" w:rsidRPr="00000000">
        <w:rPr>
          <w:rFonts w:ascii="Palatino Linotype" w:cs="Palatino Linotype" w:eastAsia="Palatino Linotype" w:hAnsi="Palatino Linotype"/>
          <w:rtl w:val="0"/>
        </w:rPr>
        <w:t xml:space="preserve">; en términos de los artículos 4 fracción XV de la Ley de Protección de Datos Personales en Posesión de Sujetos Obligados del Estado de México y Municipios y 3 fracción X de la Ley de Transparencia y Acceso a la Información Pública del Estado de México y Municipios, de aplicación supletoria.</w:t>
      </w:r>
    </w:p>
    <w:p w:rsidR="00000000" w:rsidDel="00000000" w:rsidP="00000000" w:rsidRDefault="00000000" w:rsidRPr="00000000" w14:paraId="00000028">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a esta cronología, si el recurso de revisión que nos ocupa se interpuso el </w:t>
      </w:r>
      <w:r w:rsidDel="00000000" w:rsidR="00000000" w:rsidRPr="00000000">
        <w:rPr>
          <w:rFonts w:ascii="Palatino Linotype" w:cs="Palatino Linotype" w:eastAsia="Palatino Linotype" w:hAnsi="Palatino Linotype"/>
          <w:b w:val="1"/>
          <w:rtl w:val="0"/>
        </w:rPr>
        <w:t xml:space="preserve">dieciocho de agosto de dos mil veintidós</w:t>
      </w:r>
      <w:r w:rsidDel="00000000" w:rsidR="00000000" w:rsidRPr="00000000">
        <w:rPr>
          <w:rFonts w:ascii="Palatino Linotype" w:cs="Palatino Linotype" w:eastAsia="Palatino Linotype" w:hAnsi="Palatino Linotype"/>
          <w:rtl w:val="0"/>
        </w:rPr>
        <w:t xml:space="preserve">; es decir, el noveno día hábil siguiente al que tuvo conocimiento de la respuesta, por lo que se encuentra dentro de los márgenes temporales previstos en el artículo 128 de la Ley de Protección de Datos Personales en Posesión de Sujetos Obligados del Estado de México y Municipios y, por tanto, </w:t>
      </w:r>
      <w:r w:rsidDel="00000000" w:rsidR="00000000" w:rsidRPr="00000000">
        <w:rPr>
          <w:rFonts w:ascii="Palatino Linotype" w:cs="Palatino Linotype" w:eastAsia="Palatino Linotype" w:hAnsi="Palatino Linotype"/>
          <w:b w:val="1"/>
          <w:u w:val="single"/>
          <w:rtl w:val="0"/>
        </w:rPr>
        <w:t xml:space="preserve">su interposición se considera oportuna</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29">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Ahora bien, del análisis efectuado se advierte que resulta procedente la interposición del recurso y se concluye la acreditación plena de todos y cada uno de los elementos formales exigidos por el artículo 130 de la Ley de Protección de Datos Personales en Posesión de Sujetos Obligados del Estado de México y Municipios en vigor, en atención a que fue presentado mediante el formato visible en SARCOEM</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Análisis de las causales de Sobreseimiento</w:t>
      </w:r>
      <w:r w:rsidDel="00000000" w:rsidR="00000000" w:rsidRPr="00000000">
        <w:rPr>
          <w:rFonts w:ascii="Palatino Linotype" w:cs="Palatino Linotype" w:eastAsia="Palatino Linotype" w:hAnsi="Palatino Linotype"/>
          <w:rtl w:val="0"/>
        </w:rPr>
        <w:t xml:space="preserve"> Tal y como quedo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el antecedente uno de la presente resolución, la entonces solicitante, requirió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2B">
      <w:pPr>
        <w:numPr>
          <w:ilvl w:val="0"/>
          <w:numId w:val="2"/>
        </w:numPr>
        <w:pBdr>
          <w:top w:space="0" w:sz="0" w:val="nil"/>
          <w:left w:space="0" w:sz="0" w:val="nil"/>
          <w:bottom w:space="0" w:sz="0" w:val="nil"/>
          <w:right w:space="0" w:sz="0" w:val="nil"/>
          <w:between w:space="0" w:sz="0" w:val="nil"/>
        </w:pBdr>
        <w:spacing w:line="360" w:lineRule="auto"/>
        <w:ind w:left="714" w:hanging="357"/>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rtl w:val="0"/>
        </w:rPr>
        <w:t xml:space="preserve">Copia certificada del dictamen aprobado de riego de trabajo de una persona fallecida. </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ello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requirió al entonces solicitante para que presentara ante la Unidad de Transparencia, el documento a través del cual acreditara la representación de la persona fallecida; asimismo, le informó que considerando que solicitó como modalidad de acceso “Copias certificadas (con costo) y la información consta en una foja, la misma se puso a disposición en el módulo de acceso de ese organismo auxiliar; del mismo modo, manifestó no genera costo de reproducción por tratarse de una sola foja. </w:t>
      </w:r>
    </w:p>
    <w:p w:rsidR="00000000" w:rsidDel="00000000" w:rsidP="00000000" w:rsidRDefault="00000000" w:rsidRPr="00000000" w14:paraId="0000002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E">
      <w:pPr>
        <w:spacing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Inconforme, el particular manifestó como agravios en lo medular porque la Unidad de Trasparencia le requirió que completara la solicitud de acceso a datos, debido a que no anexo documento mediante el cual la persona fallecida haya expresado su voluntad para poder acceder a los datos personales; y agregó que el interés legítimo lo acreditó con las documentales remitidas en la solicitud. </w:t>
      </w:r>
      <w:r w:rsidDel="00000000" w:rsidR="00000000" w:rsidRPr="00000000">
        <w:rPr>
          <w:rtl w:val="0"/>
        </w:rPr>
      </w:r>
    </w:p>
    <w:p w:rsidR="00000000" w:rsidDel="00000000" w:rsidP="00000000" w:rsidRDefault="00000000" w:rsidRPr="00000000" w14:paraId="0000002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0">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admitido el recurso de revisión y declarado abierto el periodo de manifestaciones, las partes manifestaron su voluntad de conciliar; ante ello la Comisionada Ponente con fundamento en el artículo 132, fracción II, de la Ley de Protección de Datos Personales en Posesión de Sujetos Obligados del Estado de México y Municipios y de los Capítulos Segundo, fracciones IX y XI, y Quinto fracciones II y IV de los Lineamientos para el Regreso Seguro a las Actividades que se desarrollan dentro de los Inmuebles del Instituto, ante la Situación Generada por el Virus Sars-Cov2 (Covid-19), señalo las doce horas (12:00 hrs) del día viernes veintitrés de septiembre del dos mil veintidós, para que a través del sistema ZOOM (software para reuniones y videoconferencias), se realizará la audiencia de conciliación.</w:t>
      </w:r>
    </w:p>
    <w:p w:rsidR="00000000" w:rsidDel="00000000" w:rsidP="00000000" w:rsidRDefault="00000000" w:rsidRPr="00000000" w14:paraId="0000003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que estuvieron presentes las partes en las oficinas que ocupa la Unidad de Transparencia del Sujeto Obligado y enlazadas con este Instituto de manera virtual, se solicitó a la Unidad de Transparencia, que tuviera a bien requerir las documentales presentadas por la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con el objeto de verificar que se trata de la misma persona que presentó la solicitud de información y que además con los cuales acredita el interés jurídico para acceder a los datos de la persona fallecida. </w:t>
      </w:r>
    </w:p>
    <w:p w:rsidR="00000000" w:rsidDel="00000000" w:rsidP="00000000" w:rsidRDefault="00000000" w:rsidRPr="00000000" w14:paraId="0000003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este punto, cabe referir que artículos 106, 120 y 121, de la </w:t>
      </w:r>
      <w:r w:rsidDel="00000000" w:rsidR="00000000" w:rsidRPr="00000000">
        <w:rPr>
          <w:rFonts w:ascii="Palatino Linotype" w:cs="Palatino Linotype" w:eastAsia="Palatino Linotype" w:hAnsi="Palatino Linotype"/>
          <w:b w:val="1"/>
          <w:rtl w:val="0"/>
        </w:rPr>
        <w:t xml:space="preserve">Ley de Protección de Datos Personales en Posesión de Sujetos Obligados del Estado de México y Municipios,</w:t>
      </w:r>
      <w:r w:rsidDel="00000000" w:rsidR="00000000" w:rsidRPr="00000000">
        <w:rPr>
          <w:rFonts w:ascii="Palatino Linotype" w:cs="Palatino Linotype" w:eastAsia="Palatino Linotype" w:hAnsi="Palatino Linotype"/>
          <w:rtl w:val="0"/>
        </w:rPr>
        <w:t xml:space="preserve"> normatividad invocada que a la literalidad dispone: </w:t>
      </w:r>
    </w:p>
    <w:p w:rsidR="00000000" w:rsidDel="00000000" w:rsidP="00000000" w:rsidRDefault="00000000" w:rsidRPr="00000000" w14:paraId="0000003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4">
      <w:pPr>
        <w:widowControl w:val="0"/>
        <w:ind w:left="851" w:right="85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“Legitimación para Ejercer los Derechos ARCO</w:t>
      </w:r>
    </w:p>
    <w:p w:rsidR="00000000" w:rsidDel="00000000" w:rsidP="00000000" w:rsidRDefault="00000000" w:rsidRPr="00000000" w14:paraId="00000035">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106.</w:t>
      </w:r>
      <w:r w:rsidDel="00000000" w:rsidR="00000000" w:rsidRPr="00000000">
        <w:rPr>
          <w:rFonts w:ascii="Palatino Linotype" w:cs="Palatino Linotype" w:eastAsia="Palatino Linotype" w:hAnsi="Palatino Linotype"/>
          <w:i w:val="1"/>
          <w:sz w:val="22"/>
          <w:szCs w:val="22"/>
          <w:rtl w:val="0"/>
        </w:rPr>
        <w:t xml:space="preserve"> La recepción y trámite de las solicitudes para el ejercicio de los derechos ARCO, de portabilidad de los datos y limitación del tratamiento, se sujetará al procedimiento establecido en el presente Título y demás disposiciones que resulten aplicables en la materia. </w:t>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 Los titulares o sus representantes legales podrán solicitar a través de la Unidad de Transparencia, en términos de lo que establezca la presente Ley, que se les otorgue acceso, rectifique, cancele, o que haga efectivo su derecho de oposición, respecto de los datos personales que le conciernan y que obren en un sistema de datos personales y base de datos en posesión de los sujetos obligados.</w:t>
      </w:r>
    </w:p>
    <w:p w:rsidR="00000000" w:rsidDel="00000000" w:rsidP="00000000" w:rsidRDefault="00000000" w:rsidRPr="00000000" w14:paraId="00000038">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9">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Medios para acreditar identidad </w:t>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120.</w:t>
      </w:r>
      <w:r w:rsidDel="00000000" w:rsidR="00000000" w:rsidRPr="00000000">
        <w:rPr>
          <w:rFonts w:ascii="Palatino Linotype" w:cs="Palatino Linotype" w:eastAsia="Palatino Linotype" w:hAnsi="Palatino Linotype"/>
          <w:i w:val="1"/>
          <w:sz w:val="22"/>
          <w:szCs w:val="22"/>
          <w:rtl w:val="0"/>
        </w:rPr>
        <w:t xml:space="preserve"> El titular podrá acreditar su identidad a través de cualquiera de los medios siguientes: </w:t>
      </w:r>
    </w:p>
    <w:p w:rsidR="00000000" w:rsidDel="00000000" w:rsidP="00000000" w:rsidRDefault="00000000" w:rsidRPr="00000000" w14:paraId="0000003C">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I. Identificación oficial</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Firma electrónica avanzada o del instrumento electrónico que lo sustituya.</w:t>
      </w:r>
    </w:p>
    <w:p w:rsidR="00000000" w:rsidDel="00000000" w:rsidP="00000000" w:rsidRDefault="00000000" w:rsidRPr="00000000" w14:paraId="0000003F">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Mecanismos de autenticación autorizados por el Instituto o el Instituto Nacional publicados por acuerdo general en el periódico oficial “Gaceta del Gobierno” o en el Diario Oficial de la Federación. </w:t>
      </w:r>
    </w:p>
    <w:p w:rsidR="00000000" w:rsidDel="00000000" w:rsidP="00000000" w:rsidRDefault="00000000" w:rsidRPr="00000000" w14:paraId="00000040">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utilización de la firma electrónica avanzada o del instrumento electrónico que lo sustituya eximirá de la presentación de la copia del documento de identificación.</w:t>
      </w:r>
    </w:p>
    <w:p w:rsidR="00000000" w:rsidDel="00000000" w:rsidP="00000000" w:rsidRDefault="00000000" w:rsidRPr="00000000" w14:paraId="00000042">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b w:val="1"/>
          <w:i w:val="1"/>
          <w:sz w:val="22"/>
          <w:szCs w:val="22"/>
          <w:u w:val="single"/>
        </w:rPr>
      </w:pPr>
      <w:r w:rsidDel="00000000" w:rsidR="00000000" w:rsidRPr="00000000">
        <w:rPr>
          <w:rtl w:val="0"/>
        </w:rPr>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Disposiciones que, resultan de aplicación estricta para la tramitación del procedimiento que forma parte de las garantías primarias del derecho a la protección de datos personales, como lo es la atención de solicitudes de derechos ARCO, concepto que en términos de lo dispuesto por el artículo 4, fracción XIII, de la Ley de Protección de Datos Personales en Posesión de Sujetos Obligados del Estado de México y Municipios es relativo a los derechos de acceso, rectificación, cancelación y oposición al tratamiento de datos personales.</w:t>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Ordenamiento al cual se encuentran sujetos los titulares de las unidades de transparencia de los Sujetos Obligados</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en ejercicio de la atribución prevista por el artículo 90, fracción II de la Ley de Protección de Datos Personales en Posesión de Sujetos Obligados del Estado de México y Municipios, y en cumplimiento del deber de confidencialidad, establecido en el diverso artículo 40 de la Ley en mención, </w:t>
      </w:r>
      <w:r w:rsidDel="00000000" w:rsidR="00000000" w:rsidRPr="00000000">
        <w:rPr>
          <w:rFonts w:ascii="Palatino Linotype" w:cs="Palatino Linotype" w:eastAsia="Palatino Linotype" w:hAnsi="Palatino Linotype"/>
          <w:b w:val="1"/>
          <w:u w:val="single"/>
          <w:rtl w:val="0"/>
        </w:rPr>
        <w:t xml:space="preserve">que implica que la información no se pondrá a disposición, ni se revelará a individuos, entidades o procesos no autorizados, y que en el caso particular requiere de manera inexorable que el acceso de datos se lleve a cabo, únicamente a favor de quien cuente con un interés jurídico o en su caso, su representante legal.</w:t>
      </w:r>
      <w:r w:rsidDel="00000000" w:rsidR="00000000" w:rsidRPr="00000000">
        <w:rPr>
          <w:rtl w:val="0"/>
        </w:rPr>
      </w:r>
    </w:p>
    <w:p w:rsidR="00000000" w:rsidDel="00000000" w:rsidP="00000000" w:rsidRDefault="00000000" w:rsidRPr="00000000" w14:paraId="00000046">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Es así que, una vez que la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se tuvo por acreditada, se llevó a cabo la  celebración de la audiencia virtual,  en la que se acordó la entrega de la información solicitada, misma que fue puesta a disposición de la Particular por el </w:t>
      </w:r>
      <w:r w:rsidDel="00000000" w:rsidR="00000000" w:rsidRPr="00000000">
        <w:rPr>
          <w:rFonts w:ascii="Palatino Linotype" w:cs="Palatino Linotype" w:eastAsia="Palatino Linotype" w:hAnsi="Palatino Linotype"/>
          <w:b w:val="1"/>
          <w:rtl w:val="0"/>
        </w:rPr>
        <w:t xml:space="preserve">SUJETO OBLIGADO. </w:t>
      </w:r>
    </w:p>
    <w:p w:rsidR="00000000" w:rsidDel="00000000" w:rsidP="00000000" w:rsidRDefault="00000000" w:rsidRPr="00000000" w14:paraId="0000004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anterior, se acredita que las partes llegaron al acuerdo que establece el artículo 132 fracción V de la Ley de Protección de Datos Personales en Posesión de los Sujetos Obligados del Estado de México y Municipios</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4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Posteriormente, a  través del documento identificado como “</w:t>
      </w:r>
      <w:r w:rsidDel="00000000" w:rsidR="00000000" w:rsidRPr="00000000">
        <w:rPr>
          <w:rFonts w:ascii="Palatino Linotype" w:cs="Palatino Linotype" w:eastAsia="Palatino Linotype" w:hAnsi="Palatino Linotype"/>
          <w:b w:val="1"/>
          <w:i w:val="1"/>
          <w:rtl w:val="0"/>
        </w:rPr>
        <w:t xml:space="preserve">ACUSE DE RECIBIDO</w:t>
      </w:r>
      <w:r w:rsidDel="00000000" w:rsidR="00000000" w:rsidRPr="00000000">
        <w:rPr>
          <w:rFonts w:ascii="Palatino Linotype" w:cs="Palatino Linotype" w:eastAsia="Palatino Linotype" w:hAnsi="Palatino Linotype"/>
          <w:rtl w:val="0"/>
        </w:rPr>
        <w:t xml:space="preserve">”, se constató que la información ya se encuentra en posesión del  Particular, ya que esté corresponde al acuse de recibo en donde la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plasmó de su puño y letra, su nombre y firma de que se le entregó la información.</w:t>
      </w:r>
    </w:p>
    <w:p w:rsidR="00000000" w:rsidDel="00000000" w:rsidP="00000000" w:rsidRDefault="00000000" w:rsidRPr="00000000" w14:paraId="0000004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consiguiente, este Organismo Garante advierte que en el presente caso se actualiza la causal de sobreseimiento prevista en la fracción I del artículo 137 y fracción V del artículo 139, en correlación con las fracciones V y VI del 132 de la Ley de Protección de Datos Personales en Posesión de los Sujetos Obligados del Estado de México y Municipios, que a la letra dicen:</w:t>
      </w:r>
    </w:p>
    <w:p w:rsidR="00000000" w:rsidDel="00000000" w:rsidP="00000000" w:rsidRDefault="00000000" w:rsidRPr="00000000" w14:paraId="0000004A">
      <w:pPr>
        <w:spacing w:after="120" w:line="276" w:lineRule="auto"/>
        <w:ind w:left="1134" w:right="9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Admitido el recurso de revisión y sin perjuicio de lo dispuesto por la Ley General, el Instituto promoverá la conciliación entre las partes, de conformidad con el procedimiento siguiente:</w:t>
      </w:r>
    </w:p>
    <w:p w:rsidR="00000000" w:rsidDel="00000000" w:rsidP="00000000" w:rsidRDefault="00000000" w:rsidRPr="00000000" w14:paraId="0000004B">
      <w:pPr>
        <w:spacing w:after="120" w:line="276" w:lineRule="auto"/>
        <w:ind w:left="1134" w:right="9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C">
      <w:pPr>
        <w:spacing w:after="120" w:line="276" w:lineRule="auto"/>
        <w:ind w:left="1134" w:right="9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w:t>
      </w:r>
      <w:r w:rsidDel="00000000" w:rsidR="00000000" w:rsidRPr="00000000">
        <w:rPr>
          <w:rFonts w:ascii="Palatino Linotype" w:cs="Palatino Linotype" w:eastAsia="Palatino Linotype" w:hAnsi="Palatino Linotype"/>
          <w:b w:val="1"/>
          <w:i w:val="1"/>
          <w:sz w:val="22"/>
          <w:szCs w:val="22"/>
          <w:rtl w:val="0"/>
        </w:rPr>
        <w:t xml:space="preserve">De llegar a un acuerdo, éste se hará constar por escrito y tendrá efectos vinculantes.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D">
      <w:pPr>
        <w:spacing w:after="120" w:line="276" w:lineRule="auto"/>
        <w:ind w:left="1134" w:right="94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El recurso de revisión quedará sin materia y el Instituto, deberán verificar el cumplimiento del acuerdo respectivo. </w:t>
      </w:r>
    </w:p>
    <w:p w:rsidR="00000000" w:rsidDel="00000000" w:rsidP="00000000" w:rsidRDefault="00000000" w:rsidRPr="00000000" w14:paraId="0000004E">
      <w:pPr>
        <w:spacing w:after="120" w:line="276" w:lineRule="auto"/>
        <w:ind w:left="1134" w:right="9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El cumplimiento del acuerdo dará por concluido la sustanciación del recurso de revisión, en caso contrario, el Instituto reanudará el procedimiento.</w:t>
      </w:r>
    </w:p>
    <w:p w:rsidR="00000000" w:rsidDel="00000000" w:rsidP="00000000" w:rsidRDefault="00000000" w:rsidRPr="00000000" w14:paraId="0000004F">
      <w:pPr>
        <w:spacing w:after="120" w:line="276" w:lineRule="auto"/>
        <w:ind w:left="1134" w:right="9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0">
      <w:pPr>
        <w:spacing w:after="120" w:line="276" w:lineRule="auto"/>
        <w:ind w:left="1134" w:right="94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 </w:t>
      </w:r>
      <w:r w:rsidDel="00000000" w:rsidR="00000000" w:rsidRPr="00000000">
        <w:rPr>
          <w:rFonts w:ascii="Palatino Linotype" w:cs="Palatino Linotype" w:eastAsia="Palatino Linotype" w:hAnsi="Palatino Linotype"/>
          <w:i w:val="1"/>
          <w:sz w:val="22"/>
          <w:szCs w:val="22"/>
          <w:rtl w:val="0"/>
        </w:rPr>
        <w:t xml:space="preserve">Las resoluciones del Instituto podrán:</w:t>
      </w:r>
      <w:r w:rsidDel="00000000" w:rsidR="00000000" w:rsidRPr="00000000">
        <w:rPr>
          <w:rtl w:val="0"/>
        </w:rPr>
      </w:r>
    </w:p>
    <w:p w:rsidR="00000000" w:rsidDel="00000000" w:rsidP="00000000" w:rsidRDefault="00000000" w:rsidRPr="00000000" w14:paraId="00000051">
      <w:pPr>
        <w:numPr>
          <w:ilvl w:val="0"/>
          <w:numId w:val="1"/>
        </w:numPr>
        <w:pBdr>
          <w:top w:space="0" w:sz="0" w:val="nil"/>
          <w:left w:space="0" w:sz="0" w:val="nil"/>
          <w:bottom w:space="0" w:sz="0" w:val="nil"/>
          <w:right w:space="0" w:sz="0" w:val="nil"/>
          <w:between w:space="0" w:sz="0" w:val="nil"/>
        </w:pBdr>
        <w:spacing w:after="120" w:line="276" w:lineRule="auto"/>
        <w:ind w:left="1854" w:right="941" w:hanging="72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Sobreseer o desechar el recurso de revisión por improcedente …</w:t>
      </w:r>
    </w:p>
    <w:p w:rsidR="00000000" w:rsidDel="00000000" w:rsidP="00000000" w:rsidRDefault="00000000" w:rsidRPr="00000000" w14:paraId="00000052">
      <w:pPr>
        <w:spacing w:after="120" w:line="276" w:lineRule="auto"/>
        <w:ind w:left="1134" w:right="94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53">
      <w:pPr>
        <w:spacing w:after="120" w:line="276" w:lineRule="auto"/>
        <w:ind w:left="1134" w:right="94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139.</w:t>
      </w:r>
      <w:r w:rsidDel="00000000" w:rsidR="00000000" w:rsidRPr="00000000">
        <w:rPr>
          <w:rFonts w:ascii="Palatino Linotype" w:cs="Palatino Linotype" w:eastAsia="Palatino Linotype" w:hAnsi="Palatino Linotype"/>
          <w:i w:val="1"/>
          <w:sz w:val="22"/>
          <w:szCs w:val="22"/>
          <w:rtl w:val="0"/>
        </w:rPr>
        <w:t xml:space="preserve"> El recurso de revisión sólo podrá ser sobreseído cuando: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54">
      <w:pPr>
        <w:spacing w:after="120" w:line="276" w:lineRule="auto"/>
        <w:ind w:left="1134" w:right="94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55">
      <w:pPr>
        <w:spacing w:after="120" w:line="276" w:lineRule="auto"/>
        <w:ind w:left="1134" w:right="9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w:t>
      </w:r>
      <w:r w:rsidDel="00000000" w:rsidR="00000000" w:rsidRPr="00000000">
        <w:rPr>
          <w:rFonts w:ascii="Palatino Linotype" w:cs="Palatino Linotype" w:eastAsia="Palatino Linotype" w:hAnsi="Palatino Linotype"/>
          <w:b w:val="1"/>
          <w:i w:val="1"/>
          <w:sz w:val="22"/>
          <w:szCs w:val="22"/>
          <w:rtl w:val="0"/>
        </w:rPr>
        <w:t xml:space="preserve">El responsable modifique o revoque su respuesta de tal manera que el recurso de revisión quede sin materia.</w:t>
      </w:r>
      <w:r w:rsidDel="00000000" w:rsidR="00000000" w:rsidRPr="00000000">
        <w:rPr>
          <w:rtl w:val="0"/>
        </w:rPr>
      </w:r>
    </w:p>
    <w:p w:rsidR="00000000" w:rsidDel="00000000" w:rsidP="00000000" w:rsidRDefault="00000000" w:rsidRPr="00000000" w14:paraId="00000056">
      <w:pPr>
        <w:spacing w:after="120" w:line="276" w:lineRule="auto"/>
        <w:ind w:left="1134" w:right="9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tl w:val="0"/>
        </w:rPr>
      </w:r>
    </w:p>
    <w:p w:rsidR="00000000" w:rsidDel="00000000" w:rsidP="00000000" w:rsidRDefault="00000000" w:rsidRPr="00000000" w14:paraId="0000005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debido a que como se afirmó en líneas que anteceden, las partes mediante la celebración de la Audiencia de Conciliación llegaron a un acuerdo a través de la cual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recibió a su entera satisfacción, las copias certificadas del Dictamen Médico de la persona fallecida, quedando sin materia en Recurso de Revisión que ahora se resuelve, ya que un acto impugnado queda sin efectos, cuando aun existiendo jurídicamente (esto es, que no se ha modificado, ni revocado), ya no genera ninguna consecuencia legal.</w:t>
      </w:r>
    </w:p>
    <w:p w:rsidR="00000000" w:rsidDel="00000000" w:rsidP="00000000" w:rsidRDefault="00000000" w:rsidRPr="00000000" w14:paraId="0000005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tanto que, un acto impugnado queda sin materia, cuando ha sido satisfecha la pretensión de lo pedido por la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de manera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mediante la entrega de los documentos y del Acuerdo al que llegó con la hoy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es que se queda sin materia, es decir, el motivo de conflicto entre las partes simple y llanamente no existe.</w:t>
      </w:r>
    </w:p>
    <w:p w:rsidR="00000000" w:rsidDel="00000000" w:rsidP="00000000" w:rsidRDefault="00000000" w:rsidRPr="00000000" w14:paraId="0000005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consiguiente, de conformidad con los artículos 137, fracción I y 139, fracción IV, de la Ley de Protección de Datos Personales en Posesión de Sujetos Obligados del Estado de México y Municipios, este Pleno determina el </w:t>
      </w:r>
      <w:r w:rsidDel="00000000" w:rsidR="00000000" w:rsidRPr="00000000">
        <w:rPr>
          <w:rFonts w:ascii="Palatino Linotype" w:cs="Palatino Linotype" w:eastAsia="Palatino Linotype" w:hAnsi="Palatino Linotype"/>
          <w:b w:val="1"/>
          <w:rtl w:val="0"/>
        </w:rPr>
        <w:t xml:space="preserve">SOBRESEIMIENTO</w:t>
      </w:r>
      <w:r w:rsidDel="00000000" w:rsidR="00000000" w:rsidRPr="00000000">
        <w:rPr>
          <w:rFonts w:ascii="Palatino Linotype" w:cs="Palatino Linotype" w:eastAsia="Palatino Linotype" w:hAnsi="Palatino Linotype"/>
          <w:rtl w:val="0"/>
        </w:rPr>
        <w:t xml:space="preserve"> del presente Recurso de Revisión,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modificó su respuesta y entregó la información solicitada en la modalidad acordada por las partes en audiencia de conciliación, por lo tanto, se dejó sin materia el presente Recurso de Revisión. </w:t>
      </w:r>
    </w:p>
    <w:p w:rsidR="00000000" w:rsidDel="00000000" w:rsidP="00000000" w:rsidRDefault="00000000" w:rsidRPr="00000000" w14:paraId="0000005A">
      <w:pPr>
        <w:shd w:fill="ffffff" w:val="clear"/>
        <w:spacing w:after="240" w:before="240" w:line="360" w:lineRule="auto"/>
        <w:jc w:val="both"/>
        <w:rPr>
          <w:rFonts w:ascii="Palatino Linotype" w:cs="Palatino Linotype" w:eastAsia="Palatino Linotype" w:hAnsi="Palatino Linotype"/>
        </w:rPr>
      </w:pPr>
      <w:bookmarkStart w:colFirst="0" w:colLast="0" w:name="_heading=h.30j0zll" w:id="0"/>
      <w:bookmarkEnd w:id="0"/>
      <w:r w:rsidDel="00000000" w:rsidR="00000000" w:rsidRPr="00000000">
        <w:rPr>
          <w:rFonts w:ascii="Palatino Linotype" w:cs="Palatino Linotype" w:eastAsia="Palatino Linotype" w:hAnsi="Palatino Linotype"/>
          <w:rtl w:val="0"/>
        </w:rPr>
        <w:t xml:space="preserve">Así, con fundamento en lo prescrito en los artículos 5 párrafos vigésimo segundo, vigésimo tercero y vigésimo cuarto fracciones IV y V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 E S U E L V E</w:t>
      </w:r>
    </w:p>
    <w:p w:rsidR="00000000" w:rsidDel="00000000" w:rsidP="00000000" w:rsidRDefault="00000000" w:rsidRPr="00000000" w14:paraId="0000005C">
      <w:pP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SOBRESEE </w:t>
      </w:r>
      <w:r w:rsidDel="00000000" w:rsidR="00000000" w:rsidRPr="00000000">
        <w:rPr>
          <w:rFonts w:ascii="Palatino Linotype" w:cs="Palatino Linotype" w:eastAsia="Palatino Linotype" w:hAnsi="Palatino Linotype"/>
          <w:rtl w:val="0"/>
        </w:rPr>
        <w:t xml:space="preserve">el recurso de revisión </w:t>
      </w:r>
      <w:r w:rsidDel="00000000" w:rsidR="00000000" w:rsidRPr="00000000">
        <w:rPr>
          <w:rFonts w:ascii="Palatino Linotype" w:cs="Palatino Linotype" w:eastAsia="Palatino Linotype" w:hAnsi="Palatino Linotype"/>
          <w:b w:val="1"/>
          <w:rtl w:val="0"/>
        </w:rPr>
        <w:t xml:space="preserve">13404/INFOEM/AD/RR/2022,</w:t>
      </w:r>
      <w:r w:rsidDel="00000000" w:rsidR="00000000" w:rsidRPr="00000000">
        <w:rPr>
          <w:rFonts w:ascii="Palatino Linotype" w:cs="Palatino Linotype" w:eastAsia="Palatino Linotype" w:hAnsi="Palatino Linotype"/>
          <w:rtl w:val="0"/>
        </w:rPr>
        <w:t xml:space="preserve"> porque al modificar la respuesta, el medio de impugnación quedó sin materia en términos de los artículos 137, fracción I y 139, fracción IV, de la Ley de Protección de Datos Personales en Posesión de Sujetos Obligados del Estado de México y Municipios, de conformidad con el Considerando Tercero de la presente resolución. </w:t>
      </w:r>
    </w:p>
    <w:p w:rsidR="00000000" w:rsidDel="00000000" w:rsidP="00000000" w:rsidRDefault="00000000" w:rsidRPr="00000000" w14:paraId="0000005D">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5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Notifíquese vía SARCOEM,</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al Responsable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su conocimiento.</w:t>
      </w:r>
    </w:p>
    <w:p w:rsidR="00000000" w:rsidDel="00000000" w:rsidP="00000000" w:rsidRDefault="00000000" w:rsidRPr="00000000" w14:paraId="0000005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0">
      <w:pPr>
        <w:tabs>
          <w:tab w:val="left" w:pos="4667"/>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Notifíquese vía SARCOEM,</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asimismo, se hace de su conocimiento que de conformidad con lo establecido en el artículo 196 de la Ley de Transparencia y Acceso a la Información Pública del Estado de México y Municipios y 142 de la Ley de Protección de Datos Personales en Posesión de Sujetos Obligados del Estado de México y Municipios podrá promover el Juicio de Amparo en los términos de las leyes aplicables. </w:t>
      </w:r>
    </w:p>
    <w:p w:rsidR="00000000" w:rsidDel="00000000" w:rsidP="00000000" w:rsidRDefault="00000000" w:rsidRPr="00000000" w14:paraId="0000006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NUEVE DE NOVIEMBRE DE DOS MIL VEINTIDÓS, ANTE EL SECRETARIO TÉCNICO DEL PLENO ALEXIS TAPIA RAMÍREZ.</w:t>
      </w:r>
    </w:p>
    <w:p w:rsidR="00000000" w:rsidDel="00000000" w:rsidP="00000000" w:rsidRDefault="00000000" w:rsidRPr="00000000" w14:paraId="00000062">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3">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4">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5">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6">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7">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8">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9">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A">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B">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C">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D">
      <w:pPr>
        <w:spacing w:after="240" w:before="240" w:line="360" w:lineRule="auto"/>
        <w:jc w:val="both"/>
        <w:rPr>
          <w:rFonts w:ascii="Palatino Linotype" w:cs="Palatino Linotype" w:eastAsia="Palatino Linotype" w:hAnsi="Palatino Linotype"/>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418" w:top="1418"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pos="4252"/>
        <w:tab w:val="right"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pos="4252"/>
        <w:tab w:val="right"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6E">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132.</w:t>
      </w:r>
      <w:r w:rsidDel="00000000" w:rsidR="00000000" w:rsidRPr="00000000">
        <w:rPr>
          <w:rFonts w:ascii="Palatino Linotype" w:cs="Palatino Linotype" w:eastAsia="Palatino Linotype" w:hAnsi="Palatino Linotype"/>
          <w:color w:val="000000"/>
          <w:sz w:val="16"/>
          <w:szCs w:val="16"/>
          <w:rtl w:val="0"/>
        </w:rPr>
        <w:t xml:space="preserve"> Admitido el recurso de revisión y sin perjuicio de lo dispuesto por la Ley General, el Instituto promoverá la conciliación entre las partes, de conformidad con el procedimiento siguiente:</w:t>
      </w:r>
    </w:p>
    <w:p w:rsidR="00000000" w:rsidDel="00000000" w:rsidP="00000000" w:rsidRDefault="00000000" w:rsidRPr="00000000" w14:paraId="0000006F">
      <w:pPr>
        <w:pBdr>
          <w:top w:space="0" w:sz="0" w:val="nil"/>
          <w:left w:space="0" w:sz="0" w:val="nil"/>
          <w:bottom w:space="0" w:sz="0" w:val="nil"/>
          <w:right w:space="0" w:sz="0" w:val="nil"/>
          <w:between w:space="0" w:sz="0" w:val="nil"/>
        </w:pBdr>
        <w:ind w:left="284" w:firstLine="0"/>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b w:val="1"/>
          <w:color w:val="000000"/>
          <w:sz w:val="16"/>
          <w:szCs w:val="16"/>
          <w:rtl w:val="0"/>
        </w:rPr>
        <w:t xml:space="preserve">V.</w:t>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De llegar a un acuerdo, éste se hará constar por escrito y tendrá efectos vinculantes.</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ind w:left="284" w:firstLine="0"/>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El recurso de revisión quedará sin materia y el Instituto, deberán verificar el cumplimiento del acuerdo respectivo</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center" w:pos="4252"/>
        <w:tab w:val="right" w:pos="8504"/>
      </w:tabs>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-577898</wp:posOffset>
          </wp:positionH>
          <wp:positionV relativeFrom="paragraph">
            <wp:posOffset>-285924</wp:posOffset>
          </wp:positionV>
          <wp:extent cx="7635600" cy="9943200"/>
          <wp:effectExtent b="0" l="0" r="0" t="0"/>
          <wp:wrapNone/>
          <wp:docPr id="4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600" cy="9943200"/>
                  </a:xfrm>
                  <a:prstGeom prst="rect"/>
                  <a:ln/>
                </pic:spPr>
              </pic:pic>
            </a:graphicData>
          </a:graphic>
        </wp:anchor>
      </w:drawing>
    </w:r>
  </w:p>
  <w:tbl>
    <w:tblPr>
      <w:tblStyle w:val="Table1"/>
      <w:tblW w:w="6240.0" w:type="dxa"/>
      <w:jc w:val="left"/>
      <w:tblInd w:w="3685.0" w:type="dxa"/>
      <w:tblLayout w:type="fixed"/>
      <w:tblLook w:val="0400"/>
    </w:tblPr>
    <w:tblGrid>
      <w:gridCol w:w="2553"/>
      <w:gridCol w:w="3687"/>
      <w:tblGridChange w:id="0">
        <w:tblGrid>
          <w:gridCol w:w="2553"/>
          <w:gridCol w:w="3687"/>
        </w:tblGrid>
      </w:tblGridChange>
    </w:tblGrid>
    <w:tr>
      <w:trPr>
        <w:cantSplit w:val="0"/>
        <w:tblHeader w:val="0"/>
      </w:trPr>
      <w:tc>
        <w:tcPr>
          <w:vAlign w:val="center"/>
        </w:tcPr>
        <w:p w:rsidR="00000000" w:rsidDel="00000000" w:rsidP="00000000" w:rsidRDefault="00000000" w:rsidRPr="00000000" w14:paraId="0000007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7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13404/INFOEM/AD/RR/2022</w:t>
          </w:r>
        </w:p>
      </w:tc>
    </w:tr>
    <w:tr>
      <w:trPr>
        <w:cantSplit w:val="0"/>
        <w:tblHeader w:val="0"/>
      </w:trPr>
      <w:tc>
        <w:tcPr>
          <w:vAlign w:val="center"/>
        </w:tcPr>
        <w:p w:rsidR="00000000" w:rsidDel="00000000" w:rsidP="00000000" w:rsidRDefault="00000000" w:rsidRPr="00000000" w14:paraId="0000007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075">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 XXXXXXXX XXXXXX</w:t>
          </w:r>
        </w:p>
      </w:tc>
    </w:tr>
    <w:tr>
      <w:trPr>
        <w:cantSplit w:val="0"/>
        <w:trHeight w:val="228" w:hRule="atLeast"/>
        <w:tblHeader w:val="0"/>
      </w:trPr>
      <w:tc>
        <w:tcPr>
          <w:vAlign w:val="center"/>
        </w:tcPr>
        <w:p w:rsidR="00000000" w:rsidDel="00000000" w:rsidP="00000000" w:rsidRDefault="00000000" w:rsidRPr="00000000" w14:paraId="0000007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77">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Instituto de Seguridad Social del Estado de México y Municipios.</w:t>
          </w:r>
        </w:p>
      </w:tc>
    </w:tr>
    <w:tr>
      <w:trPr>
        <w:cantSplit w:val="0"/>
        <w:tblHeader w:val="0"/>
      </w:trPr>
      <w:tc>
        <w:tcPr>
          <w:vAlign w:val="center"/>
        </w:tcPr>
        <w:p w:rsidR="00000000" w:rsidDel="00000000" w:rsidP="00000000" w:rsidRDefault="00000000" w:rsidRPr="00000000" w14:paraId="0000007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79">
          <w:pPr>
            <w:ind w:right="-533"/>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center" w:pos="4252"/>
        <w:tab w:val="right" w:pos="8504"/>
      </w:tabs>
      <w:rPr>
        <w:rFonts w:ascii="Cambria" w:cs="Cambria" w:eastAsia="Cambria" w:hAnsi="Cambria"/>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line="276" w:lineRule="auto"/>
      <w:rPr>
        <w:rFonts w:ascii="Cambria" w:cs="Cambria" w:eastAsia="Cambria" w:hAnsi="Cambria"/>
        <w:color w:val="000000"/>
      </w:rPr>
    </w:pPr>
    <w:r w:rsidDel="00000000" w:rsidR="00000000" w:rsidRPr="00000000">
      <w:rPr>
        <w:rtl w:val="0"/>
      </w:rPr>
    </w:r>
  </w:p>
  <w:tbl>
    <w:tblPr>
      <w:tblStyle w:val="Table2"/>
      <w:tblW w:w="6240.0" w:type="dxa"/>
      <w:jc w:val="left"/>
      <w:tblInd w:w="3746.0" w:type="dxa"/>
      <w:tblLayout w:type="fixed"/>
      <w:tblLook w:val="0400"/>
    </w:tblPr>
    <w:tblGrid>
      <w:gridCol w:w="2553"/>
      <w:gridCol w:w="3687"/>
      <w:tblGridChange w:id="0">
        <w:tblGrid>
          <w:gridCol w:w="2553"/>
          <w:gridCol w:w="3687"/>
        </w:tblGrid>
      </w:tblGridChange>
    </w:tblGrid>
    <w:tr>
      <w:trPr>
        <w:cantSplit w:val="0"/>
        <w:tblHeader w:val="0"/>
      </w:trPr>
      <w:tc>
        <w:tcPr>
          <w:vAlign w:val="center"/>
        </w:tcPr>
        <w:p w:rsidR="00000000" w:rsidDel="00000000" w:rsidP="00000000" w:rsidRDefault="00000000" w:rsidRPr="00000000" w14:paraId="0000007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7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13404/INFOEM/AD/RR/2022</w:t>
          </w:r>
        </w:p>
      </w:tc>
    </w:tr>
    <w:tr>
      <w:trPr>
        <w:cantSplit w:val="0"/>
        <w:trHeight w:val="228" w:hRule="atLeast"/>
        <w:tblHeader w:val="0"/>
      </w:trPr>
      <w:tc>
        <w:tcPr>
          <w:vAlign w:val="center"/>
        </w:tcPr>
        <w:p w:rsidR="00000000" w:rsidDel="00000000" w:rsidP="00000000" w:rsidRDefault="00000000" w:rsidRPr="00000000" w14:paraId="0000007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7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Instituto de Seguridad Social del Estado de México y Municipios.</w:t>
          </w:r>
        </w:p>
      </w:tc>
    </w:tr>
    <w:tr>
      <w:trPr>
        <w:cantSplit w:val="0"/>
        <w:tblHeader w:val="0"/>
      </w:trPr>
      <w:tc>
        <w:tcPr>
          <w:vAlign w:val="center"/>
        </w:tcPr>
        <w:p w:rsidR="00000000" w:rsidDel="00000000" w:rsidP="00000000" w:rsidRDefault="00000000" w:rsidRPr="00000000" w14:paraId="0000008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81">
          <w:pPr>
            <w:ind w:right="-533"/>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82">
    <w:pPr>
      <w:rPr>
        <w:rFonts w:ascii="Cambria" w:cs="Cambria" w:eastAsia="Cambria" w:hAnsi="Cambria"/>
        <w:color w:val="000000"/>
      </w:rPr>
    </w:pPr>
    <w:r w:rsidDel="00000000" w:rsidR="00000000" w:rsidRPr="00000000">
      <w:rPr>
        <w:rFonts w:ascii="Cambria" w:cs="Cambria" w:eastAsia="Cambria" w:hAnsi="Cambria"/>
        <w:color w:val="000000"/>
        <w:rtl w:val="0"/>
      </w:rPr>
      <w:tab/>
    </w:r>
    <w:r w:rsidDel="00000000" w:rsidR="00000000" w:rsidRPr="00000000">
      <w:drawing>
        <wp:anchor allowOverlap="1" behindDoc="1" distB="0" distT="0" distL="0" distR="0" hidden="0" layoutInCell="1" locked="0" relativeHeight="0" simplePos="0">
          <wp:simplePos x="0" y="0"/>
          <wp:positionH relativeFrom="column">
            <wp:posOffset>-621806</wp:posOffset>
          </wp:positionH>
          <wp:positionV relativeFrom="paragraph">
            <wp:posOffset>-1215759</wp:posOffset>
          </wp:positionV>
          <wp:extent cx="7635600" cy="9943200"/>
          <wp:effectExtent b="0" l="0" r="0" t="0"/>
          <wp:wrapNone/>
          <wp:docPr id="4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600" cy="99432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1854" w:hanging="720"/>
      </w:pPr>
      <w:rPr/>
    </w:lvl>
    <w:lvl w:ilvl="1">
      <w:start w:val="1"/>
      <w:numFmt w:val="lowerLetter"/>
      <w:lvlText w:val="%2."/>
      <w:lvlJc w:val="left"/>
      <w:pPr>
        <w:ind w:left="2214" w:hanging="360"/>
      </w:pPr>
      <w:rPr/>
    </w:lvl>
    <w:lvl w:ilvl="2">
      <w:start w:val="1"/>
      <w:numFmt w:val="lowerRoman"/>
      <w:lvlText w:val="%3."/>
      <w:lvlJc w:val="right"/>
      <w:pPr>
        <w:ind w:left="2934" w:hanging="180"/>
      </w:pPr>
      <w:rPr/>
    </w:lvl>
    <w:lvl w:ilvl="3">
      <w:start w:val="1"/>
      <w:numFmt w:val="decimal"/>
      <w:lvlText w:val="%4."/>
      <w:lvlJc w:val="left"/>
      <w:pPr>
        <w:ind w:left="3654" w:hanging="360"/>
      </w:pPr>
      <w:rPr/>
    </w:lvl>
    <w:lvl w:ilvl="4">
      <w:start w:val="1"/>
      <w:numFmt w:val="lowerLetter"/>
      <w:lvlText w:val="%5."/>
      <w:lvlJc w:val="left"/>
      <w:pPr>
        <w:ind w:left="4374" w:hanging="360"/>
      </w:pPr>
      <w:rPr/>
    </w:lvl>
    <w:lvl w:ilvl="5">
      <w:start w:val="1"/>
      <w:numFmt w:val="lowerRoman"/>
      <w:lvlText w:val="%6."/>
      <w:lvlJc w:val="right"/>
      <w:pPr>
        <w:ind w:left="5094" w:hanging="180"/>
      </w:pPr>
      <w:rPr/>
    </w:lvl>
    <w:lvl w:ilvl="6">
      <w:start w:val="1"/>
      <w:numFmt w:val="decimal"/>
      <w:lvlText w:val="%7."/>
      <w:lvlJc w:val="left"/>
      <w:pPr>
        <w:ind w:left="5814" w:hanging="360"/>
      </w:pPr>
      <w:rPr/>
    </w:lvl>
    <w:lvl w:ilvl="7">
      <w:start w:val="1"/>
      <w:numFmt w:val="lowerLetter"/>
      <w:lvlText w:val="%8."/>
      <w:lvlJc w:val="left"/>
      <w:pPr>
        <w:ind w:left="6534" w:hanging="360"/>
      </w:pPr>
      <w:rPr/>
    </w:lvl>
    <w:lvl w:ilvl="8">
      <w:start w:val="1"/>
      <w:numFmt w:val="lowerRoman"/>
      <w:lvlText w:val="%9."/>
      <w:lvlJc w:val="right"/>
      <w:pPr>
        <w:ind w:left="7254" w:hanging="180"/>
      </w:pPr>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C80F8C"/>
  </w:style>
  <w:style w:type="paragraph" w:styleId="Ttulo1">
    <w:name w:val="heading 1"/>
    <w:basedOn w:val="Normal"/>
    <w:next w:val="Normal"/>
    <w:link w:val="Ttulo1Car"/>
    <w:uiPriority w:val="9"/>
    <w:qFormat w:val="1"/>
    <w:rsid w:val="007F61DA"/>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unhideWhenUsed w:val="1"/>
    <w:qFormat w:val="1"/>
    <w:rsid w:val="004A6EFE"/>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D485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9D4854"/>
    <w:pPr>
      <w:ind w:left="708"/>
    </w:pPr>
  </w:style>
  <w:style w:type="table" w:styleId="Tablaconcuadrcula">
    <w:name w:val="Table Grid"/>
    <w:basedOn w:val="Tablanormal"/>
    <w:uiPriority w:val="39"/>
    <w:rsid w:val="00AB3F5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B3F5E"/>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B3F5E"/>
    <w:rPr>
      <w:vertAlign w:val="superscript"/>
    </w:rPr>
  </w:style>
  <w:style w:type="character" w:styleId="Ttulo2Car" w:customStyle="1">
    <w:name w:val="Título 2 Car"/>
    <w:basedOn w:val="Fuentedeprrafopredeter"/>
    <w:link w:val="Ttulo2"/>
    <w:uiPriority w:val="9"/>
    <w:rsid w:val="004A6EFE"/>
    <w:rPr>
      <w:rFonts w:asciiTheme="majorHAnsi" w:cstheme="majorBidi" w:eastAsiaTheme="majorEastAsia" w:hAnsiTheme="majorHAnsi"/>
      <w:color w:val="365f91" w:themeColor="accent1" w:themeShade="0000BF"/>
      <w:sz w:val="26"/>
      <w:szCs w:val="26"/>
      <w:lang w:val="es-ES"/>
    </w:rPr>
  </w:style>
  <w:style w:type="character" w:styleId="apple-converted-space" w:customStyle="1">
    <w:name w:val="apple-converted-space"/>
    <w:basedOn w:val="Fuentedeprrafopredeter"/>
    <w:rsid w:val="00A5404F"/>
  </w:style>
  <w:style w:type="character" w:styleId="normaltextrun" w:customStyle="1">
    <w:name w:val="normaltextrun"/>
    <w:basedOn w:val="Fuentedeprrafopredeter"/>
    <w:rsid w:val="00355B75"/>
  </w:style>
  <w:style w:type="paragraph" w:styleId="paragraph" w:customStyle="1">
    <w:name w:val="paragraph"/>
    <w:basedOn w:val="Normal"/>
    <w:rsid w:val="00355B75"/>
    <w:pPr>
      <w:spacing w:after="100" w:afterAutospacing="1" w:before="100" w:beforeAutospacing="1"/>
    </w:pPr>
    <w:rPr>
      <w:lang w:val="es-MX"/>
    </w:rPr>
  </w:style>
  <w:style w:type="character" w:styleId="eop" w:customStyle="1">
    <w:name w:val="eop"/>
    <w:basedOn w:val="Fuentedeprrafopredeter"/>
    <w:rsid w:val="00355B75"/>
  </w:style>
  <w:style w:type="character" w:styleId="Hipervnculo">
    <w:name w:val="Hyperlink"/>
    <w:basedOn w:val="Fuentedeprrafopredeter"/>
    <w:uiPriority w:val="99"/>
    <w:unhideWhenUsed w:val="1"/>
    <w:rsid w:val="00623EA3"/>
    <w:rPr>
      <w:color w:val="0000ff" w:themeColor="hyperlink"/>
      <w:u w:val="single"/>
    </w:rPr>
  </w:style>
  <w:style w:type="character" w:styleId="nacep" w:customStyle="1">
    <w:name w:val="n_acep"/>
    <w:basedOn w:val="Fuentedeprrafopredeter"/>
    <w:rsid w:val="00585C24"/>
  </w:style>
  <w:style w:type="paragraph" w:styleId="Texto" w:customStyle="1">
    <w:name w:val="Texto"/>
    <w:basedOn w:val="Normal"/>
    <w:link w:val="TextoCar"/>
    <w:qFormat w:val="1"/>
    <w:rsid w:val="009573BD"/>
    <w:pPr>
      <w:spacing w:after="101" w:line="216" w:lineRule="exact"/>
      <w:ind w:firstLine="288"/>
      <w:jc w:val="both"/>
    </w:pPr>
    <w:rPr>
      <w:rFonts w:ascii="Arial" w:cs="Arial" w:hAnsi="Arial"/>
      <w:sz w:val="18"/>
      <w:szCs w:val="20"/>
    </w:rPr>
  </w:style>
  <w:style w:type="character" w:styleId="TextoCar" w:customStyle="1">
    <w:name w:val="Texto Car"/>
    <w:link w:val="Texto"/>
    <w:locked w:val="1"/>
    <w:rsid w:val="009573BD"/>
    <w:rPr>
      <w:rFonts w:ascii="Arial" w:cs="Arial" w:eastAsia="Times New Roman" w:hAnsi="Arial"/>
      <w:sz w:val="18"/>
      <w:szCs w:val="20"/>
      <w:lang w:val="es-ES"/>
    </w:rPr>
  </w:style>
  <w:style w:type="character" w:styleId="Ttulo1Car" w:customStyle="1">
    <w:name w:val="Título 1 Car"/>
    <w:basedOn w:val="Fuentedeprrafopredeter"/>
    <w:link w:val="Ttulo1"/>
    <w:uiPriority w:val="9"/>
    <w:rsid w:val="007F61DA"/>
    <w:rPr>
      <w:rFonts w:asciiTheme="majorHAnsi" w:cstheme="majorBidi" w:eastAsiaTheme="majorEastAsia" w:hAnsiTheme="majorHAnsi"/>
      <w:color w:val="365f91" w:themeColor="accent1" w:themeShade="0000BF"/>
      <w:sz w:val="32"/>
      <w:szCs w:val="32"/>
      <w:lang w:val="es-ES"/>
    </w:rPr>
  </w:style>
  <w:style w:type="paragraph" w:styleId="Default" w:customStyle="1">
    <w:name w:val="Default"/>
    <w:rsid w:val="00DF0D44"/>
    <w:pPr>
      <w:autoSpaceDE w:val="0"/>
      <w:autoSpaceDN w:val="0"/>
      <w:adjustRightInd w:val="0"/>
    </w:pPr>
    <w:rPr>
      <w:rFonts w:ascii="Arial" w:cs="Arial" w:hAnsi="Arial"/>
      <w:color w:val="000000"/>
      <w:lang w:val="es-MX"/>
    </w:rPr>
  </w:style>
  <w:style w:type="paragraph" w:styleId="Sinespaciado">
    <w:name w:val="No Spacing"/>
    <w:aliases w:val="Francesa"/>
    <w:link w:val="SinespaciadoCar"/>
    <w:uiPriority w:val="1"/>
    <w:qFormat w:val="1"/>
    <w:rsid w:val="00932CFF"/>
    <w:rPr>
      <w:lang w:val="es-MX"/>
    </w:rPr>
  </w:style>
  <w:style w:type="character" w:styleId="Textoennegrita">
    <w:name w:val="Strong"/>
    <w:uiPriority w:val="22"/>
    <w:qFormat w:val="1"/>
    <w:rsid w:val="00932CFF"/>
    <w:rPr>
      <w:b w:val="1"/>
      <w:bCs w:val="1"/>
    </w:rPr>
  </w:style>
  <w:style w:type="character" w:styleId="SinespaciadoCar" w:customStyle="1">
    <w:name w:val="Sin espaciado Car"/>
    <w:aliases w:val="Francesa Car"/>
    <w:link w:val="Sinespaciado"/>
    <w:uiPriority w:val="1"/>
    <w:locked w:val="1"/>
    <w:rsid w:val="00932CFF"/>
    <w:rPr>
      <w:rFonts w:ascii="Times New Roman" w:cs="Times New Roman" w:eastAsia="Times New Roman" w:hAnsi="Times New Roman"/>
      <w:lang w:val="es-MX"/>
    </w:rPr>
  </w:style>
  <w:style w:type="paragraph" w:styleId="NormalWeb">
    <w:name w:val="Normal (Web)"/>
    <w:basedOn w:val="Normal"/>
    <w:uiPriority w:val="99"/>
    <w:unhideWhenUsed w:val="1"/>
    <w:rsid w:val="00444919"/>
    <w:pPr>
      <w:spacing w:after="100" w:afterAutospacing="1" w:before="100" w:beforeAutospacing="1"/>
    </w:pPr>
    <w:rPr>
      <w:lang w:val="es-MX"/>
    </w:rPr>
  </w:style>
  <w:style w:type="paragraph" w:styleId="Textoindependiente">
    <w:name w:val="Body Text"/>
    <w:basedOn w:val="Normal"/>
    <w:link w:val="TextoindependienteCar"/>
    <w:uiPriority w:val="1"/>
    <w:qFormat w:val="1"/>
    <w:rsid w:val="001E60A4"/>
    <w:pPr>
      <w:autoSpaceDE w:val="0"/>
      <w:autoSpaceDN w:val="0"/>
      <w:adjustRightInd w:val="0"/>
      <w:ind w:left="4"/>
    </w:pPr>
    <w:rPr>
      <w:rFonts w:ascii="Arial" w:cs="Arial" w:hAnsi="Arial" w:eastAsiaTheme="minorEastAsia"/>
      <w:sz w:val="23"/>
      <w:szCs w:val="23"/>
      <w:lang w:val="es-MX"/>
    </w:rPr>
  </w:style>
  <w:style w:type="character" w:styleId="TextoindependienteCar" w:customStyle="1">
    <w:name w:val="Texto independiente Car"/>
    <w:basedOn w:val="Fuentedeprrafopredeter"/>
    <w:link w:val="Textoindependiente"/>
    <w:uiPriority w:val="1"/>
    <w:rsid w:val="001E60A4"/>
    <w:rPr>
      <w:rFonts w:ascii="Arial" w:cs="Arial" w:hAnsi="Arial"/>
      <w:sz w:val="23"/>
      <w:szCs w:val="23"/>
      <w:lang w:val="es-MX"/>
    </w:rPr>
  </w:style>
  <w:style w:type="paragraph" w:styleId="Textosinformato">
    <w:name w:val="Plain Text"/>
    <w:basedOn w:val="Normal"/>
    <w:link w:val="TextosinformatoCar"/>
    <w:rsid w:val="007F69E3"/>
    <w:rPr>
      <w:rFonts w:ascii="Courier New" w:hAnsi="Courier New"/>
      <w:sz w:val="20"/>
      <w:szCs w:val="20"/>
    </w:rPr>
  </w:style>
  <w:style w:type="character" w:styleId="TextosinformatoCar" w:customStyle="1">
    <w:name w:val="Texto sin formato Car"/>
    <w:basedOn w:val="Fuentedeprrafopredeter"/>
    <w:link w:val="Textosinformato"/>
    <w:rsid w:val="007F69E3"/>
    <w:rPr>
      <w:rFonts w:ascii="Courier New" w:cs="Times New Roman" w:eastAsia="Times New Roman" w:hAnsi="Courier New"/>
      <w:sz w:val="20"/>
      <w:szCs w:val="20"/>
      <w:lang w:val="es-ES"/>
    </w:rPr>
  </w:style>
  <w:style w:type="paragraph" w:styleId="Cuerpo" w:customStyle="1">
    <w:name w:val="Cuerpo"/>
    <w:rsid w:val="0041342A"/>
    <w:pPr>
      <w:pBdr>
        <w:top w:space="0" w:sz="0" w:val="nil"/>
        <w:left w:space="0" w:sz="0" w:val="nil"/>
        <w:bottom w:space="0" w:sz="0" w:val="nil"/>
        <w:right w:space="0" w:sz="0" w:val="nil"/>
        <w:between w:space="0" w:sz="0" w:val="nil"/>
        <w:bar w:space="0" w:sz="0" w:val="nil"/>
      </w:pBdr>
      <w:spacing w:after="160" w:line="259" w:lineRule="auto"/>
    </w:pPr>
    <w:rPr>
      <w:rFonts w:ascii="Calibri" w:cs="Calibri" w:eastAsia="Calibri" w:hAnsi="Calibri"/>
      <w:color w:val="000000"/>
      <w:sz w:val="22"/>
      <w:szCs w:val="22"/>
      <w:u w:color="000000"/>
      <w:bdr w:space="0" w:sz="0" w:val="nil"/>
      <w:lang w:val="de-DE"/>
    </w:rPr>
  </w:style>
  <w:style w:type="character" w:styleId="Ninguno" w:customStyle="1">
    <w:name w:val="Ninguno"/>
    <w:rsid w:val="0041342A"/>
    <w:rPr>
      <w:lang w:val="es-ES_tradnl"/>
    </w:rPr>
  </w:style>
  <w:style w:type="numbering" w:styleId="Estiloimportado2" w:customStyle="1">
    <w:name w:val="Estilo importado 2"/>
    <w:rsid w:val="0041342A"/>
  </w:style>
  <w:style w:type="table" w:styleId="Tabladelista1clara-nfasis1">
    <w:name w:val="List Table 1 Light Accent 1"/>
    <w:basedOn w:val="Tablanormal"/>
    <w:uiPriority w:val="46"/>
    <w:rsid w:val="00B11830"/>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Hipervnculovisitado">
    <w:name w:val="FollowedHyperlink"/>
    <w:basedOn w:val="Fuentedeprrafopredeter"/>
    <w:uiPriority w:val="99"/>
    <w:semiHidden w:val="1"/>
    <w:unhideWhenUsed w:val="1"/>
    <w:rsid w:val="005D5B79"/>
    <w:rPr>
      <w:color w:val="800080" w:themeColor="followedHyperlink"/>
      <w:u w:val="single"/>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2" w:customStyle="1">
    <w:name w:val="2"/>
    <w:basedOn w:val="TableNormal0"/>
    <w:tblPr>
      <w:tblStyleRowBandSize w:val="1"/>
      <w:tblStyleColBandSize w:val="1"/>
      <w:tblCellMar>
        <w:left w:w="115.0" w:type="dxa"/>
        <w:right w:w="115.0" w:type="dxa"/>
      </w:tblCellMar>
    </w:tblPr>
  </w:style>
  <w:style w:type="table" w:styleId="1" w:customStyle="1">
    <w:name w:val="1"/>
    <w:basedOn w:val="TableNormal0"/>
    <w:tblPr>
      <w:tblStyleRowBandSize w:val="1"/>
      <w:tblStyleColBandSize w:val="1"/>
      <w:tblCellMar>
        <w:left w:w="115.0" w:type="dxa"/>
        <w:right w:w="115.0" w:type="dxa"/>
      </w:tblCellMar>
    </w:tblPr>
  </w:style>
  <w:style w:type="table" w:styleId="a" w:customStyle="1">
    <w:basedOn w:val="TableNormal0"/>
    <w:tblPr>
      <w:tblStyleRowBandSize w:val="1"/>
      <w:tblStyleColBandSize w:val="1"/>
      <w:tblCellMar>
        <w:left w:w="115.0" w:type="dxa"/>
        <w:right w:w="115.0" w:type="dxa"/>
      </w:tblCellMar>
    </w:tblPr>
  </w:style>
  <w:style w:type="table" w:styleId="a0"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ChwAHNGx/MhYJvzADbJ39b1vTA==">AMUW2mW0E3V2UhuMowq+24X8nd2Vr2Qd2OzN3hOFJrQftb1WcbJdzW/c7vw6rwhBUHt9rjgE2mjjT/HJXd+hirYWhDmwo9pCKPH6RmW4mTuvp6Y/w0gnV21IEEVFlvawC2Tub002TQIb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2022-12-05T05:46:00Z</dcterms:created>
  <dc:creator>iMac</dc:creator>
</cp:coreProperties>
</file>