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71E04" w14:textId="77777777" w:rsidR="00166B94" w:rsidRDefault="00EF73F2">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Palatino Linotype" w:hAnsi="Palatino Linotype" w:cs="Palatino Linotype"/>
          <w:b/>
        </w:rPr>
        <w:t>veinte de abril de dos mil veintidós</w:t>
      </w:r>
      <w:r>
        <w:rPr>
          <w:rFonts w:ascii="Palatino Linotype" w:eastAsia="Palatino Linotype" w:hAnsi="Palatino Linotype" w:cs="Palatino Linotype"/>
        </w:rPr>
        <w:t xml:space="preserve">. </w:t>
      </w:r>
    </w:p>
    <w:p w14:paraId="69A74E0D" w14:textId="66C4BC91" w:rsidR="00166B94" w:rsidRDefault="00EF73F2">
      <w:pPr>
        <w:spacing w:line="360" w:lineRule="auto"/>
        <w:jc w:val="both"/>
        <w:rPr>
          <w:rFonts w:ascii="Palatino Linotype" w:eastAsia="Palatino Linotype" w:hAnsi="Palatino Linotype" w:cs="Palatino Linotype"/>
        </w:rPr>
      </w:pPr>
      <w:bookmarkStart w:id="1" w:name="_heading=h.1t3h5sf" w:colFirst="0" w:colLast="0"/>
      <w:bookmarkEnd w:id="1"/>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06364/INFOEM/AD/RR</w:t>
      </w:r>
      <w:bookmarkStart w:id="2" w:name="_GoBack"/>
      <w:bookmarkEnd w:id="2"/>
      <w:r>
        <w:rPr>
          <w:rFonts w:ascii="Palatino Linotype" w:eastAsia="Palatino Linotype" w:hAnsi="Palatino Linotype" w:cs="Palatino Linotype"/>
          <w:b/>
        </w:rPr>
        <w:t>/2021</w:t>
      </w:r>
      <w:r>
        <w:rPr>
          <w:rFonts w:ascii="Palatino Linotype" w:eastAsia="Palatino Linotype" w:hAnsi="Palatino Linotype" w:cs="Palatino Linotype"/>
        </w:rPr>
        <w:t xml:space="preserve">, promovido </w:t>
      </w:r>
      <w:r w:rsidRPr="001C1C87">
        <w:rPr>
          <w:rFonts w:ascii="Palatino Linotype" w:eastAsia="Palatino Linotype" w:hAnsi="Palatino Linotype" w:cs="Palatino Linotype"/>
        </w:rPr>
        <w:t>por</w:t>
      </w:r>
      <w:r w:rsidRPr="001C1C87">
        <w:t xml:space="preserve"> </w:t>
      </w:r>
      <w:proofErr w:type="spellStart"/>
      <w:r w:rsidR="001C1C87" w:rsidRPr="001C1C87">
        <w:rPr>
          <w:rFonts w:ascii="Palatino Linotype" w:eastAsia="Palatino Linotype" w:hAnsi="Palatino Linotype" w:cs="Palatino Linotype"/>
          <w:b/>
        </w:rPr>
        <w:t>Xxxxxx</w:t>
      </w:r>
      <w:proofErr w:type="spellEnd"/>
      <w:r w:rsidR="001C1C87" w:rsidRPr="001C1C87">
        <w:rPr>
          <w:rFonts w:ascii="Palatino Linotype" w:eastAsia="Palatino Linotype" w:hAnsi="Palatino Linotype" w:cs="Palatino Linotype"/>
          <w:b/>
        </w:rPr>
        <w:t xml:space="preserve"> </w:t>
      </w:r>
      <w:proofErr w:type="spellStart"/>
      <w:r w:rsidR="001C1C87" w:rsidRPr="001C1C87">
        <w:rPr>
          <w:rFonts w:ascii="Palatino Linotype" w:eastAsia="Palatino Linotype" w:hAnsi="Palatino Linotype" w:cs="Palatino Linotype"/>
          <w:b/>
        </w:rPr>
        <w:t>Xxxx</w:t>
      </w:r>
      <w:proofErr w:type="spellEnd"/>
      <w:r w:rsidR="001C1C87" w:rsidRPr="001C1C87">
        <w:rPr>
          <w:rFonts w:ascii="Palatino Linotype" w:eastAsia="Palatino Linotype" w:hAnsi="Palatino Linotype" w:cs="Palatino Linotype"/>
          <w:b/>
        </w:rPr>
        <w:t xml:space="preserve"> </w:t>
      </w:r>
      <w:proofErr w:type="spellStart"/>
      <w:r w:rsidR="001C1C87" w:rsidRPr="001C1C87">
        <w:rPr>
          <w:rFonts w:ascii="Palatino Linotype" w:eastAsia="Palatino Linotype" w:hAnsi="Palatino Linotype" w:cs="Palatino Linotype"/>
          <w:b/>
        </w:rPr>
        <w:t>Xxxxxxxx</w:t>
      </w:r>
      <w:proofErr w:type="spellEnd"/>
      <w:r w:rsidRPr="001C1C87">
        <w:rPr>
          <w:rFonts w:ascii="Palatino Linotype" w:eastAsia="Palatino Linotype" w:hAnsi="Palatino Linotype" w:cs="Palatino Linotype"/>
          <w:b/>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del</w:t>
      </w:r>
      <w:r>
        <w:rPr>
          <w:rFonts w:ascii="Palatino Linotype" w:eastAsia="Palatino Linotype" w:hAnsi="Palatino Linotype" w:cs="Palatino Linotype"/>
          <w:b/>
        </w:rPr>
        <w:t xml:space="preserve"> Tribunal Estatal de Conciliación y Arbitraje, </w:t>
      </w:r>
      <w:r>
        <w:rPr>
          <w:rFonts w:ascii="Palatino Linotype" w:eastAsia="Palatino Linotype" w:hAnsi="Palatino Linotype" w:cs="Palatino Linotype"/>
        </w:rPr>
        <w:t>en lo sucesivo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se procede a dictar la presente resolución con base en los siguientes: </w:t>
      </w:r>
    </w:p>
    <w:p w14:paraId="526A3751" w14:textId="77777777" w:rsidR="00166B94" w:rsidRDefault="00EF73F2">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14:paraId="4FD8FC29" w14:textId="77777777" w:rsidR="00166B94" w:rsidRDefault="00EF73F2">
      <w:pPr>
        <w:spacing w:line="360" w:lineRule="auto"/>
        <w:jc w:val="both"/>
        <w:rPr>
          <w:rFonts w:ascii="Palatino Linotype" w:eastAsia="Palatino Linotype" w:hAnsi="Palatino Linotype" w:cs="Palatino Linotype"/>
        </w:rPr>
      </w:pPr>
      <w:bookmarkStart w:id="3" w:name="_heading=h.30j0zll" w:colFirst="0" w:colLast="0"/>
      <w:bookmarkEnd w:id="3"/>
      <w:r>
        <w:rPr>
          <w:rFonts w:ascii="Palatino Linotype" w:eastAsia="Palatino Linotype" w:hAnsi="Palatino Linotype" w:cs="Palatino Linotype"/>
          <w:b/>
        </w:rPr>
        <w:t xml:space="preserve">Primero. Solicitud de Acceso a Datos.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dieciséis de noviembre de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a través del Sistema de Acceso, Rectificación, Cancelación y Oposición de Datos Personales en el Estado de México en lo subsecuente SARCOEM, ante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rPr>
        <w:t xml:space="preserve">, la solicitud de acceso a datos personales, a la que se le asignó el número de expediente </w:t>
      </w:r>
      <w:r>
        <w:rPr>
          <w:rFonts w:ascii="Palatino Linotype" w:eastAsia="Palatino Linotype" w:hAnsi="Palatino Linotype" w:cs="Palatino Linotype"/>
          <w:b/>
        </w:rPr>
        <w:t xml:space="preserve">00001/TRIECA/AD/2021 </w:t>
      </w:r>
      <w:r>
        <w:rPr>
          <w:rFonts w:ascii="Palatino Linotype" w:eastAsia="Palatino Linotype" w:hAnsi="Palatino Linotype" w:cs="Palatino Linotype"/>
        </w:rPr>
        <w:t>en  la que requirió el acceso a lo siguiente:</w:t>
      </w:r>
    </w:p>
    <w:p w14:paraId="524E93A6" w14:textId="77777777" w:rsidR="00166B94" w:rsidRDefault="00EF73F2">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“Buenas tardes por este conducto le envío un cordial saludo, al mismo tiempo que me permito requerir los </w:t>
      </w:r>
      <w:r>
        <w:rPr>
          <w:rFonts w:ascii="Palatino Linotype" w:eastAsia="Palatino Linotype" w:hAnsi="Palatino Linotype" w:cs="Palatino Linotype"/>
          <w:b/>
          <w:i/>
          <w:color w:val="000000"/>
          <w:u w:val="single"/>
        </w:rPr>
        <w:t>expedientes SAE/72/2016 y SAE/330/2020</w:t>
      </w:r>
      <w:r>
        <w:rPr>
          <w:rFonts w:ascii="Palatino Linotype" w:eastAsia="Palatino Linotype" w:hAnsi="Palatino Linotype" w:cs="Palatino Linotype"/>
          <w:i/>
          <w:color w:val="000000"/>
        </w:rPr>
        <w:t>. Nota: Adjunto archivo con mi cédula profesional a fin de acreditarme como titular de la información requerida.” (sic)</w:t>
      </w:r>
    </w:p>
    <w:p w14:paraId="2B833095" w14:textId="77777777" w:rsidR="00166B94" w:rsidRDefault="00166B94">
      <w:pPr>
        <w:spacing w:line="360" w:lineRule="auto"/>
        <w:jc w:val="both"/>
        <w:rPr>
          <w:rFonts w:ascii="Palatino Linotype" w:eastAsia="Palatino Linotype" w:hAnsi="Palatino Linotype" w:cs="Palatino Linotype"/>
          <w:b/>
        </w:rPr>
      </w:pPr>
    </w:p>
    <w:p w14:paraId="62EB7F78" w14:textId="77777777" w:rsidR="00166B94" w:rsidRDefault="00EF73F2">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Anexos: </w:t>
      </w:r>
    </w:p>
    <w:p w14:paraId="7F861966" w14:textId="77777777" w:rsidR="00166B94" w:rsidRDefault="00EF73F2">
      <w:pPr>
        <w:numPr>
          <w:ilvl w:val="0"/>
          <w:numId w:val="3"/>
        </w:numPr>
        <w:pBdr>
          <w:top w:val="nil"/>
          <w:left w:val="nil"/>
          <w:bottom w:val="nil"/>
          <w:right w:val="nil"/>
          <w:between w:val="nil"/>
        </w:pBdr>
        <w:spacing w:line="360" w:lineRule="auto"/>
        <w:ind w:left="708" w:hanging="720"/>
        <w:jc w:val="both"/>
        <w:rPr>
          <w:rFonts w:ascii="Palatino Linotype" w:eastAsia="Palatino Linotype" w:hAnsi="Palatino Linotype" w:cs="Palatino Linotype"/>
        </w:rPr>
      </w:pPr>
      <w:r>
        <w:rPr>
          <w:rFonts w:ascii="Palatino Linotype" w:eastAsia="Palatino Linotype" w:hAnsi="Palatino Linotype" w:cs="Palatino Linotype"/>
          <w:b/>
          <w:i/>
          <w:color w:val="000000"/>
        </w:rPr>
        <w:lastRenderedPageBreak/>
        <w:t>“CÉDULA PROFESIONAL JJO.pdf</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Contiene la cédula profesional emitida a favor del solicitante por la Dirección General de Profesiones, perteneciente a la Secretaria de Educación Pública Federal.</w:t>
      </w:r>
    </w:p>
    <w:p w14:paraId="56895317" w14:textId="77777777" w:rsidR="00166B94" w:rsidRDefault="00166B94">
      <w:pPr>
        <w:pBdr>
          <w:top w:val="nil"/>
          <w:left w:val="nil"/>
          <w:bottom w:val="nil"/>
          <w:right w:val="nil"/>
          <w:between w:val="nil"/>
        </w:pBdr>
        <w:spacing w:line="360" w:lineRule="auto"/>
        <w:ind w:left="-12"/>
        <w:jc w:val="both"/>
        <w:rPr>
          <w:rFonts w:ascii="Palatino Linotype" w:eastAsia="Palatino Linotype" w:hAnsi="Palatino Linotype" w:cs="Palatino Linotype"/>
          <w:b/>
          <w:i/>
          <w:color w:val="000000"/>
        </w:rPr>
      </w:pPr>
    </w:p>
    <w:p w14:paraId="6D458F11" w14:textId="77777777" w:rsidR="00166B94" w:rsidRDefault="00EF73F2">
      <w:pPr>
        <w:pBdr>
          <w:top w:val="nil"/>
          <w:left w:val="nil"/>
          <w:bottom w:val="nil"/>
          <w:right w:val="nil"/>
          <w:between w:val="nil"/>
        </w:pBdr>
        <w:spacing w:line="360" w:lineRule="auto"/>
        <w:ind w:left="-12"/>
        <w:jc w:val="both"/>
        <w:rPr>
          <w:rFonts w:ascii="Palatino Linotype" w:eastAsia="Palatino Linotype" w:hAnsi="Palatino Linotype" w:cs="Palatino Linotype"/>
        </w:rPr>
      </w:pPr>
      <w:r>
        <w:rPr>
          <w:rFonts w:ascii="Palatino Linotype" w:eastAsia="Palatino Linotype" w:hAnsi="Palatino Linotype" w:cs="Palatino Linotype"/>
        </w:rPr>
        <w:t>Señaló como modalidad de entrega de información</w:t>
      </w:r>
      <w:r>
        <w:rPr>
          <w:rFonts w:ascii="Palatino Linotype" w:eastAsia="Palatino Linotype" w:hAnsi="Palatino Linotype" w:cs="Palatino Linotype"/>
          <w:b/>
        </w:rPr>
        <w:t>:</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SARCOEM”</w:t>
      </w:r>
      <w:r>
        <w:rPr>
          <w:rFonts w:ascii="Palatino Linotype" w:eastAsia="Palatino Linotype" w:hAnsi="Palatino Linotype" w:cs="Palatino Linotype"/>
        </w:rPr>
        <w:t xml:space="preserve">. </w:t>
      </w:r>
    </w:p>
    <w:p w14:paraId="208E66BB" w14:textId="77777777" w:rsidR="00166B94" w:rsidRDefault="00166B94">
      <w:pPr>
        <w:spacing w:line="360" w:lineRule="auto"/>
        <w:jc w:val="both"/>
        <w:rPr>
          <w:rFonts w:ascii="Palatino Linotype" w:eastAsia="Palatino Linotype" w:hAnsi="Palatino Linotype" w:cs="Palatino Linotype"/>
          <w:b/>
          <w:u w:val="single"/>
        </w:rPr>
      </w:pPr>
    </w:p>
    <w:p w14:paraId="1207C89C" w14:textId="77777777" w:rsidR="00166B94" w:rsidRDefault="00EF73F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Segundo. Respuesta</w:t>
      </w:r>
      <w:r>
        <w:rPr>
          <w:rFonts w:ascii="Palatino Linotype" w:eastAsia="Palatino Linotype" w:hAnsi="Palatino Linotype" w:cs="Palatino Linotype"/>
          <w:b/>
        </w:rPr>
        <w:t>.</w:t>
      </w:r>
      <w:r>
        <w:rPr>
          <w:rFonts w:ascii="Palatino Linotype" w:eastAsia="Palatino Linotype" w:hAnsi="Palatino Linotype" w:cs="Palatino Linotype"/>
          <w:color w:val="000000"/>
        </w:rPr>
        <w:t xml:space="preserve"> El</w:t>
      </w:r>
      <w:r>
        <w:rPr>
          <w:color w:val="000000"/>
        </w:rPr>
        <w:t xml:space="preserve"> </w:t>
      </w:r>
      <w:r>
        <w:rPr>
          <w:rFonts w:ascii="Palatino Linotype" w:eastAsia="Palatino Linotype" w:hAnsi="Palatino Linotype" w:cs="Palatino Linotype"/>
          <w:b/>
          <w:color w:val="000000"/>
        </w:rPr>
        <w:t>dos de diciembre de dos mil veintiuno</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respondió a la solicitud de acceso a datos personales, en los términos siguientes: </w:t>
      </w:r>
    </w:p>
    <w:p w14:paraId="4FA7D6BF" w14:textId="77777777" w:rsidR="00166B94" w:rsidRDefault="00166B94">
      <w:pPr>
        <w:pBdr>
          <w:top w:val="nil"/>
          <w:left w:val="nil"/>
          <w:bottom w:val="nil"/>
          <w:right w:val="nil"/>
          <w:between w:val="nil"/>
        </w:pBdr>
        <w:spacing w:line="360" w:lineRule="auto"/>
        <w:jc w:val="both"/>
        <w:rPr>
          <w:rFonts w:ascii="Palatino Linotype" w:eastAsia="Palatino Linotype" w:hAnsi="Palatino Linotype" w:cs="Palatino Linotype"/>
        </w:rPr>
      </w:pPr>
    </w:p>
    <w:p w14:paraId="74E64190" w14:textId="77777777" w:rsidR="00166B94" w:rsidRDefault="00EF73F2">
      <w:pPr>
        <w:pBdr>
          <w:top w:val="nil"/>
          <w:left w:val="nil"/>
          <w:bottom w:val="nil"/>
          <w:right w:val="nil"/>
          <w:between w:val="nil"/>
        </w:pBdr>
        <w:spacing w:line="276" w:lineRule="auto"/>
        <w:ind w:left="720" w:right="899"/>
        <w:jc w:val="both"/>
        <w:rPr>
          <w:rFonts w:ascii="Palatino Linotype" w:eastAsia="Palatino Linotype" w:hAnsi="Palatino Linotype" w:cs="Palatino Linotype"/>
          <w:i/>
          <w:color w:val="000000"/>
          <w:sz w:val="22"/>
          <w:szCs w:val="22"/>
        </w:rPr>
      </w:pPr>
      <w:bookmarkStart w:id="4" w:name="_heading=h.1fob9te" w:colFirst="0" w:colLast="0"/>
      <w:bookmarkEnd w:id="4"/>
      <w:r>
        <w:rPr>
          <w:rFonts w:ascii="Palatino Linotype" w:eastAsia="Palatino Linotype" w:hAnsi="Palatino Linotype" w:cs="Palatino Linotype"/>
          <w:i/>
          <w:color w:val="000000"/>
        </w:rPr>
        <w:t>“</w:t>
      </w:r>
      <w:r>
        <w:rPr>
          <w:rFonts w:ascii="Palatino Linotype" w:eastAsia="Palatino Linotype" w:hAnsi="Palatino Linotype" w:cs="Palatino Linotype"/>
          <w:i/>
          <w:color w:val="000000"/>
          <w:sz w:val="22"/>
          <w:szCs w:val="22"/>
        </w:rPr>
        <w:t xml:space="preserve">Estimado Solicitante: En respuesta a su solicitud 00001/TRIECA/AD/2021... bien usted pretende acreditar su personalidad mediante el envío de su cedula le comento que conforme al artículo 204 de la Ley de los Servidores públicos del Estado de México y Municipios. Todas las actuaciones procesales serán autorizadas por el secretario, excepción hecha de las diligencias encomendadas a otros servidores públicos del Tribunal o de la Salas. Lo actuado en la audiencia se hará constar en actas, videos, así como audio grabaciones; tratándose de actas, deberán ser firmadas por las personas que en ellas intervengan y sepan hacerlo, quien se negare, la Secretaría de Acuerdos certificará la negativa. Cuando algún integrante del Tribunal o de la Sala omitiere firmar las actas de las diligencias en las que estuvo presente, se entenderá que está conforme con ellas. De las actas de las audiencias se entregará copia a cada una de las partes comparecientes. El Tribunal o la Sala están obligados a expedir a costa de cualquiera de las partes, que de manera escrita o por comparecencia soliciten copias simples o certificadas de cualquier documento o constancia que obre en el expediente, debiendo de constar en autos acuse de recibido; también deberá certificar la copia fotostática que exhiban las partes de algún documento o constancia que aparezca en autos, previo cotejo que se haga con el original. Las audiencias se respaldarán en video, audio-grabación, escaneo o cualquier medio apto, a juicio del Presidente del Tribunal o la Sala, para producir seguridad en las actuaciones e información que permitan </w:t>
      </w:r>
      <w:r>
        <w:rPr>
          <w:rFonts w:ascii="Palatino Linotype" w:eastAsia="Palatino Linotype" w:hAnsi="Palatino Linotype" w:cs="Palatino Linotype"/>
          <w:i/>
          <w:color w:val="000000"/>
          <w:sz w:val="22"/>
          <w:szCs w:val="22"/>
        </w:rPr>
        <w:lastRenderedPageBreak/>
        <w:t xml:space="preserve">garantizar su fidelidad, integridad, conservación, reproducción de su contenido y acceso, a quienes de acuerdo a la ley, tuvieren derecho a ello. Cuando fuera de audiencia se solicite copia del video o audio-grabaciones, se obsequiará; para tal efecto, se acompañará a la solicitud los discos compactos necesarios. Cuando la petición se realice en la audiencia, se autorizará. Queda prohibido a las partes, terceros y autoridades, la difusión por cualquier medio de las constancias, video o audio-grabaciones de las audiencias celebradas; para lo cual, se estará a lo dispuesto por la Ley de Transparencia y Acceso a la Información Pública y a la Ley de Protección de Datos Personales. ARTÍCULO 198.- Los servidores públicos; las instituciones y los sindicatos, con facultades para ello, podrán otorgar poder mediante simple comparecencia, previa identificación ante el Tribunal o las Salas para que los representen ante cualquier autoridad del trabajo. ARTÍCULO 199. Siempre que dos o más personas ejerciten la misma acción u opongan la misma excepción en un mismo juicio, deberán litigar unidas y con una representación común, salvo que los colitigantes tengan intereses diferentes u opuestos. Si se trata de las partes actoras, el nombramiento del representante común deberá hacerse en el escrito de demanda o en la audiencia de conciliación, depuración procesal, ofrecimiento y admisión de pruebas. Si se trata de las demandadas, el nombramiento se hará en el escrito de contestación o en la audiencia a que se ha hecho mención. Por tanto, </w:t>
      </w:r>
      <w:r>
        <w:rPr>
          <w:rFonts w:ascii="Palatino Linotype" w:eastAsia="Palatino Linotype" w:hAnsi="Palatino Linotype" w:cs="Palatino Linotype"/>
          <w:b/>
          <w:i/>
          <w:color w:val="000000"/>
          <w:sz w:val="22"/>
          <w:szCs w:val="22"/>
          <w:u w:val="single"/>
        </w:rPr>
        <w:t>si requiere el expediente tendrá que promover por escrito a la oficialía de partes de este Tribunal Estatal de Conciliación y Arbitraje</w:t>
      </w:r>
      <w:r>
        <w:rPr>
          <w:rFonts w:ascii="Palatino Linotype" w:eastAsia="Palatino Linotype" w:hAnsi="Palatino Linotype" w:cs="Palatino Linotype"/>
          <w:i/>
          <w:color w:val="000000"/>
          <w:sz w:val="22"/>
          <w:szCs w:val="22"/>
        </w:rPr>
        <w:t>. Reciba usted un cordial saludo. (Sic)</w:t>
      </w:r>
    </w:p>
    <w:p w14:paraId="406E2BE5" w14:textId="77777777" w:rsidR="00166B94" w:rsidRDefault="00166B94">
      <w:pPr>
        <w:pBdr>
          <w:top w:val="nil"/>
          <w:left w:val="nil"/>
          <w:bottom w:val="nil"/>
          <w:right w:val="nil"/>
          <w:between w:val="nil"/>
        </w:pBdr>
        <w:spacing w:line="276" w:lineRule="auto"/>
        <w:ind w:left="720" w:right="899"/>
        <w:jc w:val="both"/>
        <w:rPr>
          <w:rFonts w:ascii="Palatino Linotype" w:eastAsia="Palatino Linotype" w:hAnsi="Palatino Linotype" w:cs="Palatino Linotype"/>
          <w:i/>
          <w:color w:val="000000"/>
          <w:sz w:val="22"/>
          <w:szCs w:val="22"/>
        </w:rPr>
      </w:pPr>
    </w:p>
    <w:p w14:paraId="5D96D053" w14:textId="77777777" w:rsidR="00166B94" w:rsidRDefault="00EF73F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Tercero. Recurso de Revisión. </w:t>
      </w:r>
      <w:r>
        <w:rPr>
          <w:rFonts w:ascii="Palatino Linotype" w:eastAsia="Palatino Linotype" w:hAnsi="Palatino Linotype" w:cs="Palatino Linotype"/>
          <w:color w:val="000000"/>
        </w:rPr>
        <w:t xml:space="preserve">Inconforme con la respuesta, el </w:t>
      </w:r>
      <w:r>
        <w:rPr>
          <w:rFonts w:ascii="Palatino Linotype" w:eastAsia="Palatino Linotype" w:hAnsi="Palatino Linotype" w:cs="Palatino Linotype"/>
          <w:b/>
          <w:color w:val="000000"/>
        </w:rPr>
        <w:t>quince de diciembre de dos mil veintiuno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interpuso el recurso de revisión, en el que señaló como: </w:t>
      </w:r>
    </w:p>
    <w:p w14:paraId="7DC2DBB6" w14:textId="77777777" w:rsidR="00166B94" w:rsidRDefault="00EF73F2">
      <w:pPr>
        <w:spacing w:line="360" w:lineRule="auto"/>
        <w:ind w:left="851" w:right="899"/>
        <w:jc w:val="both"/>
        <w:rPr>
          <w:rFonts w:ascii="Palatino Linotype" w:eastAsia="Palatino Linotype" w:hAnsi="Palatino Linotype" w:cs="Palatino Linotype"/>
          <w:color w:val="000000"/>
        </w:rPr>
      </w:pPr>
      <w:bookmarkStart w:id="5" w:name="_heading=h.3znysh7" w:colFirst="0" w:colLast="0"/>
      <w:bookmarkEnd w:id="5"/>
      <w:r>
        <w:rPr>
          <w:rFonts w:ascii="Palatino Linotype" w:eastAsia="Palatino Linotype" w:hAnsi="Palatino Linotype" w:cs="Palatino Linotype"/>
          <w:b/>
        </w:rPr>
        <w:t>Acto impugnado</w:t>
      </w:r>
      <w:r>
        <w:rPr>
          <w:rFonts w:ascii="Palatino Linotype" w:eastAsia="Palatino Linotype" w:hAnsi="Palatino Linotype" w:cs="Palatino Linotype"/>
          <w:color w:val="000000"/>
        </w:rPr>
        <w:t xml:space="preserve">: </w:t>
      </w:r>
    </w:p>
    <w:p w14:paraId="3773D3F9" w14:textId="77777777" w:rsidR="00166B94" w:rsidRDefault="00EF73F2">
      <w:pPr>
        <w:spacing w:line="276" w:lineRule="auto"/>
        <w:ind w:left="851" w:right="899"/>
        <w:jc w:val="both"/>
        <w:rPr>
          <w:rFonts w:ascii="Palatino Linotype" w:eastAsia="Palatino Linotype" w:hAnsi="Palatino Linotype" w:cs="Palatino Linotype"/>
          <w:i/>
          <w:color w:val="000000"/>
          <w:sz w:val="22"/>
          <w:szCs w:val="22"/>
        </w:rPr>
      </w:pPr>
      <w:bookmarkStart w:id="6" w:name="_heading=h.2et92p0" w:colFirst="0" w:colLast="0"/>
      <w:bookmarkEnd w:id="6"/>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Con fundamento jurídico en la fracción VII del artículo 129 de la Ley de Protección de Datos Personales en Posesión de Sujetos Obligados del Estado de México y Municipios porque no se dio respuesta a esta solicitud para el ejercicio de los derechos ARCO en el plazo establecido por esta Ley.</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(Sic)</w:t>
      </w:r>
    </w:p>
    <w:p w14:paraId="7197BEDC" w14:textId="77777777" w:rsidR="00166B94" w:rsidRDefault="00166B94">
      <w:pPr>
        <w:pBdr>
          <w:top w:val="nil"/>
          <w:left w:val="nil"/>
          <w:bottom w:val="nil"/>
          <w:right w:val="nil"/>
          <w:between w:val="nil"/>
        </w:pBdr>
        <w:spacing w:line="360" w:lineRule="auto"/>
        <w:ind w:left="1004" w:right="899"/>
        <w:jc w:val="both"/>
        <w:rPr>
          <w:rFonts w:ascii="Palatino Linotype" w:eastAsia="Palatino Linotype" w:hAnsi="Palatino Linotype" w:cs="Palatino Linotype"/>
          <w:i/>
          <w:color w:val="000000"/>
        </w:rPr>
      </w:pPr>
    </w:p>
    <w:p w14:paraId="65820218" w14:textId="77777777" w:rsidR="00166B94" w:rsidRDefault="00EF73F2">
      <w:pPr>
        <w:spacing w:line="360" w:lineRule="auto"/>
        <w:ind w:left="851" w:right="899"/>
        <w:jc w:val="both"/>
        <w:rPr>
          <w:rFonts w:ascii="Palatino Linotype" w:eastAsia="Palatino Linotype" w:hAnsi="Palatino Linotype" w:cs="Palatino Linotype"/>
          <w:b/>
          <w:color w:val="000000"/>
        </w:rPr>
      </w:pPr>
      <w:bookmarkStart w:id="7" w:name="_heading=h.tyjcwt" w:colFirst="0" w:colLast="0"/>
      <w:bookmarkEnd w:id="7"/>
      <w:r>
        <w:rPr>
          <w:rFonts w:ascii="Palatino Linotype" w:eastAsia="Palatino Linotype" w:hAnsi="Palatino Linotype" w:cs="Palatino Linotype"/>
          <w:b/>
          <w:color w:val="000000"/>
        </w:rPr>
        <w:lastRenderedPageBreak/>
        <w:t>Razones o Motivos de inconformidad</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w:t>
      </w:r>
    </w:p>
    <w:p w14:paraId="47973C71" w14:textId="77777777" w:rsidR="00166B94" w:rsidRDefault="00EF73F2">
      <w:pPr>
        <w:spacing w:line="276" w:lineRule="auto"/>
        <w:ind w:left="851" w:right="899"/>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i/>
          <w:color w:val="000000"/>
        </w:rPr>
        <w:t>“</w:t>
      </w:r>
      <w:r>
        <w:rPr>
          <w:rFonts w:ascii="Palatino Linotype" w:eastAsia="Palatino Linotype" w:hAnsi="Palatino Linotype" w:cs="Palatino Linotype"/>
          <w:i/>
          <w:color w:val="000000"/>
          <w:sz w:val="22"/>
          <w:szCs w:val="22"/>
        </w:rPr>
        <w:t xml:space="preserve">El sujeto obligado no dio respuesta a mi solicitud en el plazo previsto por el artículo 108 de la Ley de Protección de Datos Personales en Posesión de Sujetos Obligados del Estado de México y Municipios (veinte días hábiles), por ello, en mi carácter de solicitante, ante la falta de respuesta, interpongo el presente recurso de revisión a efecto de combatir el silencio de la autoridad y obtener una resolución favorable, además de que se sancione el silencio del sujeto obligado por la incertidumbre jurídica generada a mi persona.” (Sic) </w:t>
      </w:r>
    </w:p>
    <w:p w14:paraId="0FF6A035" w14:textId="77777777" w:rsidR="00166B94" w:rsidRDefault="00EF73F2">
      <w:pPr>
        <w:spacing w:before="240" w:after="240"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color w:val="000000"/>
        </w:rPr>
        <w:t xml:space="preserve">Cuarto. Turno. </w:t>
      </w:r>
      <w:r>
        <w:rPr>
          <w:rFonts w:ascii="Palatino Linotype" w:eastAsia="Palatino Linotype" w:hAnsi="Palatino Linotype" w:cs="Palatino Linotype"/>
        </w:rPr>
        <w:t xml:space="preserve">Se registró el recurso de revisión bajo el número de expediente al rubro indicado, asimismo con fundamento en lo dispuesto por los artículos 11 y 127 de la </w:t>
      </w:r>
      <w:r>
        <w:rPr>
          <w:rFonts w:ascii="Palatino Linotype" w:eastAsia="Palatino Linotype" w:hAnsi="Palatino Linotype" w:cs="Palatino Linotype"/>
          <w:b/>
        </w:rPr>
        <w:t>Ley de Protección de Datos Personales en Posesión de Sujetos Obligados del Estado de México y Municipios</w:t>
      </w:r>
      <w:r>
        <w:rPr>
          <w:rFonts w:ascii="Palatino Linotype" w:eastAsia="Palatino Linotype" w:hAnsi="Palatino Linotype" w:cs="Palatino Linotype"/>
        </w:rPr>
        <w:t xml:space="preserve"> y el artículo 185 fracción I de la </w:t>
      </w:r>
      <w:r>
        <w:rPr>
          <w:rFonts w:ascii="Palatino Linotype" w:eastAsia="Palatino Linotype" w:hAnsi="Palatino Linotype" w:cs="Palatino Linotype"/>
          <w:b/>
        </w:rPr>
        <w:t xml:space="preserve">Ley de Transparencia y Acceso a la Información Pública del Estado de México y Municipios </w:t>
      </w:r>
      <w:r>
        <w:rPr>
          <w:rFonts w:ascii="Palatino Linotype" w:eastAsia="Palatino Linotype" w:hAnsi="Palatino Linotype" w:cs="Palatino Linotype"/>
        </w:rPr>
        <w:t xml:space="preserve">de aplicación supletoria, se turnó a la </w:t>
      </w:r>
      <w:r>
        <w:rPr>
          <w:rFonts w:ascii="Palatino Linotype" w:eastAsia="Palatino Linotype" w:hAnsi="Palatino Linotype" w:cs="Palatino Linotype"/>
          <w:b/>
        </w:rPr>
        <w:t xml:space="preserve">Comisionada Guadalupe Ramírez Peña </w:t>
      </w:r>
      <w:r>
        <w:rPr>
          <w:rFonts w:ascii="Palatino Linotype" w:eastAsia="Palatino Linotype" w:hAnsi="Palatino Linotype" w:cs="Palatino Linotype"/>
        </w:rPr>
        <w:t>con el objeto de su análisis.</w:t>
      </w:r>
    </w:p>
    <w:p w14:paraId="036CCCFA" w14:textId="77777777" w:rsidR="00166B94" w:rsidRDefault="00EF73F2">
      <w:pPr>
        <w:spacing w:before="240" w:after="240"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color w:val="000000"/>
        </w:rPr>
        <w:t xml:space="preserve">Quinto. Admisión. </w:t>
      </w:r>
      <w:r>
        <w:rPr>
          <w:rFonts w:ascii="Palatino Linotype" w:eastAsia="Palatino Linotype" w:hAnsi="Palatino Linotype" w:cs="Palatino Linotype"/>
          <w:color w:val="000000"/>
        </w:rPr>
        <w:t xml:space="preserve">Con fundamento en los artículos 11, 127 y 131 de la </w:t>
      </w:r>
      <w:r>
        <w:rPr>
          <w:rFonts w:ascii="Palatino Linotype" w:eastAsia="Palatino Linotype" w:hAnsi="Palatino Linotype" w:cs="Palatino Linotype"/>
          <w:b/>
          <w:color w:val="000000"/>
        </w:rPr>
        <w:t>Ley de Protección de Datos Personales en Posesión de Sujetos Obligados del Estado de México y Municipios</w:t>
      </w:r>
      <w:r>
        <w:rPr>
          <w:rFonts w:ascii="Palatino Linotype" w:eastAsia="Palatino Linotype" w:hAnsi="Palatino Linotype" w:cs="Palatino Linotype"/>
          <w:color w:val="000000"/>
        </w:rPr>
        <w:t xml:space="preserve"> y 185 fracciones I, II y IV de la Ley de Transparencia y Acceso a la Información Pública del Estado de México y Municipios de aplicación supletoria, el diecisiete de diciembre de dos mil veintiuno se puso a disposición de las partes el expediente electrónico vía </w:t>
      </w:r>
      <w:r>
        <w:rPr>
          <w:rFonts w:ascii="Palatino Linotype" w:eastAsia="Palatino Linotype" w:hAnsi="Palatino Linotype" w:cs="Palatino Linotype"/>
        </w:rPr>
        <w:t>Sistema de Acceso, Rectificación, Cancelación y Oposición de Datos Personales del Estado de México (</w:t>
      </w:r>
      <w:r>
        <w:rPr>
          <w:rFonts w:ascii="Palatino Linotype" w:eastAsia="Palatino Linotype" w:hAnsi="Palatino Linotype" w:cs="Palatino Linotype"/>
          <w:b/>
        </w:rPr>
        <w:t>SARCOEM</w:t>
      </w:r>
      <w:r>
        <w:rPr>
          <w:rFonts w:ascii="Palatino Linotype" w:eastAsia="Palatino Linotype" w:hAnsi="Palatino Linotype" w:cs="Palatino Linotype"/>
        </w:rPr>
        <w:t xml:space="preserve">) a efecto de que en un plazo máximo de siete días manifestaran lo que a derecho convinieran, ofrecieran pruebas y alegatos según corresponda al caso concreto, de esta forma para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presentará el Informe Justificado respectivo.</w:t>
      </w:r>
    </w:p>
    <w:p w14:paraId="00003D62" w14:textId="77777777" w:rsidR="00166B94" w:rsidRDefault="00EF73F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Sexto. Etapa de Conciliación.</w:t>
      </w:r>
      <w:r>
        <w:rPr>
          <w:rFonts w:ascii="Palatino Linotype" w:eastAsia="Palatino Linotype" w:hAnsi="Palatino Linotype" w:cs="Palatino Linotype"/>
          <w:color w:val="000000"/>
        </w:rPr>
        <w:t xml:space="preserve"> Se concedió a las partes el término de siete días hábiles contados a partir del acuerdo para que manifestaran por cualquier medio su voluntad de conciliar, de conformidad a lo establecido en los artículos 131 y 132 de la Ley de Protección de Datos Personales en Posesión de Sujetos Obligados del Estado de México y Municipios.</w:t>
      </w:r>
    </w:p>
    <w:p w14:paraId="243F92AC" w14:textId="77777777" w:rsidR="00166B94" w:rsidRDefault="00EF73F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once de enero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remitió el archivo electrónico identificado como “</w:t>
      </w:r>
      <w:r>
        <w:rPr>
          <w:rFonts w:ascii="Palatino Linotype" w:eastAsia="Palatino Linotype" w:hAnsi="Palatino Linotype" w:cs="Palatino Linotype"/>
          <w:b/>
          <w:i/>
        </w:rPr>
        <w:t xml:space="preserve">Recurso 06364 INFOEM AD RR 2021.pdf” </w:t>
      </w:r>
      <w:r>
        <w:rPr>
          <w:rFonts w:ascii="Palatino Linotype" w:eastAsia="Palatino Linotype" w:hAnsi="Palatino Linotype" w:cs="Palatino Linotype"/>
        </w:rPr>
        <w:t xml:space="preserve">que consiste en el escrito de fecha once de enero de dos mil veintidós, dirigido a la Comisionada Ponente Guadalupe Ramírez Peña, por medio del cual del solicitante manifestó su interés de NO conciliar, a efecto de que Instituto procediera a la emisión de la resolución correspondiente. </w:t>
      </w:r>
    </w:p>
    <w:p w14:paraId="35EAA18F" w14:textId="77777777" w:rsidR="00166B94" w:rsidRDefault="00EF73F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manifestó su voluntad para conciliar el </w:t>
      </w:r>
      <w:r>
        <w:rPr>
          <w:rFonts w:ascii="Palatino Linotype" w:eastAsia="Palatino Linotype" w:hAnsi="Palatino Linotype" w:cs="Palatino Linotype"/>
          <w:b/>
        </w:rPr>
        <w:t>diez de marzo de dos mil veintidós</w:t>
      </w:r>
    </w:p>
    <w:p w14:paraId="0544C0BF" w14:textId="77777777" w:rsidR="00166B94" w:rsidRDefault="00EF73F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en atención a las constancias que integran el expediente en que se actúa  el </w:t>
      </w:r>
      <w:r>
        <w:rPr>
          <w:rFonts w:ascii="Palatino Linotype" w:eastAsia="Palatino Linotype" w:hAnsi="Palatino Linotype" w:cs="Palatino Linotype"/>
          <w:b/>
        </w:rPr>
        <w:t>veintitrés de marzo de dos mil veintidós</w:t>
      </w:r>
      <w:r>
        <w:rPr>
          <w:rFonts w:ascii="Palatino Linotype" w:eastAsia="Palatino Linotype" w:hAnsi="Palatino Linotype" w:cs="Palatino Linotype"/>
        </w:rPr>
        <w:t xml:space="preserve"> se acordó el cierre de la etapa de conciliación, toda vez que no fue posible llevar a cabo la audiencia de conciliación voluntaria. </w:t>
      </w:r>
    </w:p>
    <w:p w14:paraId="39A3120A" w14:textId="77777777" w:rsidR="00166B94" w:rsidRDefault="00EF73F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Séptimo. Manifestaciones. </w:t>
      </w:r>
      <w:r>
        <w:rPr>
          <w:rFonts w:ascii="Palatino Linotype" w:eastAsia="Palatino Linotype" w:hAnsi="Palatino Linotype" w:cs="Palatino Linotype"/>
          <w:color w:val="000000"/>
        </w:rPr>
        <w:t xml:space="preserve">se puso a disposición de las partes los expedientes electrónicos a efecto de que en un plazo máximo de siete (7) días manifestaran lo que a derecho conviniera, ofrecieran pruebas y alegatos según corresponda al caso concreto, </w:t>
      </w:r>
      <w:r>
        <w:rPr>
          <w:rFonts w:ascii="Palatino Linotype" w:eastAsia="Palatino Linotype" w:hAnsi="Palatino Linotype" w:cs="Palatino Linotype"/>
          <w:color w:val="000000"/>
        </w:rPr>
        <w:lastRenderedPageBreak/>
        <w:t xml:space="preserve">de esta forma para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presentara los Informes Justificados correspondientes.</w:t>
      </w:r>
    </w:p>
    <w:p w14:paraId="3FF7DB61" w14:textId="77777777" w:rsidR="00166B94" w:rsidRDefault="00EF73F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quince de marzo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el archivo electrónico </w:t>
      </w:r>
      <w:r>
        <w:rPr>
          <w:rFonts w:ascii="Palatino Linotype" w:eastAsia="Palatino Linotype" w:hAnsi="Palatino Linotype" w:cs="Palatino Linotype"/>
          <w:b/>
          <w:i/>
        </w:rPr>
        <w:t xml:space="preserve">“se ratifica la observación.pdf” </w:t>
      </w:r>
      <w:r>
        <w:rPr>
          <w:rFonts w:ascii="Palatino Linotype" w:eastAsia="Palatino Linotype" w:hAnsi="Palatino Linotype" w:cs="Palatino Linotype"/>
        </w:rPr>
        <w:t xml:space="preserve">que es del contenido siguiente: </w:t>
      </w:r>
    </w:p>
    <w:p w14:paraId="22A7F899" w14:textId="77777777" w:rsidR="00166B94" w:rsidRDefault="00EF73F2">
      <w:pPr>
        <w:spacing w:before="240" w:after="240" w:line="360" w:lineRule="auto"/>
        <w:ind w:left="851" w:right="899"/>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532F04BB" wp14:editId="4DD55E0A">
            <wp:extent cx="4709160" cy="3342640"/>
            <wp:effectExtent l="9525" t="9525" r="9525" b="9525"/>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709160" cy="3342640"/>
                    </a:xfrm>
                    <a:prstGeom prst="rect">
                      <a:avLst/>
                    </a:prstGeom>
                    <a:ln w="9525">
                      <a:solidFill>
                        <a:srgbClr val="000000"/>
                      </a:solidFill>
                      <a:prstDash val="solid"/>
                    </a:ln>
                  </pic:spPr>
                </pic:pic>
              </a:graphicData>
            </a:graphic>
          </wp:inline>
        </w:drawing>
      </w:r>
    </w:p>
    <w:p w14:paraId="20F8CFB0" w14:textId="77777777" w:rsidR="00166B94" w:rsidRDefault="00EF73F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 que mediante acuerdo de fecha </w:t>
      </w:r>
      <w:r>
        <w:rPr>
          <w:rFonts w:ascii="Palatino Linotype" w:eastAsia="Palatino Linotype" w:hAnsi="Palatino Linotype" w:cs="Palatino Linotype"/>
          <w:b/>
        </w:rPr>
        <w:t xml:space="preserve">veintidós de marzo de dos mil veintidós </w:t>
      </w:r>
      <w:r>
        <w:rPr>
          <w:rFonts w:ascii="Palatino Linotype" w:eastAsia="Palatino Linotype" w:hAnsi="Palatino Linotype" w:cs="Palatino Linotype"/>
        </w:rPr>
        <w:t xml:space="preserve">se notificó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para su conocimiento. </w:t>
      </w:r>
    </w:p>
    <w:p w14:paraId="04445F12" w14:textId="77777777" w:rsidR="00166B94" w:rsidRDefault="00EF73F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el </w:t>
      </w:r>
      <w:r>
        <w:rPr>
          <w:rFonts w:ascii="Palatino Linotype" w:eastAsia="Palatino Linotype" w:hAnsi="Palatino Linotype" w:cs="Palatino Linotype"/>
          <w:b/>
        </w:rPr>
        <w:t xml:space="preserve">veintitrés de marzo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adjuntó el archivo </w:t>
      </w:r>
      <w:r>
        <w:rPr>
          <w:rFonts w:ascii="Palatino Linotype" w:eastAsia="Palatino Linotype" w:hAnsi="Palatino Linotype" w:cs="Palatino Linotype"/>
          <w:b/>
          <w:i/>
        </w:rPr>
        <w:t>“Recurso 06364 INFOEM AD RR 2021.pdf.”</w:t>
      </w:r>
      <w:r>
        <w:rPr>
          <w:rFonts w:ascii="Palatino Linotype" w:eastAsia="Palatino Linotype" w:hAnsi="Palatino Linotype" w:cs="Palatino Linotype"/>
        </w:rPr>
        <w:t xml:space="preserve">, consistente en el escrito dirigido a la Comisionada Ponente por medio del cual de manera sustantiva señaló: </w:t>
      </w:r>
    </w:p>
    <w:p w14:paraId="4DFFD7A2" w14:textId="77777777" w:rsidR="00166B94" w:rsidRDefault="00EF73F2">
      <w:pPr>
        <w:spacing w:before="240" w:after="240" w:line="276" w:lineRule="auto"/>
        <w:ind w:left="851" w:right="104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w:t>
      </w:r>
      <w:r>
        <w:rPr>
          <w:rFonts w:ascii="Palatino Linotype" w:eastAsia="Palatino Linotype" w:hAnsi="Palatino Linotype" w:cs="Palatino Linotype"/>
          <w:i/>
          <w:sz w:val="22"/>
          <w:szCs w:val="22"/>
        </w:rPr>
        <w:t>ante la imposibilidad de conocer la supuesta respuesta del sujeto obligado, manifiesto mi interés de no conciliar a efecto de que sea el INFOEM quien proceda a la emisión de la respectiva resolución del Recurso de Revisión mencionado. Estando en el plazo previsto señalado en el Acuerdo de Admisión, solicito que se continúe con la tramitación del Recurso de Revisión que nos ocupa.”</w:t>
      </w:r>
      <w:r>
        <w:rPr>
          <w:rFonts w:ascii="Palatino Linotype" w:eastAsia="Palatino Linotype" w:hAnsi="Palatino Linotype" w:cs="Palatino Linotype"/>
        </w:rPr>
        <w:t xml:space="preserve"> (Sic)</w:t>
      </w:r>
    </w:p>
    <w:p w14:paraId="6B002E20" w14:textId="77777777" w:rsidR="00166B94" w:rsidRDefault="00EF73F2">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Octavo.  Ampliación de Plazo. </w:t>
      </w:r>
      <w:r>
        <w:rPr>
          <w:rFonts w:ascii="Palatino Linotype" w:eastAsia="Palatino Linotype" w:hAnsi="Palatino Linotype" w:cs="Palatino Linotype"/>
          <w:color w:val="000000"/>
        </w:rPr>
        <w:t>Con fundamento en el artículo 133 de la Ley de Protección de Datos Personales en Posesión de Sujetos Obligados del Estado de México y Municipios,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mediante acuerdo de fecha </w:t>
      </w:r>
      <w:r>
        <w:rPr>
          <w:rFonts w:ascii="Palatino Linotype" w:eastAsia="Palatino Linotype" w:hAnsi="Palatino Linotype" w:cs="Palatino Linotype"/>
          <w:b/>
          <w:color w:val="000000"/>
        </w:rPr>
        <w:t xml:space="preserve">veinticinco de marzo del año dos mil veintidós </w:t>
      </w:r>
      <w:r>
        <w:rPr>
          <w:rFonts w:ascii="Palatino Linotype" w:eastAsia="Palatino Linotype" w:hAnsi="Palatino Linotype" w:cs="Palatino Linotype"/>
          <w:color w:val="000000"/>
        </w:rPr>
        <w:t>se acordó la ampliación de plazo, para emitir la resolución correspondiente.</w:t>
      </w:r>
    </w:p>
    <w:p w14:paraId="00F67E63" w14:textId="77777777" w:rsidR="00166B94" w:rsidRDefault="00EF73F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222222"/>
        </w:rPr>
        <w:t xml:space="preserve">Noveno. Cierre de Instrucción. </w:t>
      </w:r>
      <w:r>
        <w:rPr>
          <w:rFonts w:ascii="Palatino Linotype" w:eastAsia="Palatino Linotype" w:hAnsi="Palatino Linotype" w:cs="Palatino Linotype"/>
        </w:rPr>
        <w:t>De conformidad con los artículos 11, 125, 127 y 133 de la Ley de Protección de Datos Personales en Posesión de Sujetos Obligados del Estado de México y Municipios y 185 fracción VI de la Ley de Transparencia y Acceso a la Información Pública del Estado de México y Municipios de aplicación supletoria y una vez analizado el estado procesal que guardaba el expediente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el  veintinueve de marzo </w:t>
      </w:r>
      <w:r>
        <w:rPr>
          <w:rFonts w:ascii="Palatino Linotype" w:eastAsia="Palatino Linotype" w:hAnsi="Palatino Linotype" w:cs="Palatino Linotype"/>
          <w:b/>
        </w:rPr>
        <w:t>del año en curso</w:t>
      </w:r>
      <w:r>
        <w:rPr>
          <w:rFonts w:ascii="Palatino Linotype" w:eastAsia="Palatino Linotype" w:hAnsi="Palatino Linotype" w:cs="Palatino Linotype"/>
        </w:rPr>
        <w:t xml:space="preserve"> se tiene por cerrada la etapa de instrucción a efecto de que se proceda con la integración de resolución del asunto y se deriven los siguientes: </w:t>
      </w:r>
    </w:p>
    <w:p w14:paraId="0B5B39B7" w14:textId="77777777" w:rsidR="00166B94" w:rsidRDefault="00EF73F2">
      <w:pP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CONSIDERANDOS</w:t>
      </w:r>
    </w:p>
    <w:p w14:paraId="45C1D93A" w14:textId="77777777" w:rsidR="00166B94" w:rsidRDefault="00EF73F2">
      <w:pPr>
        <w:widowControl w:val="0"/>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PRIMERO.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Competencia</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2 fracción II, 13, 29, 36 fracciones I y II, 176, 178, 179, 181 párrafo tercero y 185 de la Ley de Transparencia y Acceso a la Información Pública del Estado de México y </w:t>
      </w:r>
      <w:r>
        <w:rPr>
          <w:rFonts w:ascii="Palatino Linotype" w:eastAsia="Palatino Linotype" w:hAnsi="Palatino Linotype" w:cs="Palatino Linotype"/>
          <w:color w:val="000000"/>
        </w:rPr>
        <w:lastRenderedPageBreak/>
        <w:t>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38B770CE" w14:textId="77777777" w:rsidR="00166B94" w:rsidRDefault="00166B9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06F7230" w14:textId="77777777" w:rsidR="00166B94" w:rsidRDefault="00EF73F2">
      <w:pPr>
        <w:widowControl w:val="0"/>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SEGUNDO. Oportunidad. </w:t>
      </w:r>
      <w:r>
        <w:rPr>
          <w:rFonts w:ascii="Palatino Linotype" w:eastAsia="Palatino Linotype" w:hAnsi="Palatino Linotype" w:cs="Palatino Linotype"/>
          <w:color w:val="000000"/>
        </w:rPr>
        <w:t>El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7E7C9617" w14:textId="77777777" w:rsidR="00166B94" w:rsidRDefault="00EF73F2">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128. </w:t>
      </w:r>
      <w:r>
        <w:rPr>
          <w:rFonts w:ascii="Palatino Linotype" w:eastAsia="Palatino Linotype" w:hAnsi="Palatino Linotype" w:cs="Palatino Linotype"/>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0C96FDE6" w14:textId="77777777" w:rsidR="00166B94" w:rsidRDefault="00EF73F2">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14:paraId="179718AE" w14:textId="77777777" w:rsidR="00166B94" w:rsidRDefault="00EF73F2">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datos personales el dos de diciembre de dos mil veintiuno; así, el plazo de quince días hábiles que el artículo 128 de la Ley de Protección de Datos Personales en Posesión de Sujetos Obligados del Estado de México y Municipios otorgó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recurso de revisión, transcurrió del </w:t>
      </w:r>
      <w:r>
        <w:rPr>
          <w:rFonts w:ascii="Palatino Linotype" w:eastAsia="Palatino Linotype" w:hAnsi="Palatino Linotype" w:cs="Palatino Linotype"/>
          <w:b/>
        </w:rPr>
        <w:t xml:space="preserve">tres al </w:t>
      </w:r>
      <w:r>
        <w:rPr>
          <w:rFonts w:ascii="Palatino Linotype" w:eastAsia="Palatino Linotype" w:hAnsi="Palatino Linotype" w:cs="Palatino Linotype"/>
          <w:b/>
        </w:rPr>
        <w:lastRenderedPageBreak/>
        <w:t>veintitrés de diciembre de dos mil veintiuno</w:t>
      </w:r>
      <w:r>
        <w:rPr>
          <w:rFonts w:ascii="Palatino Linotype" w:eastAsia="Palatino Linotype" w:hAnsi="Palatino Linotype" w:cs="Palatino Linotype"/>
        </w:rPr>
        <w:t>; sin contemplar en el cómputo los días  4, 5, 11, 12, 18 y 19 del mes y año citados con antelación por corresponder a sábados y domingos respectivamente ,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w:t>
      </w:r>
    </w:p>
    <w:p w14:paraId="1A9A8090" w14:textId="77777777" w:rsidR="00166B94" w:rsidRDefault="00EF73F2">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base a esta cronología, si el recurso de revisión que nos ocupa se interpuso el jueves dos de diciembre de dos mil veintiuno, al ser considerado día hábil el término comienza a correr el viernes tres del mismo mes y año, éste se encuentra dentro de los márgenes temporales previstos en el artículo 128 de la Ley de Protección de Datos Personales en Posesión de Sujetos Obligados del Estado de México y Municipios y, por tanto, </w:t>
      </w:r>
      <w:r>
        <w:rPr>
          <w:rFonts w:ascii="Palatino Linotype" w:eastAsia="Palatino Linotype" w:hAnsi="Palatino Linotype" w:cs="Palatino Linotype"/>
          <w:b/>
          <w:u w:val="single"/>
        </w:rPr>
        <w:t>su interposición se considera oportuna</w:t>
      </w:r>
      <w:r>
        <w:rPr>
          <w:rFonts w:ascii="Palatino Linotype" w:eastAsia="Palatino Linotype" w:hAnsi="Palatino Linotype" w:cs="Palatino Linotype"/>
        </w:rPr>
        <w:t>.</w:t>
      </w:r>
    </w:p>
    <w:p w14:paraId="3442D461" w14:textId="77777777" w:rsidR="00166B94" w:rsidRDefault="00EF73F2">
      <w:pPr>
        <w:widowControl w:val="0"/>
        <w:pBdr>
          <w:top w:val="nil"/>
          <w:left w:val="nil"/>
          <w:bottom w:val="nil"/>
          <w:right w:val="nil"/>
          <w:between w:val="nil"/>
        </w:pBd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 xml:space="preserve">TERCERO. Procedibilidad. </w:t>
      </w:r>
      <w:r>
        <w:rPr>
          <w:rFonts w:ascii="Palatino Linotype" w:eastAsia="Palatino Linotype" w:hAnsi="Palatino Linotype" w:cs="Palatino Linotype"/>
          <w:color w:val="000000"/>
        </w:rPr>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w:t>
      </w:r>
      <w:r>
        <w:rPr>
          <w:rFonts w:ascii="Palatino Linotype" w:eastAsia="Palatino Linotype" w:hAnsi="Palatino Linotype" w:cs="Palatino Linotype"/>
        </w:rPr>
        <w:t xml:space="preserve">en atención a que fue presentado mediante el formato visible en </w:t>
      </w:r>
      <w:r>
        <w:rPr>
          <w:rFonts w:ascii="Palatino Linotype" w:eastAsia="Palatino Linotype" w:hAnsi="Palatino Linotype" w:cs="Palatino Linotype"/>
          <w:b/>
        </w:rPr>
        <w:t>EL SARCOEM</w:t>
      </w:r>
      <w:r>
        <w:rPr>
          <w:rFonts w:ascii="Palatino Linotype" w:eastAsia="Palatino Linotype" w:hAnsi="Palatino Linotype" w:cs="Palatino Linotype"/>
        </w:rPr>
        <w:t>.</w:t>
      </w:r>
    </w:p>
    <w:p w14:paraId="02DA4C55" w14:textId="77777777" w:rsidR="00166B94" w:rsidRDefault="00166B9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BAF0A1C" w14:textId="77777777" w:rsidR="00166B94" w:rsidRDefault="00EF73F2">
      <w:pPr>
        <w:widowControl w:val="0"/>
        <w:pBdr>
          <w:top w:val="nil"/>
          <w:left w:val="nil"/>
          <w:bottom w:val="nil"/>
          <w:right w:val="nil"/>
          <w:between w:val="nil"/>
        </w:pBdr>
        <w:tabs>
          <w:tab w:val="left" w:pos="1701"/>
        </w:tabs>
        <w:spacing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CUARTO. Estudio y resolución del asunto.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Tal y como quedó señalado en el resultando primero del presente ocurso, el entonces solicitante, requirió al </w:t>
      </w:r>
      <w:r>
        <w:rPr>
          <w:rFonts w:ascii="Palatino Linotype" w:eastAsia="Palatino Linotype" w:hAnsi="Palatino Linotype" w:cs="Palatino Linotype"/>
          <w:b/>
          <w:color w:val="000000"/>
        </w:rPr>
        <w:t>SUJETO OBLIGADO con motivo de cualquier tratamiento de datos personales del titular de los mismos, lo siguiente:</w:t>
      </w:r>
    </w:p>
    <w:p w14:paraId="5523949D" w14:textId="77777777" w:rsidR="00166B94" w:rsidRDefault="00EF73F2">
      <w:pPr>
        <w:numPr>
          <w:ilvl w:val="0"/>
          <w:numId w:val="4"/>
        </w:num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lastRenderedPageBreak/>
        <w:t>Los expedientes SAE/72/2016 y SAE/330/2020.</w:t>
      </w:r>
    </w:p>
    <w:p w14:paraId="51091D99" w14:textId="77777777" w:rsidR="00166B94" w:rsidRDefault="00EF73F2">
      <w:pPr>
        <w:widowControl w:val="0"/>
        <w:tabs>
          <w:tab w:val="left" w:pos="1701"/>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el expediente electrónico del </w:t>
      </w:r>
      <w:r>
        <w:rPr>
          <w:rFonts w:ascii="Palatino Linotype" w:eastAsia="Palatino Linotype" w:hAnsi="Palatino Linotype" w:cs="Palatino Linotype"/>
          <w:b/>
        </w:rPr>
        <w:t>SARCOEM</w:t>
      </w:r>
      <w:r>
        <w:rPr>
          <w:rFonts w:ascii="Palatino Linotype" w:eastAsia="Palatino Linotype" w:hAnsi="Palatino Linotype" w:cs="Palatino Linotype"/>
        </w:rPr>
        <w:t xml:space="preserve">,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en términos generales que los expedientes debían solicitarse por escrito en la oficialía de partes del Tribunal Estatal de Conciliación y Arbitraje.</w:t>
      </w:r>
      <w:r>
        <w:rPr>
          <w:rFonts w:ascii="Palatino Linotype" w:eastAsia="Palatino Linotype" w:hAnsi="Palatino Linotype" w:cs="Palatino Linotype"/>
          <w:b/>
        </w:rPr>
        <w:t xml:space="preserve"> </w:t>
      </w:r>
    </w:p>
    <w:p w14:paraId="65C14794" w14:textId="77777777" w:rsidR="00166B94" w:rsidRDefault="00EF73F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Pronunciamiento que provocó la inconformidad del hoy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quien aludió en la interposición del recurso de revisión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no respondió a la solicitud. </w:t>
      </w:r>
    </w:p>
    <w:p w14:paraId="42E3E02B" w14:textId="77777777" w:rsidR="00166B94" w:rsidRDefault="00166B9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B1B9E93" w14:textId="77777777" w:rsidR="00166B94" w:rsidRDefault="00EF73F2">
      <w:p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es importante enfatizar que el derecho a la protección de los datos personales así como el derecho de acceder, rectificar, cancelar u oponerse a su tratamiento es una garantía consagrada para toda persona por el máximo ordenamiento jurídico de nuestro país, derecho que a su vez protege la Constitución Política de nuestra Entidad, añadiendo que cualquier persona sin necesidad de justificar su interés o su utilización podrá solicitar el acceso gratuito a sus datos personales, en tal sentido tal derecho podrá tramitarse por medios electrónicos a través del sistema automatizado que se establezca la Ley en la materia </w:t>
      </w:r>
    </w:p>
    <w:p w14:paraId="2D9F35C9" w14:textId="77777777" w:rsidR="00166B94" w:rsidRDefault="00EF73F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Luego entonces, de la simple lectura a la solicitud de información en la que el solicitante manifestó </w:t>
      </w:r>
      <w:r>
        <w:rPr>
          <w:rFonts w:ascii="Palatino Linotype" w:eastAsia="Palatino Linotype" w:hAnsi="Palatino Linotype" w:cs="Palatino Linotype"/>
          <w:i/>
          <w:color w:val="000000"/>
        </w:rPr>
        <w:t xml:space="preserve">“Adjunto archivo con mi cédula profesional </w:t>
      </w:r>
      <w:r>
        <w:rPr>
          <w:rFonts w:ascii="Palatino Linotype" w:eastAsia="Palatino Linotype" w:hAnsi="Palatino Linotype" w:cs="Palatino Linotype"/>
          <w:b/>
          <w:i/>
          <w:color w:val="000000"/>
          <w:u w:val="single"/>
        </w:rPr>
        <w:t>a fin de acreditarme como titular de la información requerida”</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 xml:space="preserve">es posible advertir que estriba en una solicitud de acceso a datos personales, en este sentido, cabe destacar que para el ejercicio del derecho de acceso a datos personales en posesión de entes públicos, existe un marco jurídico </w:t>
      </w:r>
      <w:r>
        <w:rPr>
          <w:rFonts w:ascii="Palatino Linotype" w:eastAsia="Palatino Linotype" w:hAnsi="Palatino Linotype" w:cs="Palatino Linotype"/>
        </w:rPr>
        <w:lastRenderedPageBreak/>
        <w:t>específico</w:t>
      </w:r>
      <w:r>
        <w:rPr>
          <w:rFonts w:ascii="Palatino Linotype" w:eastAsia="Palatino Linotype" w:hAnsi="Palatino Linotype" w:cs="Palatino Linotype"/>
          <w:color w:val="000000"/>
        </w:rPr>
        <w:t xml:space="preserve"> contenido en la </w:t>
      </w:r>
      <w:r>
        <w:rPr>
          <w:rFonts w:ascii="Palatino Linotype" w:eastAsia="Palatino Linotype" w:hAnsi="Palatino Linotype" w:cs="Palatino Linotype"/>
          <w:b/>
          <w:color w:val="000000"/>
        </w:rPr>
        <w:t>Ley de Protección de Datos Personales en Posesión de Sujetos Obligados del Estado de México y Municipios</w:t>
      </w:r>
      <w:r>
        <w:rPr>
          <w:rFonts w:ascii="Palatino Linotype" w:eastAsia="Palatino Linotype" w:hAnsi="Palatino Linotype" w:cs="Palatino Linotype"/>
          <w:color w:val="000000"/>
        </w:rPr>
        <w:t xml:space="preserve">, el cual corresponde a un ordenamiento reglamentario del artículo 16 segundo párrafo de la Constitución Política de los Estados Unidos Mexicanos, de conformidad con lo dispuesto en su artículo 98 que a la letra dice: </w:t>
      </w:r>
    </w:p>
    <w:p w14:paraId="4FDF2554" w14:textId="77777777" w:rsidR="00166B94" w:rsidRDefault="00166B9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EA7E208" w14:textId="77777777" w:rsidR="00166B94" w:rsidRDefault="00EF73F2">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El titular tiene derecho a acceder, solicitar y ser informado sobre sus datos personales en posesión de los sujetos obligados</w:t>
      </w:r>
      <w:r>
        <w:rPr>
          <w:rFonts w:ascii="Palatino Linotype" w:eastAsia="Palatino Linotype" w:hAnsi="Palatino Linotype" w:cs="Palatino Linotype"/>
          <w:i/>
          <w:sz w:val="22"/>
          <w:szCs w:val="22"/>
        </w:rPr>
        <w:t>,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w:t>
      </w:r>
    </w:p>
    <w:p w14:paraId="49971091" w14:textId="77777777" w:rsidR="00166B94" w:rsidRDefault="00EF73F2">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3636557" w14:textId="77777777" w:rsidR="00166B94" w:rsidRDefault="00166B9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7338C34" w14:textId="77777777" w:rsidR="00166B94" w:rsidRDefault="00EF73F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entendido, de la manifestación del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al momento de formular la solicitud de acceso a datos personales, el Pleno de este Instituto deduce que el solicitante es titular de datos personales contenidos en los expedientes de referencia. </w:t>
      </w:r>
    </w:p>
    <w:p w14:paraId="6F96794F" w14:textId="77777777" w:rsidR="00166B94" w:rsidRDefault="00166B9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AB8C468" w14:textId="77777777" w:rsidR="00166B94" w:rsidRDefault="00EF73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No obstante, no escapa de la óptica de este Órgano Garante que si bien el solicitante a través del SARCOEM remitió en medio electrónico la cédula profesional que lo identifica y manifestó que es el documento que lo acredita como titular de los datos personales; también lo es, que d</w:t>
      </w:r>
      <w:r>
        <w:rPr>
          <w:rFonts w:ascii="Palatino Linotype" w:eastAsia="Palatino Linotype" w:hAnsi="Palatino Linotype" w:cs="Palatino Linotype"/>
        </w:rPr>
        <w:t xml:space="preserve">ebe observarse lo estipulado en los artículos 106, 120 y 121, de la </w:t>
      </w:r>
      <w:r>
        <w:rPr>
          <w:rFonts w:ascii="Palatino Linotype" w:eastAsia="Palatino Linotype" w:hAnsi="Palatino Linotype" w:cs="Palatino Linotype"/>
          <w:b/>
        </w:rPr>
        <w:t xml:space="preserve">Ley de Protección de Datos Personales en Posesión de Sujetos Obligados </w:t>
      </w:r>
      <w:r>
        <w:rPr>
          <w:rFonts w:ascii="Palatino Linotype" w:eastAsia="Palatino Linotype" w:hAnsi="Palatino Linotype" w:cs="Palatino Linotype"/>
          <w:b/>
        </w:rPr>
        <w:lastRenderedPageBreak/>
        <w:t>del Estado de México y Municipios,</w:t>
      </w:r>
      <w:r>
        <w:rPr>
          <w:rFonts w:ascii="Palatino Linotype" w:eastAsia="Palatino Linotype" w:hAnsi="Palatino Linotype" w:cs="Palatino Linotype"/>
        </w:rPr>
        <w:t xml:space="preserve"> normatividad invocada que a la literalidad dispone: </w:t>
      </w:r>
    </w:p>
    <w:p w14:paraId="1D53BB9A" w14:textId="77777777" w:rsidR="00166B94" w:rsidRDefault="00166B94">
      <w:pPr>
        <w:spacing w:line="360" w:lineRule="auto"/>
        <w:jc w:val="both"/>
        <w:rPr>
          <w:rFonts w:ascii="Palatino Linotype" w:eastAsia="Palatino Linotype" w:hAnsi="Palatino Linotype" w:cs="Palatino Linotype"/>
        </w:rPr>
      </w:pPr>
    </w:p>
    <w:p w14:paraId="3050B320" w14:textId="77777777" w:rsidR="00166B94" w:rsidRDefault="00EF73F2">
      <w:pPr>
        <w:widowControl w:val="0"/>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t>“Legitimación para Ejercer los Derechos ARCO</w:t>
      </w:r>
    </w:p>
    <w:p w14:paraId="22F4A499" w14:textId="77777777" w:rsidR="00166B94" w:rsidRDefault="00166B94">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p>
    <w:p w14:paraId="1E5B507C" w14:textId="77777777" w:rsidR="00166B94" w:rsidRDefault="00EF73F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106.</w:t>
      </w:r>
      <w:r>
        <w:rPr>
          <w:rFonts w:ascii="Palatino Linotype" w:eastAsia="Palatino Linotype" w:hAnsi="Palatino Linotype" w:cs="Palatino Linotype"/>
          <w:i/>
          <w:color w:val="000000"/>
          <w:sz w:val="22"/>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14:paraId="302B62CA" w14:textId="77777777" w:rsidR="00166B94" w:rsidRDefault="00EF73F2">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 xml:space="preserve"> 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0B79ACA3" w14:textId="77777777" w:rsidR="00166B94" w:rsidRDefault="00EF73F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55E0A71B" w14:textId="77777777" w:rsidR="00166B94" w:rsidRDefault="00166B94">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p>
    <w:p w14:paraId="26779200" w14:textId="77777777" w:rsidR="00166B94" w:rsidRDefault="00EF73F2">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Medios para acreditar identidad </w:t>
      </w:r>
    </w:p>
    <w:p w14:paraId="5428BFA6" w14:textId="77777777" w:rsidR="00166B94" w:rsidRDefault="00EF73F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120.</w:t>
      </w:r>
      <w:r>
        <w:rPr>
          <w:rFonts w:ascii="Palatino Linotype" w:eastAsia="Palatino Linotype" w:hAnsi="Palatino Linotype" w:cs="Palatino Linotype"/>
          <w:i/>
          <w:color w:val="000000"/>
          <w:sz w:val="22"/>
          <w:szCs w:val="22"/>
        </w:rPr>
        <w:t xml:space="preserve"> El titular podrá acreditar su identidad a través de cualquiera de los medios siguientes: </w:t>
      </w:r>
    </w:p>
    <w:p w14:paraId="3A4D1F3E" w14:textId="77777777" w:rsidR="00166B94" w:rsidRDefault="00166B94">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3BB4627E" w14:textId="77777777" w:rsidR="00166B94" w:rsidRDefault="00EF73F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I. Identificación oficial</w:t>
      </w:r>
      <w:r>
        <w:rPr>
          <w:rFonts w:ascii="Palatino Linotype" w:eastAsia="Palatino Linotype" w:hAnsi="Palatino Linotype" w:cs="Palatino Linotype"/>
          <w:i/>
          <w:color w:val="000000"/>
          <w:sz w:val="22"/>
          <w:szCs w:val="22"/>
        </w:rPr>
        <w:t xml:space="preserve">. </w:t>
      </w:r>
    </w:p>
    <w:p w14:paraId="123354DE" w14:textId="77777777" w:rsidR="00166B94" w:rsidRDefault="00EF73F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Firma electrónica avanzada o del instrumento electrónico que lo sustituya.</w:t>
      </w:r>
    </w:p>
    <w:p w14:paraId="564B7B00" w14:textId="77777777" w:rsidR="00166B94" w:rsidRDefault="00EF73F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Mecanismos de autenticación autorizados por el Instituto o el Instituto Nacional publicados por acuerdo general en el periódico oficial “Gaceta del Gobierno” o en el Diario Oficial de la Federación. </w:t>
      </w:r>
    </w:p>
    <w:p w14:paraId="28BA8B3D" w14:textId="77777777" w:rsidR="00166B94" w:rsidRDefault="00166B94">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77C6DA4" w14:textId="77777777" w:rsidR="00166B94" w:rsidRDefault="00EF73F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utilización de la firma electrónica avanzada o del instrumento electrónico que lo sustituya eximirá de la presentación de la copia del documento de identificación.</w:t>
      </w:r>
    </w:p>
    <w:p w14:paraId="1B86F530" w14:textId="77777777" w:rsidR="00166B94" w:rsidRDefault="00166B94">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u w:val="single"/>
        </w:rPr>
      </w:pPr>
    </w:p>
    <w:p w14:paraId="2378E64A" w14:textId="77777777" w:rsidR="00166B94" w:rsidRDefault="00EF73F2">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Disposiciones que,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w:t>
      </w:r>
      <w:r>
        <w:rPr>
          <w:rFonts w:ascii="Palatino Linotype" w:eastAsia="Palatino Linotype" w:hAnsi="Palatino Linotype" w:cs="Palatino Linotype"/>
          <w:color w:val="000000"/>
        </w:rPr>
        <w:lastRenderedPageBreak/>
        <w:t>de Datos Personales en Posesión de Sujetos Obligados del Estado de México y Municipios es relativo a los derechos de acceso, rectificación, cancelación y oposición al tratamiento de datos personales.</w:t>
      </w:r>
    </w:p>
    <w:p w14:paraId="70277308" w14:textId="77777777" w:rsidR="00166B94" w:rsidRDefault="00166B94">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3474E50E" w14:textId="77777777" w:rsidR="00166B94" w:rsidRDefault="00EF73F2">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Ordenamiento al cual se encuentran sujetos los titulares de las unidades de transparencia de los Sujetos Obligados</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Pr>
          <w:rFonts w:ascii="Palatino Linotype" w:eastAsia="Palatino Linotype" w:hAnsi="Palatino Linotype" w:cs="Palatino Linotype"/>
          <w:b/>
          <w:color w:val="000000"/>
          <w:u w:val="single"/>
        </w:rPr>
        <w:t>que implica que la información no se pondrá a disposición, ni se revelará a individuos, entidades o procesos no autorizados, y que en el caso particular requiere de manera inexorable que el acceso de datos se lleve a cabo, únicamente a favor de quien cuente con un interés jurídico o en su caso, su representante legal.</w:t>
      </w:r>
    </w:p>
    <w:p w14:paraId="03841A57" w14:textId="77777777" w:rsidR="00166B94" w:rsidRDefault="00166B94">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7DF31D52" w14:textId="77777777" w:rsidR="00166B94" w:rsidRDefault="00EF73F2">
      <w:pPr>
        <w:widowControl w:val="0"/>
        <w:pBdr>
          <w:top w:val="nil"/>
          <w:left w:val="nil"/>
          <w:bottom w:val="nil"/>
          <w:right w:val="nil"/>
          <w:between w:val="nil"/>
        </w:pBd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Precisado lo anterior, si bien es cierto que el</w:t>
      </w:r>
      <w:r>
        <w:rPr>
          <w:rFonts w:ascii="Palatino Linotype" w:eastAsia="Palatino Linotype" w:hAnsi="Palatino Linotype" w:cs="Palatino Linotype"/>
          <w:b/>
          <w:color w:val="000000"/>
        </w:rPr>
        <w:t xml:space="preserve"> RECURRENTE </w:t>
      </w:r>
      <w:r>
        <w:rPr>
          <w:rFonts w:ascii="Palatino Linotype" w:eastAsia="Palatino Linotype" w:hAnsi="Palatino Linotype" w:cs="Palatino Linotype"/>
          <w:color w:val="000000"/>
        </w:rPr>
        <w:t xml:space="preserve">adjuntó un soporte documental que identifique su titularidad, lo cierto también es que los </w:t>
      </w:r>
      <w:r>
        <w:rPr>
          <w:rFonts w:ascii="Palatino Linotype" w:eastAsia="Palatino Linotype" w:hAnsi="Palatino Linotype" w:cs="Palatino Linotype"/>
          <w:b/>
          <w:color w:val="000000"/>
        </w:rPr>
        <w:t xml:space="preserve">Sujetos Obligados </w:t>
      </w:r>
      <w:r>
        <w:rPr>
          <w:rFonts w:ascii="Palatino Linotype" w:eastAsia="Palatino Linotype" w:hAnsi="Palatino Linotype" w:cs="Palatino Linotype"/>
          <w:color w:val="000000"/>
        </w:rPr>
        <w:t>se encuentran constreñidos a corroborar la identidad de los particulares.</w:t>
      </w:r>
    </w:p>
    <w:p w14:paraId="72B8C8F3" w14:textId="77777777" w:rsidR="00166B94" w:rsidRDefault="00166B94">
      <w:pPr>
        <w:widowControl w:val="0"/>
        <w:pBdr>
          <w:top w:val="nil"/>
          <w:left w:val="nil"/>
          <w:bottom w:val="nil"/>
          <w:right w:val="nil"/>
          <w:between w:val="nil"/>
        </w:pBdr>
        <w:spacing w:line="360" w:lineRule="auto"/>
        <w:ind w:right="51"/>
        <w:jc w:val="both"/>
        <w:rPr>
          <w:rFonts w:ascii="Palatino Linotype" w:eastAsia="Palatino Linotype" w:hAnsi="Palatino Linotype" w:cs="Palatino Linotype"/>
          <w:color w:val="000000"/>
        </w:rPr>
      </w:pPr>
    </w:p>
    <w:p w14:paraId="3601FD5A" w14:textId="77777777" w:rsidR="00166B94" w:rsidRDefault="00EF73F2">
      <w:pPr>
        <w:widowControl w:val="0"/>
        <w:pBdr>
          <w:top w:val="nil"/>
          <w:left w:val="nil"/>
          <w:bottom w:val="nil"/>
          <w:right w:val="nil"/>
          <w:between w:val="nil"/>
        </w:pBdr>
        <w:spacing w:line="360" w:lineRule="auto"/>
        <w:ind w:right="51"/>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color w:val="000000"/>
        </w:rPr>
        <w:t xml:space="preserve">Lo anterior cobra particular relevancia al tomar en consideración que en el caso en particular fueron requeridos soportes documentales que encuadran como </w:t>
      </w:r>
      <w:r>
        <w:rPr>
          <w:rFonts w:ascii="Palatino Linotype" w:eastAsia="Palatino Linotype" w:hAnsi="Palatino Linotype" w:cs="Palatino Linotype"/>
          <w:b/>
          <w:color w:val="000000"/>
          <w:u w:val="single"/>
        </w:rPr>
        <w:t xml:space="preserve">datos personales. </w:t>
      </w:r>
    </w:p>
    <w:p w14:paraId="05612EE7" w14:textId="77777777" w:rsidR="00166B94" w:rsidRDefault="00166B9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C511926" w14:textId="77777777" w:rsidR="00166B94" w:rsidRDefault="00EF73F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 xml:space="preserve">Ahora bien, es de señalar que de las constancias que integran el expediente del recurso de revisión que se resuelve, se advierte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no se pronunció sobre la acreditación de la titularidad de los datos personales del solicitante, sino que en términos generales refirió: “</w:t>
      </w:r>
      <w:r>
        <w:rPr>
          <w:rFonts w:ascii="Palatino Linotype" w:eastAsia="Palatino Linotype" w:hAnsi="Palatino Linotype" w:cs="Palatino Linotype"/>
          <w:b/>
          <w:i/>
        </w:rPr>
        <w:t xml:space="preserve">si requiere el expediente tendrá que promover por escrito a la oficialía de partes de este Tribunal Estatal de Conciliación y Arbitraje”; </w:t>
      </w:r>
      <w:r>
        <w:rPr>
          <w:rFonts w:ascii="Palatino Linotype" w:eastAsia="Palatino Linotype" w:hAnsi="Palatino Linotype" w:cs="Palatino Linotype"/>
        </w:rPr>
        <w:t>manifestación de la cual se desprende que no niega la existencia de la información solicitada; por lo tanto, la naturaleza jurídica de la información solicitada respecto del expediente, en el caso concreto, se obvia.</w:t>
      </w:r>
    </w:p>
    <w:p w14:paraId="4E3EC0B6" w14:textId="77777777" w:rsidR="00166B94" w:rsidRDefault="00EF73F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Lo anterior es así, ya que el estudio enunciado tiene por objeto determinar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genera, posee o administra la información solicitada</w:t>
      </w:r>
      <w:r>
        <w:rPr>
          <w:rFonts w:ascii="Palatino Linotype" w:eastAsia="Palatino Linotype" w:hAnsi="Palatino Linotype" w:cs="Palatino Linotype"/>
          <w:color w:val="000000"/>
        </w:rPr>
        <w:t>;</w:t>
      </w:r>
      <w:r>
        <w:rPr>
          <w:rFonts w:ascii="Palatino Linotype" w:eastAsia="Palatino Linotype" w:hAnsi="Palatino Linotype" w:cs="Palatino Linotype"/>
        </w:rPr>
        <w:t xml:space="preserve"> sin embargo, en aquellos casos en que éste la asume, ello efectivamente está en su poder; por consiguiente, sería ocioso y a nada práctico nos conduciría su estudio, ya que se insiste, la información pública solicitada fue asumida por el </w:t>
      </w:r>
      <w:r>
        <w:rPr>
          <w:rFonts w:ascii="Palatino Linotype" w:eastAsia="Palatino Linotype" w:hAnsi="Palatino Linotype" w:cs="Palatino Linotype"/>
          <w:b/>
        </w:rPr>
        <w:t>SUJETO OBLIGADO.</w:t>
      </w:r>
    </w:p>
    <w:p w14:paraId="5873F456" w14:textId="77777777" w:rsidR="00166B94" w:rsidRDefault="00EF73F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oportuno señalar que, una vez admitido el recurso de revisión se convocó a una audiencia de conciliación a efecto de poder tutelar en su manera más amplia los derechos del particular, no obstante, el ahora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se pronunció sobre su falta de interés para conciliar; y al mismo tiempo, solicitó se emitirá la resolución correspondiente, por lo que no resulto posible llevar a cabo la audiencia de conciliación prevista por la Ley en la materia. </w:t>
      </w:r>
    </w:p>
    <w:p w14:paraId="7371687F" w14:textId="77777777" w:rsidR="00166B94" w:rsidRDefault="00166B9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0C2C77F" w14:textId="77777777" w:rsidR="00166B94" w:rsidRDefault="00166B9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B6C3A9D" w14:textId="77777777" w:rsidR="00166B94" w:rsidRDefault="00EF73F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En este contexto, toda vez que 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se negó a presentarse en la audiencia de conciliación en la que sería posible que acreditará la titularidad o personalidad para acceder a los datos personales y aportar mayores elementos para la resolución del presente asunto, el Pleno de este Instituto, con el objeto de garantizar el ejercicio del derecho de acceso a los datos personales, procedió al análisis, estudio y formulación de las siguientes consideraciones. </w:t>
      </w:r>
    </w:p>
    <w:p w14:paraId="72116CF4" w14:textId="77777777" w:rsidR="00166B94" w:rsidRDefault="00166B9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18DB744" w14:textId="77777777" w:rsidR="00166B94" w:rsidRDefault="00EF73F2">
      <w:pPr>
        <w:spacing w:after="12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primer término, es conveniente mencionar que de 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advierte que el Tribunal Estatal de Conciliación y Arbitraje está obligado a expedir a costa de cualquiera de las parres, que de manera escrita o por comparecencia, soliciten copias simples o certificadas de cualquier documento o constancia que obre en el expediente, debiendo constar en autos el acuse de recibido, de conformidad con lo dispuesto en el artículo 204 de la Ley del Trabajo de los Servidores Públicos del Estado de México y Municipios que a la letra dice: </w:t>
      </w:r>
    </w:p>
    <w:p w14:paraId="54BC7176" w14:textId="77777777" w:rsidR="00166B94" w:rsidRDefault="00166B94">
      <w:pPr>
        <w:spacing w:after="120" w:line="360" w:lineRule="auto"/>
        <w:ind w:right="49"/>
        <w:jc w:val="both"/>
        <w:rPr>
          <w:rFonts w:ascii="Palatino Linotype" w:eastAsia="Palatino Linotype" w:hAnsi="Palatino Linotype" w:cs="Palatino Linotype"/>
        </w:rPr>
      </w:pPr>
    </w:p>
    <w:p w14:paraId="5C5999D3" w14:textId="77777777" w:rsidR="00166B94" w:rsidRDefault="00EF73F2">
      <w:pPr>
        <w:spacing w:after="12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204</w:t>
      </w:r>
      <w:r>
        <w:rPr>
          <w:rFonts w:ascii="Palatino Linotype" w:eastAsia="Palatino Linotype" w:hAnsi="Palatino Linotype" w:cs="Palatino Linotype"/>
          <w:i/>
          <w:sz w:val="22"/>
          <w:szCs w:val="22"/>
        </w:rPr>
        <w:t xml:space="preserve">. Todas las actuaciones procesales serán autorizadas por el secretario, excepción hecha de las diligencias encomendadas a otros servidores públicos del Tribunal o de la Salas. Lo actuado en la audiencia se hará constar en actas, videos, así como audio grabaciones; tratándose de actas, deberán ser firmadas por las personas que en ellas intervengan y sepan hacerlo, quien se negare, la Secretaría de Acuerdos certificará la negativa. Cuando algún integrante del Tribunal o de la Sala omitiere firmar las actas de las diligencias en las que estuvo presente, se entenderá que está conforme con ellas. De las actas de las audiencias se entregará copia a cada una de las partes comparecientes. </w:t>
      </w:r>
    </w:p>
    <w:p w14:paraId="746F2B4F" w14:textId="77777777" w:rsidR="00166B94" w:rsidRDefault="00EF73F2">
      <w:pPr>
        <w:spacing w:after="12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El Tribunal o la Sala están obligados a </w:t>
      </w:r>
      <w:r>
        <w:rPr>
          <w:rFonts w:ascii="Palatino Linotype" w:eastAsia="Palatino Linotype" w:hAnsi="Palatino Linotype" w:cs="Palatino Linotype"/>
          <w:b/>
          <w:i/>
          <w:sz w:val="22"/>
          <w:szCs w:val="22"/>
          <w:u w:val="single"/>
        </w:rPr>
        <w:t>expedir a costa de cualquiera de las partes, que de manera escrita o por comparecencia soliciten copias simples o certificadas de cualquier documento o constancia que obre en el expedien</w:t>
      </w:r>
      <w:r>
        <w:rPr>
          <w:rFonts w:ascii="Palatino Linotype" w:eastAsia="Palatino Linotype" w:hAnsi="Palatino Linotype" w:cs="Palatino Linotype"/>
          <w:i/>
          <w:sz w:val="22"/>
          <w:szCs w:val="22"/>
        </w:rPr>
        <w:t xml:space="preserve">te, debiendo de constar en autos acuse de recibido; también deberá certificar la copia fotostática que exhiban las partes de algún documento o constancia que aparezca en autos, previo cotejo que se haga con el original. </w:t>
      </w:r>
    </w:p>
    <w:p w14:paraId="67DD78F9" w14:textId="77777777" w:rsidR="00166B94" w:rsidRDefault="00EF73F2">
      <w:pPr>
        <w:spacing w:after="12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audiencias se respaldarán en video, audio-grabación, escaneo o cualquier medio apto, a juicio del Presidente del Tribunal o la Sala, para producir seguridad en las actuaciones e información que permitan garantizar su fidelidad, integridad, conservación, reproducción de su contenido y acceso, a quienes de acuerdo a la ley, tuvieren derecho a ello.</w:t>
      </w:r>
    </w:p>
    <w:p w14:paraId="3676CB4A" w14:textId="77777777" w:rsidR="00166B94" w:rsidRDefault="00EF73F2">
      <w:pPr>
        <w:spacing w:after="120" w:line="360"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06619FC4" w14:textId="77777777" w:rsidR="00166B94" w:rsidRDefault="00EF73F2">
      <w:pPr>
        <w:spacing w:before="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 importante señalar que los artículos 198 y 199 de la Ley del Trabajo de los Servidores Públicos del Estado de México y Municipios establecen: </w:t>
      </w:r>
    </w:p>
    <w:p w14:paraId="6A3AD96C" w14:textId="77777777" w:rsidR="00166B94" w:rsidRDefault="00EF73F2">
      <w:pPr>
        <w:spacing w:before="16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198</w:t>
      </w:r>
      <w:r>
        <w:rPr>
          <w:rFonts w:ascii="Palatino Linotype" w:eastAsia="Palatino Linotype" w:hAnsi="Palatino Linotype" w:cs="Palatino Linotype"/>
          <w:i/>
          <w:sz w:val="22"/>
          <w:szCs w:val="22"/>
        </w:rPr>
        <w:t xml:space="preserve">.- Los servidores públicos; las instituciones y los sindicatos, con facultades para ello, podrán otorgar poder mediante simple comparecencia, previa identificación ante el Tribunal o las Salas para que los representen ante cualquier autoridad del trabajo. </w:t>
      </w:r>
    </w:p>
    <w:p w14:paraId="6EB3FF6A" w14:textId="77777777" w:rsidR="00166B94" w:rsidRDefault="00EF73F2">
      <w:pPr>
        <w:spacing w:before="16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199</w:t>
      </w:r>
      <w:r>
        <w:rPr>
          <w:rFonts w:ascii="Palatino Linotype" w:eastAsia="Palatino Linotype" w:hAnsi="Palatino Linotype" w:cs="Palatino Linotype"/>
          <w:i/>
          <w:sz w:val="22"/>
          <w:szCs w:val="22"/>
        </w:rPr>
        <w:t>. Siempre que dos o más personas ejerciten la misma acción u opongan la misma excepción en un mismo juicio, deberán litigar unidas y con una representación común, salvo que los colitigantes tengan intereses diferentes u opuestos. Si se trata de las partes actoras, el nombramiento del representante común deberá hacerse en el escrito de demanda o en la audiencia de conciliación, depuración procesal, ofrecimiento y admisión de pruebas. Si se trata de las demandadas, el nombramiento se hará en el escrito de contestación o en la audiencia a que se ha hecho mención.</w:t>
      </w:r>
    </w:p>
    <w:p w14:paraId="0A5A7707" w14:textId="77777777" w:rsidR="00166B94" w:rsidRDefault="00166B94">
      <w:pPr>
        <w:spacing w:before="160" w:line="360" w:lineRule="auto"/>
        <w:jc w:val="both"/>
        <w:rPr>
          <w:rFonts w:ascii="Palatino Linotype" w:eastAsia="Palatino Linotype" w:hAnsi="Palatino Linotype" w:cs="Palatino Linotype"/>
        </w:rPr>
      </w:pPr>
    </w:p>
    <w:p w14:paraId="4B950236" w14:textId="77777777" w:rsidR="00166B94" w:rsidRDefault="00EF73F2">
      <w:pPr>
        <w:spacing w:before="16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así que, de los preceptos normativos citados se desprende que las partes podrán designar a quien los represente ante cualquier autoridad del trabajo; sin embargo, es de insistir, que en el asunto que nos ocupa analizar,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manifestó ser el titular de los datos personales a los que pretende acceder. </w:t>
      </w:r>
    </w:p>
    <w:p w14:paraId="2E82B413" w14:textId="77777777" w:rsidR="00166B94" w:rsidRDefault="00EF73F2">
      <w:pPr>
        <w:spacing w:before="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de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de los ordenamientos jurídicos citados se concluye que el Tribunal Estatal de Conciliación y Arbitraje esta constreñido a expedir copias simples o certificadas, a petición de parte, previo  pago de los derechos correspondientes, debiendo hacer constar en autos el acuse de recibido, es decir, debe observar el procedimiento establecido para la entrega de cualquier documento o constancia que obre en los expedientes. </w:t>
      </w:r>
    </w:p>
    <w:p w14:paraId="67430A4D" w14:textId="77777777" w:rsidR="00166B94" w:rsidRDefault="00EF73F2">
      <w:pPr>
        <w:spacing w:before="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lo anterior, no escapa a la óptica de este Instituto lo dispuesto en el artículo 114 de la </w:t>
      </w:r>
      <w:r>
        <w:rPr>
          <w:rFonts w:ascii="Palatino Linotype" w:eastAsia="Palatino Linotype" w:hAnsi="Palatino Linotype" w:cs="Palatino Linotype"/>
          <w:b/>
        </w:rPr>
        <w:t>Ley de Protección de Datos Personales en Posesión de Sujetos Obligados del Estado de México</w:t>
      </w:r>
      <w:r>
        <w:rPr>
          <w:rFonts w:ascii="Palatino Linotype" w:eastAsia="Palatino Linotype" w:hAnsi="Palatino Linotype" w:cs="Palatino Linotype"/>
        </w:rPr>
        <w:t xml:space="preserve"> </w:t>
      </w:r>
      <w:r>
        <w:rPr>
          <w:rFonts w:ascii="Palatino Linotype" w:eastAsia="Palatino Linotype" w:hAnsi="Palatino Linotype" w:cs="Palatino Linotype"/>
          <w:b/>
        </w:rPr>
        <w:t>y Municipios</w:t>
      </w:r>
      <w:r>
        <w:rPr>
          <w:rFonts w:ascii="Palatino Linotype" w:eastAsia="Palatino Linotype" w:hAnsi="Palatino Linotype" w:cs="Palatino Linotype"/>
        </w:rPr>
        <w:t>, que en su texto literal refiere:</w:t>
      </w:r>
    </w:p>
    <w:p w14:paraId="11EF1E2B" w14:textId="77777777" w:rsidR="00166B94" w:rsidRDefault="00166B94">
      <w:pPr>
        <w:spacing w:line="360" w:lineRule="auto"/>
        <w:jc w:val="both"/>
        <w:rPr>
          <w:rFonts w:ascii="Palatino Linotype" w:eastAsia="Palatino Linotype" w:hAnsi="Palatino Linotype" w:cs="Palatino Linotype"/>
        </w:rPr>
      </w:pPr>
    </w:p>
    <w:p w14:paraId="1D650435" w14:textId="77777777" w:rsidR="00166B94" w:rsidRDefault="00EF73F2">
      <w:pPr>
        <w:spacing w:line="276" w:lineRule="auto"/>
        <w:ind w:left="72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114.</w:t>
      </w:r>
      <w:r>
        <w:rPr>
          <w:rFonts w:ascii="Palatino Linotype" w:eastAsia="Palatino Linotype" w:hAnsi="Palatino Linotype" w:cs="Palatino Linotype"/>
          <w:i/>
          <w:sz w:val="22"/>
          <w:szCs w:val="22"/>
        </w:rPr>
        <w:t xml:space="preserve"> Cuando las disposiciones aplicables a determinados tratamientos de datos personales </w:t>
      </w:r>
      <w:r>
        <w:rPr>
          <w:rFonts w:ascii="Palatino Linotype" w:eastAsia="Palatino Linotype" w:hAnsi="Palatino Linotype" w:cs="Palatino Linotype"/>
          <w:b/>
          <w:i/>
          <w:sz w:val="22"/>
          <w:szCs w:val="22"/>
          <w:u w:val="single"/>
        </w:rPr>
        <w:t>establezcan un trámite o procedimiento específico para solicitar el ejercicio de los derechos ARCO</w:t>
      </w:r>
      <w:r>
        <w:rPr>
          <w:rFonts w:ascii="Palatino Linotype" w:eastAsia="Palatino Linotype" w:hAnsi="Palatino Linotype" w:cs="Palatino Linotype"/>
          <w:i/>
          <w:sz w:val="22"/>
          <w:szCs w:val="22"/>
        </w:rPr>
        <w:t xml:space="preserve">, el responsable deberá informar al titular sobre la existencia del mismo, en un plazo no mayor a cinco días siguiente a la presentación de la solicitud para el ejercicio de los derechos ARCO, </w:t>
      </w:r>
      <w:r>
        <w:rPr>
          <w:rFonts w:ascii="Palatino Linotype" w:eastAsia="Palatino Linotype" w:hAnsi="Palatino Linotype" w:cs="Palatino Linotype"/>
          <w:b/>
          <w:i/>
          <w:sz w:val="22"/>
          <w:szCs w:val="22"/>
          <w:u w:val="single"/>
        </w:rPr>
        <w:t>a efecto que este último decida si ejerce sus derechos a través del trámite específico, o bien a través del procedimiento para el ejercicio de los derechos ARCO</w:t>
      </w:r>
      <w:r>
        <w:rPr>
          <w:rFonts w:ascii="Palatino Linotype" w:eastAsia="Palatino Linotype" w:hAnsi="Palatino Linotype" w:cs="Palatino Linotype"/>
          <w:i/>
          <w:sz w:val="22"/>
          <w:szCs w:val="22"/>
        </w:rPr>
        <w:t xml:space="preserve">. </w:t>
      </w:r>
    </w:p>
    <w:p w14:paraId="475F1BA7" w14:textId="77777777" w:rsidR="00166B94" w:rsidRDefault="00166B94">
      <w:pPr>
        <w:spacing w:line="276" w:lineRule="auto"/>
        <w:ind w:left="720" w:right="899"/>
        <w:jc w:val="both"/>
        <w:rPr>
          <w:rFonts w:ascii="Palatino Linotype" w:eastAsia="Palatino Linotype" w:hAnsi="Palatino Linotype" w:cs="Palatino Linotype"/>
          <w:i/>
          <w:sz w:val="22"/>
          <w:szCs w:val="22"/>
        </w:rPr>
      </w:pPr>
    </w:p>
    <w:p w14:paraId="26B4AA90" w14:textId="77777777" w:rsidR="00166B94" w:rsidRDefault="00EF73F2">
      <w:pPr>
        <w:spacing w:line="276" w:lineRule="auto"/>
        <w:ind w:left="72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w:t>
      </w:r>
    </w:p>
    <w:p w14:paraId="7C00286E" w14:textId="77777777" w:rsidR="00166B94" w:rsidRDefault="00166B94">
      <w:pPr>
        <w:spacing w:line="360" w:lineRule="auto"/>
        <w:jc w:val="both"/>
        <w:rPr>
          <w:rFonts w:ascii="Palatino Linotype" w:eastAsia="Palatino Linotype" w:hAnsi="Palatino Linotype" w:cs="Palatino Linotype"/>
        </w:rPr>
      </w:pPr>
    </w:p>
    <w:p w14:paraId="2D1C0729" w14:textId="77777777" w:rsidR="00166B94" w:rsidRDefault="00EF73F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Precepto normativo que claramente dispone que en los casos en que el para solicitar el acceso a datos personales, las disposiciones aplicables estipulen un trámite específico, el responsable del tratamiento de los datos personales está constreñido a informar al titular o solicitante la existencia de dicho trámite, dentro del plazo de cinco días siguientes a la presentación de la solicitud. </w:t>
      </w:r>
    </w:p>
    <w:p w14:paraId="274B8BD5" w14:textId="77777777" w:rsidR="00166B94" w:rsidRDefault="00166B9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8403F5A" w14:textId="77777777" w:rsidR="00166B94" w:rsidRDefault="00EF73F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así que, en el recurso de revisión que ahora se resuelve, la solicitud de acceso a datos personales se presentó el dieciséis de noviembre de dos mil veintiuno, por lo tanto el plazo para informar al entonces solicitante sobre el trámite o procedimiento específico, corrió del diecisiete al veinticuatro de noviembre, y es el caso,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se hasta el dos de diciembre del mismo año, informó al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sobre el trámite que debería realizar ante la oficialía de partes; actuación si bien es cierto se observa contemplada en la disposición jurídica en comento, no se realizó dentro del plazo legal establecido para tal efecto. </w:t>
      </w:r>
    </w:p>
    <w:p w14:paraId="73CB126B" w14:textId="77777777" w:rsidR="00166B94" w:rsidRDefault="00166B9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08E91F3" w14:textId="77777777" w:rsidR="00166B94" w:rsidRDefault="00EF73F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Aunado a lo anterior, es importante precisar que el artículo 114 de la Ley en la materia, previamente citado, establece el deber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de informar al solicitante sobre la existencia de un trámite o procedimiento en específico, con el objeto de otorgarle la posibilidad de que decida si ejerce su derecho a través del mismo o a través del procedimiento establecido por la Ley para el ejercicio del derecho de acceso a datos personales.</w:t>
      </w:r>
    </w:p>
    <w:p w14:paraId="0881F385" w14:textId="77777777" w:rsidR="00166B94" w:rsidRDefault="00166B9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C67D96E" w14:textId="77777777" w:rsidR="00166B94" w:rsidRDefault="00EF73F2">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 xml:space="preserve">Es así que, de acuerdo a las constancias que obran en el expediente integrado en el SARCOEM, se advierte que 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eligió el procedimiento establecido por la </w:t>
      </w:r>
      <w:r>
        <w:rPr>
          <w:rFonts w:ascii="Palatino Linotype" w:eastAsia="Palatino Linotype" w:hAnsi="Palatino Linotype" w:cs="Palatino Linotype"/>
          <w:b/>
        </w:rPr>
        <w:t>Ley de Protección de Datos Personales en Posesión de Sujetos Obligados del Estado de México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y Municipios </w:t>
      </w:r>
      <w:r>
        <w:rPr>
          <w:rFonts w:ascii="Palatino Linotype" w:eastAsia="Palatino Linotype" w:hAnsi="Palatino Linotype" w:cs="Palatino Linotype"/>
        </w:rPr>
        <w:t xml:space="preserve">para el ejercicio de derecho de acceso a datos personales, sin embargo, es necesario considerar que el Pleno de este Instituto desconoce  en primer lugar, la naturaleza de las documentales que integran los expedientes solicitados, por lo que no se tiene la certeza de que únicamente contenga datos personales del solicitante y en segundo, termino se desconoce el estado procesal que guardan los procedimientos relacionados con los expedientes requeridos. </w:t>
      </w:r>
    </w:p>
    <w:p w14:paraId="370D3FEE" w14:textId="77777777" w:rsidR="00166B94" w:rsidRDefault="00166B94">
      <w:pPr>
        <w:pBdr>
          <w:top w:val="nil"/>
          <w:left w:val="nil"/>
          <w:bottom w:val="nil"/>
          <w:right w:val="nil"/>
          <w:between w:val="nil"/>
        </w:pBdr>
        <w:spacing w:line="360" w:lineRule="auto"/>
        <w:jc w:val="both"/>
        <w:rPr>
          <w:rFonts w:ascii="Palatino Linotype" w:eastAsia="Palatino Linotype" w:hAnsi="Palatino Linotype" w:cs="Palatino Linotype"/>
        </w:rPr>
      </w:pPr>
    </w:p>
    <w:p w14:paraId="125A67C1" w14:textId="77777777" w:rsidR="00166B94" w:rsidRDefault="00EF73F2">
      <w:pPr>
        <w:pBdr>
          <w:top w:val="nil"/>
          <w:left w:val="nil"/>
          <w:bottom w:val="nil"/>
          <w:right w:val="nil"/>
          <w:between w:val="nil"/>
        </w:pBd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este entendido, si bien es cierto que la </w:t>
      </w:r>
      <w:r>
        <w:rPr>
          <w:rFonts w:ascii="Palatino Linotype" w:eastAsia="Palatino Linotype" w:hAnsi="Palatino Linotype" w:cs="Palatino Linotype"/>
          <w:b/>
        </w:rPr>
        <w:t>Ley de Protección de Datos Personales en Posesión de Sujetos Obligados del Estado de México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y Municipios </w:t>
      </w:r>
      <w:r>
        <w:rPr>
          <w:rFonts w:ascii="Palatino Linotype" w:eastAsia="Palatino Linotype" w:hAnsi="Palatino Linotype" w:cs="Palatino Linotype"/>
        </w:rPr>
        <w:t xml:space="preserve">otorga a los titulares el derecho para elegir el medio por el cual accedan a sus datos personales, es importante reiterar que en este caso el ejercicio del derecho de acceso a los datos personales no es absoluto, toda vez que al contener datos personales de terceros o que se trate de procedimientos en trámite, se tendría que aplicar la restricción legal al derecho, clasificando parcial o totalmente los dato contenidos en los expedientes, que no correspondan al solicitante o que por la etapa procesal en que se encuentran no sea posible darlos a conocer. </w:t>
      </w:r>
    </w:p>
    <w:p w14:paraId="314B05DF" w14:textId="77777777" w:rsidR="00166B94" w:rsidRDefault="00166B94">
      <w:pPr>
        <w:pBdr>
          <w:top w:val="nil"/>
          <w:left w:val="nil"/>
          <w:bottom w:val="nil"/>
          <w:right w:val="nil"/>
          <w:between w:val="nil"/>
        </w:pBdr>
        <w:spacing w:line="360" w:lineRule="auto"/>
        <w:jc w:val="both"/>
        <w:rPr>
          <w:rFonts w:ascii="Palatino Linotype" w:eastAsia="Palatino Linotype" w:hAnsi="Palatino Linotype" w:cs="Palatino Linotype"/>
        </w:rPr>
      </w:pPr>
    </w:p>
    <w:p w14:paraId="262CFCAD" w14:textId="77777777" w:rsidR="00166B94" w:rsidRDefault="00EF73F2">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atendiendo lo dispuesto por el artículo 114 de la </w:t>
      </w:r>
      <w:r>
        <w:rPr>
          <w:rFonts w:ascii="Palatino Linotype" w:eastAsia="Palatino Linotype" w:hAnsi="Palatino Linotype" w:cs="Palatino Linotype"/>
          <w:b/>
        </w:rPr>
        <w:t>Ley de Protección de Datos Personales en Posesión de Sujetos Obligados del Estado de México</w:t>
      </w:r>
      <w:r>
        <w:rPr>
          <w:rFonts w:ascii="Palatino Linotype" w:eastAsia="Palatino Linotype" w:hAnsi="Palatino Linotype" w:cs="Palatino Linotype"/>
        </w:rPr>
        <w:t xml:space="preserve"> </w:t>
      </w:r>
      <w:r>
        <w:rPr>
          <w:rFonts w:ascii="Palatino Linotype" w:eastAsia="Palatino Linotype" w:hAnsi="Palatino Linotype" w:cs="Palatino Linotype"/>
          <w:b/>
        </w:rPr>
        <w:t>y Municipios</w:t>
      </w:r>
      <w:r>
        <w:rPr>
          <w:rFonts w:ascii="Palatino Linotype" w:eastAsia="Palatino Linotype" w:hAnsi="Palatino Linotype" w:cs="Palatino Linotype"/>
        </w:rPr>
        <w:t xml:space="preserve"> y toda vez que la documentación a la que el solicitante pretende acceder </w:t>
      </w:r>
      <w:r>
        <w:rPr>
          <w:rFonts w:ascii="Palatino Linotype" w:eastAsia="Palatino Linotype" w:hAnsi="Palatino Linotype" w:cs="Palatino Linotype"/>
        </w:rPr>
        <w:lastRenderedPageBreak/>
        <w:t xml:space="preserve">no implica que se tengan que realizar cálculos o el procesamiento a los datos personales, supuesto de única excepción establecido por la Ley en la materia para obtener la información a través del ejercicio del derecho de acceso a datos, en el caso particular se advierte que el particular pretende obtener del responsable los datos personales en la manera en la que obren en sus archivos y en el estado en que se encuentren. </w:t>
      </w:r>
    </w:p>
    <w:p w14:paraId="26E64953" w14:textId="77777777" w:rsidR="00166B94" w:rsidRDefault="00166B94">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6B97ABC6" w14:textId="77777777" w:rsidR="00166B94" w:rsidRDefault="00EF73F2">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tanto, con base en lo anteriormente expuesto,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deberá observar lo siguiente: </w:t>
      </w:r>
    </w:p>
    <w:p w14:paraId="34A5B4BB" w14:textId="77777777" w:rsidR="00166B94" w:rsidRDefault="00166B94">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54132FB1" w14:textId="77777777" w:rsidR="00166B94" w:rsidRDefault="00EF73F2">
      <w:pPr>
        <w:numPr>
          <w:ilvl w:val="0"/>
          <w:numId w:val="1"/>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caso de se encuentren concluidos los expedientes</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color w:val="000000"/>
        </w:rPr>
        <w:t>SAE/72/2016 y SAE/330/2020</w:t>
      </w:r>
      <w:r>
        <w:rPr>
          <w:rFonts w:ascii="Palatino Linotype" w:eastAsia="Palatino Linotype" w:hAnsi="Palatino Linotype" w:cs="Palatino Linotype"/>
          <w:color w:val="000000"/>
        </w:rPr>
        <w:t xml:space="preserve"> se deberá otorgar el acceso a las documentales que los integran, de ser el caso, en versión pública; </w:t>
      </w:r>
    </w:p>
    <w:p w14:paraId="7F197742" w14:textId="77777777" w:rsidR="00166B94" w:rsidRDefault="00EF73F2">
      <w:pPr>
        <w:numPr>
          <w:ilvl w:val="0"/>
          <w:numId w:val="1"/>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Para el caso, de que los expedientes </w:t>
      </w:r>
      <w:r>
        <w:rPr>
          <w:rFonts w:ascii="Palatino Linotype" w:eastAsia="Palatino Linotype" w:hAnsi="Palatino Linotype" w:cs="Palatino Linotype"/>
          <w:b/>
          <w:color w:val="000000"/>
        </w:rPr>
        <w:t xml:space="preserve">SAE/72/2016 y SAE/330/2020 </w:t>
      </w:r>
      <w:r>
        <w:rPr>
          <w:rFonts w:ascii="Palatino Linotype" w:eastAsia="Palatino Linotype" w:hAnsi="Palatino Linotype" w:cs="Palatino Linotype"/>
          <w:color w:val="000000"/>
        </w:rPr>
        <w:t xml:space="preserve">se encuentren el trámite,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deberá otorgar acceso </w:t>
      </w:r>
      <w:r>
        <w:rPr>
          <w:rFonts w:ascii="Palatino Linotype" w:eastAsia="Palatino Linotype" w:hAnsi="Palatino Linotype" w:cs="Palatino Linotype"/>
        </w:rPr>
        <w:t xml:space="preserve">de ser el caso en versión pública </w:t>
      </w:r>
      <w:r>
        <w:rPr>
          <w:rFonts w:ascii="Palatino Linotype" w:eastAsia="Palatino Linotype" w:hAnsi="Palatino Linotype" w:cs="Palatino Linotype"/>
          <w:color w:val="000000"/>
        </w:rPr>
        <w:t xml:space="preserve">a las documentales en que obren los datos personales del </w:t>
      </w:r>
      <w:r>
        <w:rPr>
          <w:rFonts w:ascii="Palatino Linotype" w:eastAsia="Palatino Linotype" w:hAnsi="Palatino Linotype" w:cs="Palatino Linotype"/>
          <w:b/>
          <w:color w:val="000000"/>
        </w:rPr>
        <w:t>RECURRENTE</w:t>
      </w:r>
      <w:r>
        <w:rPr>
          <w:rFonts w:ascii="Palatino Linotype" w:eastAsia="Palatino Linotype" w:hAnsi="Palatino Linotype" w:cs="Palatino Linotype"/>
          <w:b/>
        </w:rPr>
        <w:t>.</w:t>
      </w:r>
    </w:p>
    <w:p w14:paraId="0F0116A4" w14:textId="77777777" w:rsidR="00166B94" w:rsidRDefault="00166B94">
      <w:pPr>
        <w:pBdr>
          <w:top w:val="nil"/>
          <w:left w:val="nil"/>
          <w:bottom w:val="nil"/>
          <w:right w:val="nil"/>
          <w:between w:val="nil"/>
        </w:pBdr>
        <w:spacing w:line="360" w:lineRule="auto"/>
        <w:ind w:left="720" w:right="-93"/>
        <w:jc w:val="both"/>
        <w:rPr>
          <w:rFonts w:ascii="Palatino Linotype" w:eastAsia="Palatino Linotype" w:hAnsi="Palatino Linotype" w:cs="Palatino Linotype"/>
        </w:rPr>
      </w:pPr>
    </w:p>
    <w:p w14:paraId="37CE4834" w14:textId="77777777" w:rsidR="00166B94" w:rsidRDefault="00EF73F2">
      <w:pPr>
        <w:spacing w:before="240" w:after="240" w:line="360" w:lineRule="auto"/>
        <w:ind w:left="72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7FB4B653" w14:textId="77777777" w:rsidR="00166B94" w:rsidRDefault="00166B94">
      <w:pPr>
        <w:pBdr>
          <w:top w:val="nil"/>
          <w:left w:val="nil"/>
          <w:bottom w:val="nil"/>
          <w:right w:val="nil"/>
          <w:between w:val="nil"/>
        </w:pBdr>
        <w:spacing w:line="360" w:lineRule="auto"/>
        <w:ind w:left="720" w:right="-93"/>
        <w:jc w:val="both"/>
        <w:rPr>
          <w:rFonts w:ascii="Palatino Linotype" w:eastAsia="Palatino Linotype" w:hAnsi="Palatino Linotype" w:cs="Palatino Linotype"/>
        </w:rPr>
      </w:pPr>
    </w:p>
    <w:p w14:paraId="52C37A46" w14:textId="77777777" w:rsidR="00166B94" w:rsidRDefault="00166B94">
      <w:pPr>
        <w:widowControl w:val="0"/>
        <w:pBdr>
          <w:top w:val="nil"/>
          <w:left w:val="nil"/>
          <w:bottom w:val="nil"/>
          <w:right w:val="nil"/>
          <w:between w:val="nil"/>
        </w:pBdr>
        <w:spacing w:line="360" w:lineRule="auto"/>
        <w:ind w:left="720" w:right="49"/>
        <w:jc w:val="both"/>
        <w:rPr>
          <w:rFonts w:ascii="Palatino Linotype" w:eastAsia="Palatino Linotype" w:hAnsi="Palatino Linotype" w:cs="Palatino Linotype"/>
          <w:color w:val="000000"/>
        </w:rPr>
      </w:pPr>
    </w:p>
    <w:p w14:paraId="3036AD77" w14:textId="77777777" w:rsidR="00166B94" w:rsidRPr="00284825" w:rsidRDefault="00EF73F2">
      <w:pPr>
        <w:numPr>
          <w:ilvl w:val="0"/>
          <w:numId w:val="1"/>
        </w:numPr>
        <w:pBdr>
          <w:top w:val="nil"/>
          <w:left w:val="nil"/>
          <w:bottom w:val="nil"/>
          <w:right w:val="nil"/>
          <w:between w:val="nil"/>
        </w:pBdr>
        <w:spacing w:line="360" w:lineRule="auto"/>
        <w:ind w:right="-93"/>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Para el caso de que el particular requiera la información de forma íntegra sin importar el estado procesal en el que se encuentre, resulta procedente su entrega </w:t>
      </w:r>
      <w:r>
        <w:rPr>
          <w:rFonts w:ascii="Palatino Linotype" w:eastAsia="Palatino Linotype" w:hAnsi="Palatino Linotype" w:cs="Palatino Linotype"/>
          <w:b/>
          <w:color w:val="000000"/>
        </w:rPr>
        <w:t xml:space="preserve">a través del procedimiento que el SUJETO OBLIGADO </w:t>
      </w:r>
      <w:r>
        <w:rPr>
          <w:rFonts w:ascii="Palatino Linotype" w:eastAsia="Palatino Linotype" w:hAnsi="Palatino Linotype" w:cs="Palatino Linotype"/>
          <w:color w:val="000000"/>
        </w:rPr>
        <w:t>refirió en respuesta a la solicitud de acceso a datos personales.</w:t>
      </w:r>
    </w:p>
    <w:p w14:paraId="3CA9867F" w14:textId="77777777" w:rsidR="00284825" w:rsidRDefault="00284825" w:rsidP="00284825">
      <w:pPr>
        <w:numPr>
          <w:ilvl w:val="0"/>
          <w:numId w:val="1"/>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sidRPr="00284825">
        <w:rPr>
          <w:rFonts w:ascii="Palatino Linotype" w:eastAsia="Palatino Linotype" w:hAnsi="Palatino Linotype" w:cs="Palatino Linotype"/>
          <w:color w:val="000000"/>
        </w:rPr>
        <w:t xml:space="preserve">Para el caso, de que el solicitante no sea parte en los expedientes </w:t>
      </w:r>
      <w:r w:rsidRPr="00284825">
        <w:rPr>
          <w:rFonts w:ascii="Palatino Linotype" w:eastAsia="Palatino Linotype" w:hAnsi="Palatino Linotype" w:cs="Palatino Linotype"/>
          <w:b/>
          <w:color w:val="000000"/>
        </w:rPr>
        <w:t>SAE/72/2016 y SAE/330/2020</w:t>
      </w:r>
      <w:r w:rsidRPr="00284825">
        <w:rPr>
          <w:rFonts w:ascii="Palatino Linotype" w:eastAsia="Palatino Linotype" w:hAnsi="Palatino Linotype" w:cs="Palatino Linotype"/>
          <w:color w:val="000000"/>
        </w:rPr>
        <w:t xml:space="preserve"> y estos se encuentren en trámite, el </w:t>
      </w:r>
      <w:r w:rsidRPr="00284825">
        <w:rPr>
          <w:rFonts w:ascii="Palatino Linotype" w:eastAsia="Palatino Linotype" w:hAnsi="Palatino Linotype" w:cs="Palatino Linotype"/>
          <w:b/>
          <w:color w:val="000000"/>
        </w:rPr>
        <w:t>SUJETO OBLIGADO</w:t>
      </w:r>
      <w:r w:rsidRPr="00284825">
        <w:rPr>
          <w:rFonts w:ascii="Palatino Linotype" w:eastAsia="Palatino Linotype" w:hAnsi="Palatino Linotype" w:cs="Palatino Linotype"/>
          <w:color w:val="000000"/>
        </w:rPr>
        <w:t xml:space="preserve"> deberá clasificarlos en su totalidad.</w:t>
      </w:r>
    </w:p>
    <w:p w14:paraId="4E998EED" w14:textId="77777777" w:rsidR="00166B94" w:rsidRDefault="00166B94">
      <w:pPr>
        <w:pBdr>
          <w:top w:val="nil"/>
          <w:left w:val="nil"/>
          <w:bottom w:val="nil"/>
          <w:right w:val="nil"/>
          <w:between w:val="nil"/>
        </w:pBdr>
        <w:spacing w:line="360" w:lineRule="auto"/>
        <w:jc w:val="both"/>
        <w:rPr>
          <w:rFonts w:ascii="Palatino Linotype" w:eastAsia="Palatino Linotype" w:hAnsi="Palatino Linotype" w:cs="Palatino Linotype"/>
        </w:rPr>
      </w:pPr>
    </w:p>
    <w:p w14:paraId="740CFD4D" w14:textId="77777777" w:rsidR="00166B94" w:rsidRDefault="00EF73F2">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De la acreditación de identidad del solicitante</w:t>
      </w:r>
    </w:p>
    <w:p w14:paraId="315E5FB2" w14:textId="77777777" w:rsidR="00166B94" w:rsidRDefault="00166B94">
      <w:pPr>
        <w:spacing w:after="240" w:line="360" w:lineRule="auto"/>
        <w:jc w:val="both"/>
        <w:rPr>
          <w:rFonts w:ascii="Palatino Linotype" w:eastAsia="Palatino Linotype" w:hAnsi="Palatino Linotype" w:cs="Palatino Linotype"/>
        </w:rPr>
      </w:pPr>
    </w:p>
    <w:p w14:paraId="0C89F8B9" w14:textId="77777777" w:rsidR="00166B94" w:rsidRDefault="00EF73F2">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así como la Constitución Federal y la Ley de la materia otorgan a los particulares el derecho de acceder a los documentos generados o en posesión de los Sujetos Obligado que contengan sus datos personales, sin embargo, el artículo 97 de la Ley de Protección de Datos Personales en Posesión de Sujetos Obligados del Estado de México y Municipios establece:</w:t>
      </w:r>
    </w:p>
    <w:p w14:paraId="24178882" w14:textId="77777777" w:rsidR="00166B94" w:rsidRDefault="00EF73F2">
      <w:pPr>
        <w:widowControl w:val="0"/>
        <w:pBdr>
          <w:top w:val="nil"/>
          <w:left w:val="nil"/>
          <w:bottom w:val="nil"/>
          <w:right w:val="nil"/>
          <w:between w:val="nil"/>
        </w:pBdr>
        <w:spacing w:before="240" w:line="276" w:lineRule="auto"/>
        <w:ind w:left="851" w:right="616"/>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xml:space="preserve">“Artículo 97. Los derechos de acceso, rectificación, cancelación y oposición de datos personales son derechos independientes. El ejercicio de cualquiera de ellos no es requisito previo no impide el ejercicio de otro. </w:t>
      </w:r>
      <w:r>
        <w:rPr>
          <w:rFonts w:ascii="Palatino Linotype" w:eastAsia="Palatino Linotype" w:hAnsi="Palatino Linotype" w:cs="Palatino Linotype"/>
          <w:b/>
          <w:i/>
          <w:color w:val="000000"/>
          <w:sz w:val="22"/>
          <w:szCs w:val="22"/>
        </w:rPr>
        <w:t>La procedencia de estos derechos, en su caso, se hará efectiva una vez que el titular o su representante legal acrediten su identidad o representación, respectivamente.</w:t>
      </w:r>
    </w:p>
    <w:p w14:paraId="35DC98A7" w14:textId="77777777" w:rsidR="00166B94" w:rsidRDefault="00EF73F2">
      <w:pPr>
        <w:widowControl w:val="0"/>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t>En ningún caso el acceso a los datos personales de un titular podrá afectar los derechos y libertades de otros.</w:t>
      </w:r>
    </w:p>
    <w:p w14:paraId="6AD905B3" w14:textId="77777777" w:rsidR="00166B94" w:rsidRDefault="00EF73F2">
      <w:pPr>
        <w:widowControl w:val="0"/>
        <w:pBdr>
          <w:top w:val="nil"/>
          <w:left w:val="nil"/>
          <w:bottom w:val="nil"/>
          <w:right w:val="nil"/>
          <w:between w:val="nil"/>
        </w:pBdr>
        <w:spacing w:after="240" w:line="360" w:lineRule="auto"/>
        <w:ind w:left="720" w:right="474"/>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sz w:val="22"/>
          <w:szCs w:val="22"/>
        </w:rPr>
        <w:lastRenderedPageBreak/>
        <w:t>El ejercicio de cualquiera de los derechos ARCO, forma parte de las garantías primarias del derecho a la protección de datos personales.”</w:t>
      </w:r>
    </w:p>
    <w:p w14:paraId="22BC855C" w14:textId="77777777" w:rsidR="00166B94" w:rsidRDefault="00EF73F2">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 bien es cierto, el rubro de la identificación previa, el particular lo colmó como un requisito desde la solicitud de acceso a datos al adjuntar su cédula profesional, lo que encuentra sustento en el artículo 110 de la Ley de la materia, que puntualmente establece que para el ejercicio de derechos ARCO, se deberá contener entre otros requisitos los documentos que acrediten la identidad del titular y en su caso, la personalidad e identidad de su representante; también lo es, que el otorgamiento del acceso a datos personales, </w:t>
      </w:r>
      <w:r>
        <w:rPr>
          <w:rFonts w:ascii="Palatino Linotype" w:eastAsia="Palatino Linotype" w:hAnsi="Palatino Linotype" w:cs="Palatino Linotype"/>
          <w:b/>
        </w:rPr>
        <w:t>independientemente de la modalidad elegida, requiere de una entrega en forma física y directa</w:t>
      </w:r>
      <w:r>
        <w:rPr>
          <w:rFonts w:ascii="Palatino Linotype" w:eastAsia="Palatino Linotype" w:hAnsi="Palatino Linotype" w:cs="Palatino Linotype"/>
        </w:rPr>
        <w:t>, de conformidad con el artículo 118 de la Ley de la materia que es del tenor literal siguiente:</w:t>
      </w:r>
    </w:p>
    <w:p w14:paraId="3554F277" w14:textId="77777777" w:rsidR="00166B94" w:rsidRDefault="00166B94">
      <w:pPr>
        <w:spacing w:line="360" w:lineRule="auto"/>
        <w:ind w:left="426" w:right="49"/>
        <w:jc w:val="both"/>
        <w:rPr>
          <w:rFonts w:ascii="Palatino Linotype" w:eastAsia="Palatino Linotype" w:hAnsi="Palatino Linotype" w:cs="Palatino Linotype"/>
        </w:rPr>
      </w:pPr>
    </w:p>
    <w:p w14:paraId="16E6831E" w14:textId="77777777" w:rsidR="00166B94" w:rsidRDefault="00EF73F2">
      <w:pPr>
        <w:tabs>
          <w:tab w:val="left" w:pos="8222"/>
        </w:tabs>
        <w:spacing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“Cumplimiento de la atención de solicitudes ARCO</w:t>
      </w:r>
    </w:p>
    <w:p w14:paraId="2440DF1B" w14:textId="77777777" w:rsidR="00166B94" w:rsidRDefault="00EF73F2">
      <w:pPr>
        <w:tabs>
          <w:tab w:val="left" w:pos="8222"/>
        </w:tabs>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118. Las solicitudes de ejercicio de los derechos ARCO se darán por cumplidas a través de expedición de copias simples, copias certificadas, documentos en la modalidad que se hubiese solicitado</w:t>
      </w:r>
      <w:r>
        <w:rPr>
          <w:rFonts w:ascii="Palatino Linotype" w:eastAsia="Palatino Linotype" w:hAnsi="Palatino Linotype" w:cs="Palatino Linotype"/>
          <w:b/>
          <w:i/>
          <w:sz w:val="22"/>
          <w:szCs w:val="22"/>
        </w:rPr>
        <w:t>, previa acreditación de la identidad y personalidad del solicitante</w:t>
      </w:r>
      <w:r>
        <w:rPr>
          <w:rFonts w:ascii="Palatino Linotype" w:eastAsia="Palatino Linotype" w:hAnsi="Palatino Linotype" w:cs="Palatino Linotype"/>
          <w:i/>
          <w:sz w:val="22"/>
          <w:szCs w:val="22"/>
        </w:rPr>
        <w:t xml:space="preserve"> o en su caso, ante la notificación de improcedencia de su solicitud.</w:t>
      </w:r>
    </w:p>
    <w:p w14:paraId="67BBD40A" w14:textId="77777777" w:rsidR="00166B94" w:rsidRDefault="00EF73F2">
      <w:pPr>
        <w:tabs>
          <w:tab w:val="left" w:pos="8222"/>
        </w:tabs>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14:paraId="2BC27D8B" w14:textId="77777777" w:rsidR="00166B94" w:rsidRDefault="00EF73F2">
      <w:pPr>
        <w:tabs>
          <w:tab w:val="left" w:pos="8222"/>
        </w:tabs>
        <w:spacing w:line="276" w:lineRule="auto"/>
        <w:ind w:left="851" w:right="616"/>
        <w:jc w:val="both"/>
        <w:rPr>
          <w:rFonts w:ascii="Palatino Linotype" w:eastAsia="Palatino Linotype" w:hAnsi="Palatino Linotype" w:cs="Palatino Linotype"/>
        </w:rPr>
      </w:pPr>
      <w:r>
        <w:rPr>
          <w:rFonts w:ascii="Palatino Linotype" w:eastAsia="Palatino Linotype" w:hAnsi="Palatino Linotype" w:cs="Palatino Linotype"/>
        </w:rPr>
        <w:t>Énfasis añadido</w:t>
      </w:r>
    </w:p>
    <w:p w14:paraId="5F570547" w14:textId="77777777" w:rsidR="00166B94" w:rsidRDefault="00166B94">
      <w:pPr>
        <w:spacing w:line="360" w:lineRule="auto"/>
        <w:jc w:val="both"/>
        <w:rPr>
          <w:rFonts w:ascii="Palatino Linotype" w:eastAsia="Palatino Linotype" w:hAnsi="Palatino Linotype" w:cs="Palatino Linotype"/>
        </w:rPr>
      </w:pPr>
    </w:p>
    <w:p w14:paraId="28724F15" w14:textId="77777777" w:rsidR="00166B94" w:rsidRDefault="00EF73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anteriormente transcrito, se observa que la acreditación de la identidad para el ejercicio de los derechos ARCO, se realiza en dos etapas; es decir al momento de la presentación de la solicitud de acceso, donde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identifica que </w:t>
      </w:r>
      <w:r>
        <w:rPr>
          <w:rFonts w:ascii="Palatino Linotype" w:eastAsia="Palatino Linotype" w:hAnsi="Palatino Linotype" w:cs="Palatino Linotype"/>
        </w:rPr>
        <w:lastRenderedPageBreak/>
        <w:t>se cumplan con los requisitos establecidos en el artículo 110, y en una segunda instancia al momento de dar cumplimiento en la atención de la solicitud de derechos ARCO cuando así resulte procedente. Pues como se desprende del precepto jurídico antes citado, el titular de los datos debe acudir dentro de los sesenta días posteriores a la notificación de la respuesta para que previa acreditación de identidad se pongan a su disposición los datos de los cuales requirió su acceso.</w:t>
      </w:r>
    </w:p>
    <w:p w14:paraId="4450ADBF" w14:textId="77777777" w:rsidR="00166B94" w:rsidRDefault="00166B94">
      <w:pPr>
        <w:spacing w:line="360" w:lineRule="auto"/>
        <w:ind w:left="720" w:right="49"/>
        <w:jc w:val="both"/>
        <w:rPr>
          <w:rFonts w:ascii="Palatino Linotype" w:eastAsia="Palatino Linotype" w:hAnsi="Palatino Linotype" w:cs="Palatino Linotype"/>
        </w:rPr>
      </w:pPr>
    </w:p>
    <w:p w14:paraId="66265F69" w14:textId="77777777" w:rsidR="00166B94" w:rsidRDefault="00EF73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debe puntualizarse que ello surge como medida de seguridad con la finalidad de contar con la estricta certeza de que a quien se le otorga el acceso es efectivamente el titular de los datos. De ahí que se haya llamado a la conciliación por parte de este Órgano Garante, toda vez que así este Instituto contaría con plenos elementos de certeza, de que efectivamente el solicitante es el titular de los datos, pues de haber accedido el hoy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para acudir a la conciliación, evidentemente se acreditaría como el titular de los datos, y tanto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como este Instituto se habrían allegado de elementos que dieran convicción de lo hecho mención.</w:t>
      </w:r>
    </w:p>
    <w:p w14:paraId="692735FB" w14:textId="77777777" w:rsidR="00166B94" w:rsidRDefault="00166B94">
      <w:pPr>
        <w:spacing w:line="360" w:lineRule="auto"/>
        <w:jc w:val="both"/>
        <w:rPr>
          <w:rFonts w:ascii="Palatino Linotype" w:eastAsia="Palatino Linotype" w:hAnsi="Palatino Linotype" w:cs="Palatino Linotype"/>
        </w:rPr>
      </w:pPr>
    </w:p>
    <w:p w14:paraId="204EBB2C" w14:textId="77777777" w:rsidR="00166B94" w:rsidRDefault="00EF73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Ello en virtud de que si bien no se duda de la buena fe con la que los particulares ejercen sus derechos ARCO, cierto es que eventualmente puede actualizarse algún supuesto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información y datos personales a nombre de esa persona.</w:t>
      </w:r>
    </w:p>
    <w:p w14:paraId="076F4A6C" w14:textId="77777777" w:rsidR="00166B94" w:rsidRDefault="00166B94"/>
    <w:p w14:paraId="5386D6FE" w14:textId="77777777" w:rsidR="00166B94" w:rsidRDefault="00EF73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no basta con adjuntar una identificación vía SARCOEM, ya que es del dominio público,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De lo que adjuntar un archivo fotográfico o escaneado a una solicitud de acceso a datos, no basta para dar total acceso a cualquier dato personal que se requiera vía SARCOEM respecto de quien aparezca en la identificación que se adjunte. De ahí que se deba dar el debido resguardo y protección de los datos personales tanto por parte de los responsables de los sujetos obligados, como de este Instituto, ello así por propio mandato de ley.</w:t>
      </w:r>
    </w:p>
    <w:p w14:paraId="76F2AC3B" w14:textId="77777777" w:rsidR="00166B94" w:rsidRDefault="00166B94"/>
    <w:p w14:paraId="56C64B18" w14:textId="77777777" w:rsidR="00166B94" w:rsidRDefault="00EF73F2">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Sirve de apoyo a lo anterior por analogía el </w:t>
      </w:r>
      <w:r>
        <w:rPr>
          <w:rFonts w:ascii="Palatino Linotype" w:eastAsia="Palatino Linotype" w:hAnsi="Palatino Linotype" w:cs="Palatino Linotype"/>
          <w:b/>
        </w:rPr>
        <w:t>criterio 1/18</w:t>
      </w:r>
      <w:r>
        <w:rPr>
          <w:rFonts w:ascii="Palatino Linotype" w:eastAsia="Palatino Linotype" w:hAnsi="Palatino Linotype" w:cs="Palatino Linotype"/>
        </w:rPr>
        <w:t xml:space="preserve"> emitido por el Instituto Nacional de Transparencia, Acceso a la Información y Protección de Datos Personales que es del tenor literal siguiente:</w:t>
      </w:r>
    </w:p>
    <w:p w14:paraId="103BB4B5" w14:textId="77777777" w:rsidR="00166B94" w:rsidRDefault="00EF73F2">
      <w:pPr>
        <w:pBdr>
          <w:top w:val="nil"/>
          <w:left w:val="nil"/>
          <w:bottom w:val="nil"/>
          <w:right w:val="nil"/>
          <w:between w:val="nil"/>
        </w:pBdr>
        <w:spacing w:line="276" w:lineRule="auto"/>
        <w:ind w:left="720" w:right="616"/>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Entrega de datos personales a través de medios electrónicos. </w:t>
      </w:r>
      <w:r>
        <w:rPr>
          <w:rFonts w:ascii="Palatino Linotype" w:eastAsia="Palatino Linotype" w:hAnsi="Palatino Linotype" w:cs="Palatino Linotype"/>
          <w:i/>
          <w:color w:val="000000"/>
        </w:rPr>
        <w:t>La entrega de datos personales a través del portal de la Plataforma Nacional de Transparencia, correo electrónico o cualquier otro medio similar resulta improcedente, sin que los sujetos obligados hayan corroborado previamente la identidad del titular.</w:t>
      </w:r>
    </w:p>
    <w:p w14:paraId="5D904730" w14:textId="77777777" w:rsidR="00166B94" w:rsidRDefault="00166B94">
      <w:pPr>
        <w:pBdr>
          <w:top w:val="nil"/>
          <w:left w:val="nil"/>
          <w:bottom w:val="nil"/>
          <w:right w:val="nil"/>
          <w:between w:val="nil"/>
        </w:pBdr>
        <w:spacing w:line="276" w:lineRule="auto"/>
        <w:ind w:left="720" w:right="616"/>
        <w:jc w:val="both"/>
        <w:rPr>
          <w:rFonts w:ascii="Palatino Linotype" w:eastAsia="Palatino Linotype" w:hAnsi="Palatino Linotype" w:cs="Palatino Linotype"/>
          <w:i/>
          <w:color w:val="000000"/>
        </w:rPr>
      </w:pPr>
    </w:p>
    <w:p w14:paraId="0307E890" w14:textId="77777777" w:rsidR="00166B94" w:rsidRDefault="00EF73F2">
      <w:pPr>
        <w:spacing w:line="276" w:lineRule="auto"/>
        <w:ind w:left="993" w:right="616"/>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Resoluciones:</w:t>
      </w:r>
    </w:p>
    <w:p w14:paraId="617193E8" w14:textId="77777777" w:rsidR="00166B94" w:rsidRDefault="00EF73F2">
      <w:pPr>
        <w:numPr>
          <w:ilvl w:val="0"/>
          <w:numId w:val="2"/>
        </w:numPr>
        <w:pBdr>
          <w:top w:val="nil"/>
          <w:left w:val="nil"/>
          <w:bottom w:val="nil"/>
          <w:right w:val="nil"/>
          <w:between w:val="nil"/>
        </w:pBdr>
        <w:spacing w:line="276" w:lineRule="auto"/>
        <w:ind w:left="993" w:right="616" w:hanging="283"/>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RRD 0015/17.</w:t>
      </w:r>
      <w:r>
        <w:rPr>
          <w:rFonts w:ascii="Palatino Linotype" w:eastAsia="Palatino Linotype" w:hAnsi="Palatino Linotype" w:cs="Palatino Linotype"/>
          <w:i/>
          <w:color w:val="000000"/>
          <w:sz w:val="20"/>
          <w:szCs w:val="20"/>
        </w:rPr>
        <w:t xml:space="preserve"> Instituto Mexicano del Seguro Social. 19 de abril de 2017. Por unanimidad. Comisionado Ponente Francisco Javier Acuña Llamas.</w:t>
      </w:r>
    </w:p>
    <w:p w14:paraId="5D4422F1" w14:textId="77777777" w:rsidR="00166B94" w:rsidRDefault="00EF73F2">
      <w:pPr>
        <w:numPr>
          <w:ilvl w:val="0"/>
          <w:numId w:val="2"/>
        </w:numPr>
        <w:pBdr>
          <w:top w:val="nil"/>
          <w:left w:val="nil"/>
          <w:bottom w:val="nil"/>
          <w:right w:val="nil"/>
          <w:between w:val="nil"/>
        </w:pBdr>
        <w:spacing w:line="276" w:lineRule="auto"/>
        <w:ind w:left="993" w:right="616" w:hanging="283"/>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RRD 0032/17.</w:t>
      </w:r>
      <w:r>
        <w:rPr>
          <w:rFonts w:ascii="Palatino Linotype" w:eastAsia="Palatino Linotype" w:hAnsi="Palatino Linotype" w:cs="Palatino Linotype"/>
          <w:i/>
          <w:color w:val="000000"/>
          <w:sz w:val="20"/>
          <w:szCs w:val="20"/>
        </w:rPr>
        <w:t xml:space="preserve"> Servicio de Administración Tributaria. 26 de abril del 2017. Por unanimidad. Comisionada Ponente María Patricia </w:t>
      </w:r>
      <w:proofErr w:type="spellStart"/>
      <w:r>
        <w:rPr>
          <w:rFonts w:ascii="Palatino Linotype" w:eastAsia="Palatino Linotype" w:hAnsi="Palatino Linotype" w:cs="Palatino Linotype"/>
          <w:i/>
          <w:color w:val="000000"/>
          <w:sz w:val="20"/>
          <w:szCs w:val="20"/>
        </w:rPr>
        <w:t>Kurczyn</w:t>
      </w:r>
      <w:proofErr w:type="spellEnd"/>
      <w:r>
        <w:rPr>
          <w:rFonts w:ascii="Palatino Linotype" w:eastAsia="Palatino Linotype" w:hAnsi="Palatino Linotype" w:cs="Palatino Linotype"/>
          <w:i/>
          <w:color w:val="000000"/>
          <w:sz w:val="20"/>
          <w:szCs w:val="20"/>
        </w:rPr>
        <w:t xml:space="preserve"> Villalobos.</w:t>
      </w:r>
    </w:p>
    <w:p w14:paraId="19FD6B78" w14:textId="77777777" w:rsidR="00166B94" w:rsidRDefault="00EF73F2">
      <w:pPr>
        <w:pBdr>
          <w:top w:val="nil"/>
          <w:left w:val="nil"/>
          <w:bottom w:val="nil"/>
          <w:right w:val="nil"/>
          <w:between w:val="nil"/>
        </w:pBdr>
        <w:spacing w:line="276" w:lineRule="auto"/>
        <w:ind w:left="993" w:right="616"/>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lastRenderedPageBreak/>
        <w:t>RRD 0053/17.</w:t>
      </w:r>
      <w:r>
        <w:rPr>
          <w:rFonts w:ascii="Palatino Linotype" w:eastAsia="Palatino Linotype" w:hAnsi="Palatino Linotype" w:cs="Palatino Linotype"/>
          <w:i/>
          <w:color w:val="000000"/>
          <w:sz w:val="20"/>
          <w:szCs w:val="20"/>
        </w:rPr>
        <w:t xml:space="preserve"> Instituto Mexicano del Seguro Social. 17 de mayo de 2017. Por unanimidad. Comisionada Ponente María Patricia </w:t>
      </w:r>
      <w:proofErr w:type="spellStart"/>
      <w:r>
        <w:rPr>
          <w:rFonts w:ascii="Palatino Linotype" w:eastAsia="Palatino Linotype" w:hAnsi="Palatino Linotype" w:cs="Palatino Linotype"/>
          <w:i/>
          <w:color w:val="000000"/>
          <w:sz w:val="20"/>
          <w:szCs w:val="20"/>
        </w:rPr>
        <w:t>Kurczyn</w:t>
      </w:r>
      <w:proofErr w:type="spellEnd"/>
      <w:r>
        <w:rPr>
          <w:rFonts w:ascii="Palatino Linotype" w:eastAsia="Palatino Linotype" w:hAnsi="Palatino Linotype" w:cs="Palatino Linotype"/>
          <w:i/>
          <w:color w:val="000000"/>
          <w:sz w:val="20"/>
          <w:szCs w:val="20"/>
        </w:rPr>
        <w:t xml:space="preserve"> Villalobos.</w:t>
      </w:r>
    </w:p>
    <w:p w14:paraId="2A108DFF" w14:textId="77777777" w:rsidR="00166B94" w:rsidRDefault="00166B94">
      <w:pPr>
        <w:pBdr>
          <w:top w:val="nil"/>
          <w:left w:val="nil"/>
          <w:bottom w:val="nil"/>
          <w:right w:val="nil"/>
          <w:between w:val="nil"/>
        </w:pBdr>
        <w:ind w:left="720"/>
        <w:rPr>
          <w:rFonts w:ascii="Palatino Linotype" w:eastAsia="Palatino Linotype" w:hAnsi="Palatino Linotype" w:cs="Palatino Linotype"/>
          <w:i/>
          <w:color w:val="000000"/>
        </w:rPr>
      </w:pPr>
    </w:p>
    <w:p w14:paraId="58243A57" w14:textId="77777777" w:rsidR="00166B94" w:rsidRDefault="00EF73F2">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consiguiente, este Organismo Garante considera dable ordenar entregar vía </w:t>
      </w:r>
      <w:r>
        <w:rPr>
          <w:rFonts w:ascii="Palatino Linotype" w:eastAsia="Palatino Linotype" w:hAnsi="Palatino Linotype" w:cs="Palatino Linotype"/>
          <w:b/>
        </w:rPr>
        <w:t xml:space="preserve">Sistema de Acceso, Rectificación, Cancelación y Oposición de Datos Personales del Estado de México </w:t>
      </w:r>
      <w:r>
        <w:rPr>
          <w:rFonts w:ascii="Palatino Linotype" w:eastAsia="Palatino Linotype" w:hAnsi="Palatino Linotype" w:cs="Palatino Linotype"/>
        </w:rPr>
        <w:t xml:space="preserve">(SARCOEM),  los expedientes SAE/72/2016 y SAE/330/2020 previa acreditación de su identidad. </w:t>
      </w:r>
    </w:p>
    <w:p w14:paraId="00DEF91F" w14:textId="77777777" w:rsidR="00166B94" w:rsidRDefault="00166B94">
      <w:pPr>
        <w:spacing w:line="360" w:lineRule="auto"/>
        <w:jc w:val="both"/>
        <w:rPr>
          <w:rFonts w:ascii="Palatino Linotype" w:eastAsia="Palatino Linotype" w:hAnsi="Palatino Linotype" w:cs="Palatino Linotype"/>
          <w:b/>
          <w:sz w:val="26"/>
          <w:szCs w:val="26"/>
        </w:rPr>
      </w:pPr>
    </w:p>
    <w:p w14:paraId="0507C1C1" w14:textId="77777777" w:rsidR="00166B94" w:rsidRDefault="00EF73F2">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Quinto. De la Versión Pública</w:t>
      </w:r>
    </w:p>
    <w:p w14:paraId="15A0B207" w14:textId="77777777" w:rsidR="00166B94" w:rsidRDefault="00166B94">
      <w:pPr>
        <w:spacing w:line="360" w:lineRule="auto"/>
        <w:jc w:val="both"/>
        <w:rPr>
          <w:rFonts w:ascii="Palatino Linotype" w:eastAsia="Palatino Linotype" w:hAnsi="Palatino Linotype" w:cs="Palatino Linotype"/>
          <w:b/>
          <w:sz w:val="26"/>
          <w:szCs w:val="26"/>
        </w:rPr>
      </w:pPr>
    </w:p>
    <w:p w14:paraId="50DA7C42" w14:textId="77777777" w:rsidR="00166B94" w:rsidRDefault="00EF73F2">
      <w:pPr>
        <w:tabs>
          <w:tab w:val="left" w:pos="709"/>
        </w:tabs>
        <w:spacing w:line="360" w:lineRule="auto"/>
        <w:ind w:right="51"/>
        <w:jc w:val="both"/>
        <w:rPr>
          <w:rFonts w:ascii="Palatino Linotype" w:eastAsia="Palatino Linotype" w:hAnsi="Palatino Linotype" w:cs="Palatino Linotype"/>
        </w:rPr>
      </w:pPr>
      <w:bookmarkStart w:id="8" w:name="_heading=h.4d34og8" w:colFirst="0" w:colLast="0"/>
      <w:bookmarkEnd w:id="8"/>
      <w:r>
        <w:rPr>
          <w:rFonts w:ascii="Palatino Linotype" w:eastAsia="Palatino Linotype" w:hAnsi="Palatino Linotype" w:cs="Palatino Linotype"/>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68DDD602" w14:textId="77777777" w:rsidR="00166B94" w:rsidRDefault="00166B94">
      <w:pPr>
        <w:tabs>
          <w:tab w:val="left" w:pos="709"/>
        </w:tabs>
        <w:spacing w:line="360" w:lineRule="auto"/>
        <w:ind w:right="51"/>
        <w:jc w:val="both"/>
        <w:rPr>
          <w:rFonts w:ascii="Palatino Linotype" w:eastAsia="Palatino Linotype" w:hAnsi="Palatino Linotype" w:cs="Palatino Linotype"/>
        </w:rPr>
      </w:pPr>
    </w:p>
    <w:p w14:paraId="2167FB92" w14:textId="77777777" w:rsidR="00166B94" w:rsidRDefault="00EF73F2">
      <w:pPr>
        <w:tabs>
          <w:tab w:val="left" w:pos="709"/>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w:t>
      </w:r>
      <w:r>
        <w:rPr>
          <w:rFonts w:ascii="Palatino Linotype" w:eastAsia="Palatino Linotype" w:hAnsi="Palatino Linotype" w:cs="Palatino Linotype"/>
        </w:rPr>
        <w:lastRenderedPageBreak/>
        <w:t>sean protegidos y únicamente se den a conocer aquéllos que abonen a la rendición de cuentas y a la transparencia en el ejercicio de las atribuciones que tienen conferidas.</w:t>
      </w:r>
    </w:p>
    <w:p w14:paraId="2D2AD8A5" w14:textId="77777777" w:rsidR="00166B94" w:rsidRDefault="00166B94">
      <w:pPr>
        <w:tabs>
          <w:tab w:val="left" w:pos="709"/>
        </w:tabs>
        <w:spacing w:line="360" w:lineRule="auto"/>
        <w:ind w:right="51"/>
        <w:jc w:val="both"/>
        <w:rPr>
          <w:rFonts w:ascii="Palatino Linotype" w:eastAsia="Palatino Linotype" w:hAnsi="Palatino Linotype" w:cs="Palatino Linotype"/>
        </w:rPr>
      </w:pPr>
    </w:p>
    <w:p w14:paraId="5FC60C27" w14:textId="77777777" w:rsidR="00166B94" w:rsidRDefault="00EF73F2">
      <w:pPr>
        <w:tabs>
          <w:tab w:val="left" w:pos="709"/>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4BCD28AE" w14:textId="77777777" w:rsidR="00166B94" w:rsidRDefault="00166B94">
      <w:pPr>
        <w:tabs>
          <w:tab w:val="left" w:pos="709"/>
        </w:tabs>
        <w:spacing w:line="360" w:lineRule="auto"/>
        <w:ind w:right="51"/>
        <w:jc w:val="both"/>
        <w:rPr>
          <w:rFonts w:ascii="Palatino Linotype" w:eastAsia="Palatino Linotype" w:hAnsi="Palatino Linotype" w:cs="Palatino Linotype"/>
        </w:rPr>
      </w:pPr>
    </w:p>
    <w:p w14:paraId="189E865C" w14:textId="77777777" w:rsidR="00166B94" w:rsidRDefault="00EF73F2">
      <w:pPr>
        <w:tabs>
          <w:tab w:val="left" w:pos="709"/>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en el supuesto de que en la información que le sea remitida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contenga datos que puedan ser susceptibles de clasificarse, el sujeto obligado deberá de remitir su acuerdo de clasificación debidamente fundado y motivado, emitido por el comité de transparencia, en términos del marco normativo aplicable.</w:t>
      </w:r>
    </w:p>
    <w:p w14:paraId="14954786" w14:textId="77777777" w:rsidR="00166B94" w:rsidRDefault="00166B94">
      <w:pPr>
        <w:spacing w:line="360" w:lineRule="auto"/>
        <w:jc w:val="both"/>
        <w:rPr>
          <w:rFonts w:ascii="Palatino Linotype" w:eastAsia="Palatino Linotype" w:hAnsi="Palatino Linotype" w:cs="Palatino Linotype"/>
        </w:rPr>
      </w:pPr>
    </w:p>
    <w:p w14:paraId="3DE599D3" w14:textId="77777777" w:rsidR="00166B94" w:rsidRDefault="00EF73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consecuencia, con fundamento en lo prescrito en los artículos 5 párrafos trigésimo, trigésimo primero y trigésimo segundo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2C4B0BB2" w14:textId="77777777" w:rsidR="00166B94" w:rsidRDefault="00166B94">
      <w:pPr>
        <w:spacing w:before="240" w:line="360" w:lineRule="auto"/>
        <w:ind w:left="360"/>
        <w:jc w:val="center"/>
        <w:rPr>
          <w:rFonts w:ascii="Palatino Linotype" w:eastAsia="Palatino Linotype" w:hAnsi="Palatino Linotype" w:cs="Palatino Linotype"/>
          <w:b/>
        </w:rPr>
      </w:pPr>
    </w:p>
    <w:p w14:paraId="560C6F8C" w14:textId="77777777" w:rsidR="00166B94" w:rsidRDefault="00166B94">
      <w:pPr>
        <w:spacing w:before="240" w:line="360" w:lineRule="auto"/>
        <w:ind w:left="360"/>
        <w:jc w:val="center"/>
        <w:rPr>
          <w:rFonts w:ascii="Palatino Linotype" w:eastAsia="Palatino Linotype" w:hAnsi="Palatino Linotype" w:cs="Palatino Linotype"/>
          <w:b/>
        </w:rPr>
      </w:pPr>
    </w:p>
    <w:p w14:paraId="36203D6E" w14:textId="77777777" w:rsidR="00166B94" w:rsidRDefault="00EF73F2">
      <w:pPr>
        <w:spacing w:before="240" w:line="360" w:lineRule="auto"/>
        <w:ind w:left="360"/>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0DE16A33" w14:textId="77777777" w:rsidR="00166B94" w:rsidRDefault="00EF73F2">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Se </w:t>
      </w:r>
      <w:r>
        <w:rPr>
          <w:rFonts w:ascii="Palatino Linotype" w:eastAsia="Palatino Linotype" w:hAnsi="Palatino Linotype" w:cs="Palatino Linotype"/>
          <w:b/>
        </w:rPr>
        <w:t>MODIFICA</w:t>
      </w:r>
      <w:r>
        <w:rPr>
          <w:rFonts w:ascii="Palatino Linotype" w:eastAsia="Palatino Linotype" w:hAnsi="Palatino Linotype" w:cs="Palatino Linotype"/>
        </w:rPr>
        <w:t xml:space="preserve"> la respuesta entregada por el </w:t>
      </w:r>
      <w:r>
        <w:rPr>
          <w:rFonts w:ascii="Palatino Linotype" w:eastAsia="Palatino Linotype" w:hAnsi="Palatino Linotype" w:cs="Palatino Linotype"/>
          <w:b/>
        </w:rPr>
        <w:t>Tribunal Estatal de Conciliación y Arbitraje</w:t>
      </w:r>
      <w:r>
        <w:rPr>
          <w:rFonts w:ascii="Palatino Linotype" w:eastAsia="Palatino Linotype" w:hAnsi="Palatino Linotype" w:cs="Palatino Linotype"/>
        </w:rPr>
        <w:t xml:space="preserve"> por resultar parcialmente fundadas las razones o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06364/INFOEM/AD/RR/2021</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 </w:t>
      </w:r>
    </w:p>
    <w:p w14:paraId="1BB3D3B6" w14:textId="77777777" w:rsidR="00166B94" w:rsidRDefault="00166B94">
      <w:pPr>
        <w:spacing w:line="360" w:lineRule="auto"/>
        <w:ind w:right="-93"/>
        <w:jc w:val="both"/>
        <w:rPr>
          <w:rFonts w:ascii="Palatino Linotype" w:eastAsia="Palatino Linotype" w:hAnsi="Palatino Linotype" w:cs="Palatino Linotype"/>
        </w:rPr>
      </w:pPr>
    </w:p>
    <w:p w14:paraId="5CCDB4E6" w14:textId="77777777" w:rsidR="00166B94" w:rsidRDefault="00EF73F2">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Tribunal Estatal de Conciliación y Arbitraje</w:t>
      </w:r>
      <w:r>
        <w:rPr>
          <w:rFonts w:ascii="Palatino Linotype" w:eastAsia="Palatino Linotype" w:hAnsi="Palatino Linotype" w:cs="Palatino Linotype"/>
        </w:rPr>
        <w:t xml:space="preserve">, a efecto de que previa acreditación de su identidad, y se verifique que sea parte en los expedientes de referencia, se entregue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versión digital, a través del Sistema de Acceso, Rectificación, Cancelación y Oposición de Datos Personales del Estado de México, lo siguiente: </w:t>
      </w:r>
    </w:p>
    <w:p w14:paraId="5AA1B5D8" w14:textId="77777777" w:rsidR="00166B94" w:rsidRDefault="00166B94">
      <w:pPr>
        <w:spacing w:line="360" w:lineRule="auto"/>
        <w:ind w:right="-93"/>
        <w:jc w:val="both"/>
        <w:rPr>
          <w:rFonts w:ascii="Palatino Linotype" w:eastAsia="Palatino Linotype" w:hAnsi="Palatino Linotype" w:cs="Palatino Linotype"/>
        </w:rPr>
      </w:pPr>
    </w:p>
    <w:p w14:paraId="08C9F497" w14:textId="77777777" w:rsidR="00720DA9" w:rsidRPr="00284825" w:rsidRDefault="00EF73F2" w:rsidP="00720DA9">
      <w:pPr>
        <w:numPr>
          <w:ilvl w:val="0"/>
          <w:numId w:val="1"/>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caso de se encuentren concluidos los expedientes</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color w:val="000000"/>
        </w:rPr>
        <w:t>SAE/72/2016 y SAE/330/2020</w:t>
      </w:r>
      <w:r>
        <w:rPr>
          <w:rFonts w:ascii="Palatino Linotype" w:eastAsia="Palatino Linotype" w:hAnsi="Palatino Linotype" w:cs="Palatino Linotype"/>
          <w:color w:val="000000"/>
        </w:rPr>
        <w:t xml:space="preserve"> se deberá otorgar el acceso a las documentales que los integran, de ser el caso, en versión pública</w:t>
      </w:r>
      <w:r w:rsidR="00720DA9">
        <w:rPr>
          <w:rFonts w:ascii="Palatino Linotype" w:eastAsia="Palatino Linotype" w:hAnsi="Palatino Linotype" w:cs="Palatino Linotype"/>
          <w:color w:val="000000"/>
        </w:rPr>
        <w:t xml:space="preserve"> dejando visibles los datos personales del </w:t>
      </w:r>
      <w:r w:rsidR="00720DA9">
        <w:rPr>
          <w:rFonts w:ascii="Palatino Linotype" w:eastAsia="Palatino Linotype" w:hAnsi="Palatino Linotype" w:cs="Palatino Linotype"/>
          <w:b/>
          <w:color w:val="000000"/>
        </w:rPr>
        <w:t>RECURRENTE</w:t>
      </w:r>
      <w:r w:rsidR="00720DA9">
        <w:rPr>
          <w:rFonts w:ascii="Palatino Linotype" w:eastAsia="Palatino Linotype" w:hAnsi="Palatino Linotype" w:cs="Palatino Linotype"/>
          <w:b/>
        </w:rPr>
        <w:t>.</w:t>
      </w:r>
      <w:r w:rsidR="00720DA9">
        <w:rPr>
          <w:rFonts w:ascii="Palatino Linotype" w:eastAsia="Palatino Linotype" w:hAnsi="Palatino Linotype" w:cs="Palatino Linotype"/>
          <w:b/>
          <w:color w:val="000000"/>
        </w:rPr>
        <w:t xml:space="preserve"> </w:t>
      </w:r>
    </w:p>
    <w:p w14:paraId="46B90585" w14:textId="77777777" w:rsidR="00166B94" w:rsidRPr="00284825" w:rsidRDefault="00EF73F2">
      <w:pPr>
        <w:numPr>
          <w:ilvl w:val="0"/>
          <w:numId w:val="1"/>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Para el caso, de que los expedientes </w:t>
      </w:r>
      <w:r>
        <w:rPr>
          <w:rFonts w:ascii="Palatino Linotype" w:eastAsia="Palatino Linotype" w:hAnsi="Palatino Linotype" w:cs="Palatino Linotype"/>
          <w:b/>
          <w:color w:val="000000"/>
        </w:rPr>
        <w:t xml:space="preserve">SAE/72/2016 y SAE/330/2020 </w:t>
      </w:r>
      <w:r>
        <w:rPr>
          <w:rFonts w:ascii="Palatino Linotype" w:eastAsia="Palatino Linotype" w:hAnsi="Palatino Linotype" w:cs="Palatino Linotype"/>
          <w:color w:val="000000"/>
        </w:rPr>
        <w:t xml:space="preserve">se encuentren </w:t>
      </w:r>
      <w:r>
        <w:rPr>
          <w:rFonts w:ascii="Palatino Linotype" w:eastAsia="Palatino Linotype" w:hAnsi="Palatino Linotype" w:cs="Palatino Linotype"/>
        </w:rPr>
        <w:t>en trámite</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deberá otorgar acceso </w:t>
      </w:r>
      <w:r>
        <w:rPr>
          <w:rFonts w:ascii="Palatino Linotype" w:eastAsia="Palatino Linotype" w:hAnsi="Palatino Linotype" w:cs="Palatino Linotype"/>
        </w:rPr>
        <w:t>de ser el caso en versión pública</w:t>
      </w:r>
      <w:r>
        <w:rPr>
          <w:rFonts w:ascii="Palatino Linotype" w:eastAsia="Palatino Linotype" w:hAnsi="Palatino Linotype" w:cs="Palatino Linotype"/>
          <w:color w:val="000000"/>
        </w:rPr>
        <w:t xml:space="preserve"> a las documentales en las que obren los datos personales del </w:t>
      </w:r>
      <w:r>
        <w:rPr>
          <w:rFonts w:ascii="Palatino Linotype" w:eastAsia="Palatino Linotype" w:hAnsi="Palatino Linotype" w:cs="Palatino Linotype"/>
          <w:b/>
          <w:color w:val="000000"/>
        </w:rPr>
        <w:t>RECURRENTE</w:t>
      </w:r>
      <w:r>
        <w:rPr>
          <w:rFonts w:ascii="Palatino Linotype" w:eastAsia="Palatino Linotype" w:hAnsi="Palatino Linotype" w:cs="Palatino Linotype"/>
          <w:b/>
        </w:rPr>
        <w:t>.</w:t>
      </w:r>
      <w:r>
        <w:rPr>
          <w:rFonts w:ascii="Palatino Linotype" w:eastAsia="Palatino Linotype" w:hAnsi="Palatino Linotype" w:cs="Palatino Linotype"/>
          <w:b/>
          <w:color w:val="000000"/>
        </w:rPr>
        <w:t xml:space="preserve"> </w:t>
      </w:r>
    </w:p>
    <w:p w14:paraId="43158FCA" w14:textId="77777777" w:rsidR="00284825" w:rsidRDefault="00284825" w:rsidP="00284825">
      <w:pPr>
        <w:numPr>
          <w:ilvl w:val="0"/>
          <w:numId w:val="1"/>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sidRPr="00284825">
        <w:rPr>
          <w:rFonts w:ascii="Palatino Linotype" w:eastAsia="Palatino Linotype" w:hAnsi="Palatino Linotype" w:cs="Palatino Linotype"/>
          <w:color w:val="000000"/>
        </w:rPr>
        <w:lastRenderedPageBreak/>
        <w:t xml:space="preserve">Para el caso, de que el solicitante no sea parte en los expedientes </w:t>
      </w:r>
      <w:r w:rsidRPr="00284825">
        <w:rPr>
          <w:rFonts w:ascii="Palatino Linotype" w:eastAsia="Palatino Linotype" w:hAnsi="Palatino Linotype" w:cs="Palatino Linotype"/>
          <w:b/>
          <w:color w:val="000000"/>
        </w:rPr>
        <w:t>SAE/72/2016 y SAE/330/2020</w:t>
      </w:r>
      <w:r w:rsidRPr="00284825">
        <w:rPr>
          <w:rFonts w:ascii="Palatino Linotype" w:eastAsia="Palatino Linotype" w:hAnsi="Palatino Linotype" w:cs="Palatino Linotype"/>
          <w:color w:val="000000"/>
        </w:rPr>
        <w:t xml:space="preserve"> y estos se encuentren en trámite, el </w:t>
      </w:r>
      <w:r w:rsidRPr="00284825">
        <w:rPr>
          <w:rFonts w:ascii="Palatino Linotype" w:eastAsia="Palatino Linotype" w:hAnsi="Palatino Linotype" w:cs="Palatino Linotype"/>
          <w:b/>
          <w:color w:val="000000"/>
        </w:rPr>
        <w:t>SUJETO OBLIGADO</w:t>
      </w:r>
      <w:r w:rsidRPr="00284825">
        <w:rPr>
          <w:rFonts w:ascii="Palatino Linotype" w:eastAsia="Palatino Linotype" w:hAnsi="Palatino Linotype" w:cs="Palatino Linotype"/>
          <w:color w:val="000000"/>
        </w:rPr>
        <w:t xml:space="preserve"> deberá clasificarlos en su totalidad.</w:t>
      </w:r>
    </w:p>
    <w:p w14:paraId="2D3A155F" w14:textId="77777777" w:rsidR="00166B94" w:rsidRDefault="00EF73F2" w:rsidP="00AB5147">
      <w:pPr>
        <w:spacing w:before="240" w:after="240" w:line="276" w:lineRule="auto"/>
        <w:ind w:left="72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2852A0F3" w14:textId="77777777" w:rsidR="00166B94" w:rsidRDefault="00EF73F2">
      <w:pPr>
        <w:pBdr>
          <w:top w:val="nil"/>
          <w:left w:val="nil"/>
          <w:bottom w:val="nil"/>
          <w:right w:val="nil"/>
          <w:between w:val="nil"/>
        </w:pBdr>
        <w:spacing w:line="360" w:lineRule="auto"/>
        <w:ind w:left="720"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el supuesto que 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requiera la documentación </w:t>
      </w:r>
      <w:r>
        <w:rPr>
          <w:rFonts w:ascii="Palatino Linotype" w:eastAsia="Palatino Linotype" w:hAnsi="Palatino Linotype" w:cs="Palatino Linotype"/>
        </w:rPr>
        <w:t>íntegra</w:t>
      </w:r>
      <w:r>
        <w:rPr>
          <w:rFonts w:ascii="Palatino Linotype" w:eastAsia="Palatino Linotype" w:hAnsi="Palatino Linotype" w:cs="Palatino Linotype"/>
          <w:color w:val="000000"/>
        </w:rPr>
        <w:t xml:space="preserve"> del contenido de los expedientes </w:t>
      </w:r>
      <w:r>
        <w:rPr>
          <w:rFonts w:ascii="Palatino Linotype" w:eastAsia="Palatino Linotype" w:hAnsi="Palatino Linotype" w:cs="Palatino Linotype"/>
          <w:b/>
          <w:color w:val="000000"/>
        </w:rPr>
        <w:t xml:space="preserve">SAE/72/2016 y SAE/330/2020 </w:t>
      </w:r>
      <w:r>
        <w:rPr>
          <w:rFonts w:ascii="Palatino Linotype" w:eastAsia="Palatino Linotype" w:hAnsi="Palatino Linotype" w:cs="Palatino Linotype"/>
          <w:color w:val="000000"/>
        </w:rPr>
        <w:t xml:space="preserve">deberá observar el procedimiento señalado por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en respuesta a la solicitud de información. </w:t>
      </w:r>
    </w:p>
    <w:p w14:paraId="04F5500A" w14:textId="77777777" w:rsidR="00166B94" w:rsidRDefault="00166B94">
      <w:pPr>
        <w:pBdr>
          <w:top w:val="nil"/>
          <w:left w:val="nil"/>
          <w:bottom w:val="nil"/>
          <w:right w:val="nil"/>
          <w:between w:val="nil"/>
        </w:pBdr>
        <w:spacing w:line="276" w:lineRule="auto"/>
        <w:ind w:left="720" w:right="-93"/>
        <w:jc w:val="both"/>
        <w:rPr>
          <w:rFonts w:ascii="Palatino Linotype" w:eastAsia="Palatino Linotype" w:hAnsi="Palatino Linotype" w:cs="Palatino Linotype"/>
          <w:i/>
        </w:rPr>
      </w:pPr>
    </w:p>
    <w:p w14:paraId="520C473B" w14:textId="77777777" w:rsidR="00166B94" w:rsidRPr="00AB5147" w:rsidRDefault="00EF73F2" w:rsidP="00AB5147">
      <w:pPr>
        <w:pBdr>
          <w:top w:val="nil"/>
          <w:left w:val="nil"/>
          <w:bottom w:val="nil"/>
          <w:right w:val="nil"/>
          <w:between w:val="nil"/>
        </w:pBdr>
        <w:spacing w:line="276" w:lineRule="auto"/>
        <w:ind w:left="709" w:right="-93"/>
        <w:jc w:val="both"/>
        <w:rPr>
          <w:rFonts w:ascii="Palatino Linotype" w:eastAsia="Palatino Linotype" w:hAnsi="Palatino Linotype" w:cs="Palatino Linotype"/>
          <w:i/>
          <w:sz w:val="22"/>
          <w:szCs w:val="22"/>
        </w:rPr>
      </w:pPr>
      <w:r w:rsidRPr="00AB5147">
        <w:rPr>
          <w:rFonts w:ascii="Palatino Linotype" w:eastAsia="Palatino Linotype" w:hAnsi="Palatino Linotype" w:cs="Palatino Linotype"/>
          <w:i/>
          <w:sz w:val="22"/>
          <w:szCs w:val="22"/>
        </w:rPr>
        <w:t>Para la acreditación de la identidad y entrega de la información, la Unidad de Transparencia deberá indicar al Recurrente, a través del SARCOEM el domicilio, los días y horarios de atención, así como el nombre del servidor público que le atenderá.</w:t>
      </w:r>
    </w:p>
    <w:p w14:paraId="3C1573BB" w14:textId="77777777" w:rsidR="00166B94" w:rsidRPr="00AB5147" w:rsidRDefault="00166B94">
      <w:pPr>
        <w:pBdr>
          <w:top w:val="nil"/>
          <w:left w:val="nil"/>
          <w:bottom w:val="nil"/>
          <w:right w:val="nil"/>
          <w:between w:val="nil"/>
        </w:pBdr>
        <w:spacing w:line="360" w:lineRule="auto"/>
        <w:ind w:left="720" w:right="-93"/>
        <w:jc w:val="both"/>
        <w:rPr>
          <w:rFonts w:ascii="Palatino Linotype" w:eastAsia="Palatino Linotype" w:hAnsi="Palatino Linotype" w:cs="Palatino Linotype"/>
          <w:i/>
          <w:sz w:val="22"/>
          <w:szCs w:val="22"/>
        </w:rPr>
      </w:pPr>
    </w:p>
    <w:p w14:paraId="1E05A9D9" w14:textId="77777777" w:rsidR="00166B94" w:rsidRDefault="00EF73F2">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la presente resolución a través del Sistema de Acceso, Rectificación, Cancelación y Oposición del Estado de México y Municipios (SARCOEM)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w:t>
      </w:r>
    </w:p>
    <w:p w14:paraId="5A51A64C" w14:textId="77777777" w:rsidR="00166B94" w:rsidRDefault="00166B94">
      <w:pPr>
        <w:spacing w:line="360" w:lineRule="auto"/>
        <w:ind w:right="-93"/>
        <w:jc w:val="both"/>
        <w:rPr>
          <w:rFonts w:ascii="Palatino Linotype" w:eastAsia="Palatino Linotype" w:hAnsi="Palatino Linotype" w:cs="Palatino Linotype"/>
        </w:rPr>
      </w:pPr>
    </w:p>
    <w:p w14:paraId="0965A1DB" w14:textId="77777777" w:rsidR="00166B94" w:rsidRDefault="00EF73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conformidad con el artículo 198 de la Ley de Transparencia y Acceso a la Información Pública del Estado de México y Municipios de aplicación supletoria, de considerarlo procedente,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podrá, de manera fundada y motivada, solicitar una ampliación de plazo para el cumplimiento de la presente resolución.</w:t>
      </w:r>
    </w:p>
    <w:p w14:paraId="1AFF05C9" w14:textId="77777777" w:rsidR="00166B94" w:rsidRDefault="00166B94">
      <w:pPr>
        <w:spacing w:line="360" w:lineRule="auto"/>
        <w:ind w:right="-93"/>
        <w:jc w:val="both"/>
        <w:rPr>
          <w:rFonts w:ascii="Palatino Linotype" w:eastAsia="Palatino Linotype" w:hAnsi="Palatino Linotype" w:cs="Palatino Linotype"/>
        </w:rPr>
      </w:pPr>
    </w:p>
    <w:p w14:paraId="448D9E7A" w14:textId="77777777" w:rsidR="00166B94" w:rsidRDefault="00EF73F2">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 través del Sistema de Acceso, Rectificación, Cancelación y Oposición del Estado de México y Municipios (SARCOEM), se hace de su conocimiento que de conformidad con lo establecido en el artículo 142 de la Ley de Protección de Datos Personales en Posesión de Sujetos Obligados del Estado de México y Municipios podrá promover el Juicio de Amparo en los términos de las leyes aplicables.</w:t>
      </w:r>
    </w:p>
    <w:p w14:paraId="0805797A" w14:textId="77777777" w:rsidR="00166B94" w:rsidRDefault="00166B94">
      <w:pPr>
        <w:spacing w:line="360" w:lineRule="auto"/>
        <w:ind w:right="-93"/>
        <w:jc w:val="both"/>
        <w:rPr>
          <w:rFonts w:ascii="Palatino Linotype" w:eastAsia="Palatino Linotype" w:hAnsi="Palatino Linotype" w:cs="Palatino Linotype"/>
        </w:rPr>
      </w:pPr>
    </w:p>
    <w:p w14:paraId="5511F7EA" w14:textId="77777777" w:rsidR="00166B94" w:rsidRDefault="00EF73F2">
      <w:pPr>
        <w:spacing w:line="360" w:lineRule="auto"/>
        <w:jc w:val="both"/>
      </w:pPr>
      <w:bookmarkStart w:id="9" w:name="_heading=h.3dy6vkm" w:colFirst="0" w:colLast="0"/>
      <w:bookmarkEnd w:id="9"/>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377371">
        <w:rPr>
          <w:rFonts w:ascii="Palatino Linotype" w:eastAsia="Palatino Linotype" w:hAnsi="Palatino Linotype" w:cs="Palatino Linotype"/>
        </w:rPr>
        <w:t>CUARTA</w:t>
      </w:r>
      <w:r>
        <w:rPr>
          <w:rFonts w:ascii="Palatino Linotype" w:eastAsia="Palatino Linotype" w:hAnsi="Palatino Linotype" w:cs="Palatino Linotype"/>
        </w:rPr>
        <w:t xml:space="preserve"> SESIÓN ORDINARIA, CELEBRADA EL </w:t>
      </w:r>
      <w:r w:rsidR="00377371">
        <w:rPr>
          <w:rFonts w:ascii="Palatino Linotype" w:eastAsia="Palatino Linotype" w:hAnsi="Palatino Linotype" w:cs="Palatino Linotype"/>
        </w:rPr>
        <w:t>VEINTE</w:t>
      </w:r>
      <w:r>
        <w:rPr>
          <w:rFonts w:ascii="Palatino Linotype" w:eastAsia="Palatino Linotype" w:hAnsi="Palatino Linotype" w:cs="Palatino Linotype"/>
        </w:rPr>
        <w:t xml:space="preserve"> DE ABRIL DE DOS MIL VEINTIDÓS, ANTE EL SECRETARIO TÉCNICO DEL PLENO, ALEXIS TAPIA RAMÍREZ.</w:t>
      </w:r>
    </w:p>
    <w:p w14:paraId="2D60A77F" w14:textId="77777777" w:rsidR="00166B94" w:rsidRDefault="00166B94">
      <w:pPr>
        <w:spacing w:line="360" w:lineRule="auto"/>
      </w:pPr>
    </w:p>
    <w:p w14:paraId="700684A8" w14:textId="77777777" w:rsidR="00166B94" w:rsidRDefault="00166B94">
      <w:pPr>
        <w:spacing w:line="360" w:lineRule="auto"/>
      </w:pPr>
    </w:p>
    <w:p w14:paraId="451C12D9" w14:textId="77777777" w:rsidR="00166B94" w:rsidRDefault="00166B94">
      <w:pPr>
        <w:spacing w:line="360" w:lineRule="auto"/>
      </w:pPr>
    </w:p>
    <w:p w14:paraId="610BE55F" w14:textId="77777777" w:rsidR="00166B94" w:rsidRDefault="00166B94">
      <w:pPr>
        <w:spacing w:line="360" w:lineRule="auto"/>
      </w:pPr>
    </w:p>
    <w:p w14:paraId="206B65D9" w14:textId="72944A87" w:rsidR="00166B94" w:rsidRDefault="00166B94">
      <w:pPr>
        <w:spacing w:line="360" w:lineRule="auto"/>
      </w:pPr>
    </w:p>
    <w:p w14:paraId="3DFC1F45" w14:textId="0C486838" w:rsidR="004D4DC0" w:rsidRPr="004D4DC0" w:rsidRDefault="004D4DC0" w:rsidP="004D4DC0"/>
    <w:p w14:paraId="50D2F121" w14:textId="47794F16" w:rsidR="004D4DC0" w:rsidRPr="004D4DC0" w:rsidRDefault="004D4DC0" w:rsidP="004D4DC0"/>
    <w:p w14:paraId="13DBDF81" w14:textId="751A098A" w:rsidR="004D4DC0" w:rsidRPr="004D4DC0" w:rsidRDefault="004D4DC0" w:rsidP="004D4DC0"/>
    <w:p w14:paraId="02ECDD63" w14:textId="53F5C1F5" w:rsidR="004D4DC0" w:rsidRPr="004D4DC0" w:rsidRDefault="004D4DC0" w:rsidP="004D4DC0"/>
    <w:p w14:paraId="161EA72E" w14:textId="31004BA8" w:rsidR="004D4DC0" w:rsidRPr="004D4DC0" w:rsidRDefault="004D4DC0" w:rsidP="004D4DC0"/>
    <w:p w14:paraId="73632B7E" w14:textId="3E887B35" w:rsidR="004D4DC0" w:rsidRDefault="004D4DC0" w:rsidP="004D4DC0"/>
    <w:p w14:paraId="14EB729A" w14:textId="27984953" w:rsidR="004D4DC0" w:rsidRPr="004D4DC0" w:rsidRDefault="004D4DC0" w:rsidP="004D4DC0">
      <w:pPr>
        <w:tabs>
          <w:tab w:val="left" w:pos="1842"/>
        </w:tabs>
      </w:pPr>
      <w:r>
        <w:tab/>
      </w:r>
    </w:p>
    <w:sectPr w:rsidR="004D4DC0" w:rsidRPr="004D4DC0">
      <w:headerReference w:type="default" r:id="rId9"/>
      <w:footerReference w:type="default" r:id="rId10"/>
      <w:headerReference w:type="first" r:id="rId11"/>
      <w:footerReference w:type="first" r:id="rId12"/>
      <w:pgSz w:w="12240" w:h="15840"/>
      <w:pgMar w:top="1418" w:right="1418"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15CA3" w14:textId="77777777" w:rsidR="00C92E76" w:rsidRDefault="00C92E76">
      <w:r>
        <w:separator/>
      </w:r>
    </w:p>
  </w:endnote>
  <w:endnote w:type="continuationSeparator" w:id="0">
    <w:p w14:paraId="451BEEDC" w14:textId="77777777" w:rsidR="00C92E76" w:rsidRDefault="00C9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78379" w14:textId="77777777" w:rsidR="00166B94" w:rsidRDefault="00EF73F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C1C87">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C1C87">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701B798B" w14:textId="77777777" w:rsidR="00166B94" w:rsidRDefault="00166B9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1655A" w14:textId="77777777" w:rsidR="00166B94" w:rsidRDefault="00EF73F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C1C8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C1C87">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2779DCD4" w14:textId="77777777" w:rsidR="00166B94" w:rsidRDefault="00166B9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F8F40" w14:textId="77777777" w:rsidR="00C92E76" w:rsidRDefault="00C92E76">
      <w:r>
        <w:separator/>
      </w:r>
    </w:p>
  </w:footnote>
  <w:footnote w:type="continuationSeparator" w:id="0">
    <w:p w14:paraId="4C1D5DEB" w14:textId="77777777" w:rsidR="00C92E76" w:rsidRDefault="00C92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489B1" w14:textId="77777777" w:rsidR="00166B94" w:rsidRDefault="00EF73F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noProof/>
        <w:color w:val="000000"/>
      </w:rPr>
      <w:drawing>
        <wp:anchor distT="0" distB="0" distL="0" distR="0" simplePos="0" relativeHeight="251657216" behindDoc="1" locked="0" layoutInCell="1" hidden="0" allowOverlap="1" wp14:anchorId="3B72D5B3" wp14:editId="3F7D0C38">
          <wp:simplePos x="0" y="0"/>
          <wp:positionH relativeFrom="margin">
            <wp:posOffset>-1110610</wp:posOffset>
          </wp:positionH>
          <wp:positionV relativeFrom="margin">
            <wp:posOffset>-1597020</wp:posOffset>
          </wp:positionV>
          <wp:extent cx="5791835" cy="754189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91835" cy="7541895"/>
                  </a:xfrm>
                  <a:prstGeom prst="rect">
                    <a:avLst/>
                  </a:prstGeom>
                  <a:ln/>
                </pic:spPr>
              </pic:pic>
            </a:graphicData>
          </a:graphic>
        </wp:anchor>
      </w:drawing>
    </w:r>
    <w:r>
      <w:rPr>
        <w:rFonts w:ascii="Calibri" w:eastAsia="Calibri" w:hAnsi="Calibri" w:cs="Calibri"/>
        <w:color w:val="000000"/>
      </w:rPr>
      <w:t xml:space="preserve">              </w:t>
    </w:r>
  </w:p>
  <w:tbl>
    <w:tblPr>
      <w:tblStyle w:val="a8"/>
      <w:tblW w:w="5533" w:type="dxa"/>
      <w:tblInd w:w="3681" w:type="dxa"/>
      <w:tblLayout w:type="fixed"/>
      <w:tblLook w:val="0400" w:firstRow="0" w:lastRow="0" w:firstColumn="0" w:lastColumn="0" w:noHBand="0" w:noVBand="1"/>
    </w:tblPr>
    <w:tblGrid>
      <w:gridCol w:w="2410"/>
      <w:gridCol w:w="3123"/>
    </w:tblGrid>
    <w:tr w:rsidR="00166B94" w14:paraId="66140DB1" w14:textId="77777777">
      <w:tc>
        <w:tcPr>
          <w:tcW w:w="2410" w:type="dxa"/>
          <w:shd w:val="clear" w:color="auto" w:fill="auto"/>
          <w:vAlign w:val="center"/>
        </w:tcPr>
        <w:p w14:paraId="10531243" w14:textId="77777777" w:rsidR="00166B94" w:rsidRDefault="00EF73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23" w:type="dxa"/>
          <w:shd w:val="clear" w:color="auto" w:fill="auto"/>
          <w:vAlign w:val="center"/>
        </w:tcPr>
        <w:p w14:paraId="5DF04857" w14:textId="77777777" w:rsidR="00166B94" w:rsidRDefault="00EF73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06364/INFOEM/AD/RR/2021</w:t>
          </w:r>
        </w:p>
      </w:tc>
    </w:tr>
    <w:tr w:rsidR="00166B94" w14:paraId="2769EAE9" w14:textId="77777777">
      <w:tc>
        <w:tcPr>
          <w:tcW w:w="2410" w:type="dxa"/>
          <w:shd w:val="clear" w:color="auto" w:fill="auto"/>
          <w:vAlign w:val="center"/>
        </w:tcPr>
        <w:p w14:paraId="2A5E2235" w14:textId="77777777" w:rsidR="00166B94" w:rsidRDefault="00EF73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23" w:type="dxa"/>
          <w:shd w:val="clear" w:color="auto" w:fill="auto"/>
          <w:vAlign w:val="center"/>
        </w:tcPr>
        <w:p w14:paraId="78531C19" w14:textId="066F3FAB" w:rsidR="00166B94" w:rsidRDefault="00166B94">
          <w:pPr>
            <w:rPr>
              <w:rFonts w:ascii="Palatino Linotype" w:eastAsia="Palatino Linotype" w:hAnsi="Palatino Linotype" w:cs="Palatino Linotype"/>
              <w:b/>
              <w:sz w:val="22"/>
              <w:szCs w:val="22"/>
            </w:rPr>
          </w:pPr>
        </w:p>
      </w:tc>
    </w:tr>
    <w:tr w:rsidR="00166B94" w14:paraId="004A1ECC" w14:textId="77777777">
      <w:trPr>
        <w:trHeight w:val="228"/>
      </w:trPr>
      <w:tc>
        <w:tcPr>
          <w:tcW w:w="2410" w:type="dxa"/>
          <w:shd w:val="clear" w:color="auto" w:fill="auto"/>
          <w:vAlign w:val="center"/>
        </w:tcPr>
        <w:p w14:paraId="2565C1FD" w14:textId="77777777" w:rsidR="00166B94" w:rsidRDefault="00EF73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23" w:type="dxa"/>
          <w:shd w:val="clear" w:color="auto" w:fill="auto"/>
          <w:vAlign w:val="center"/>
        </w:tcPr>
        <w:p w14:paraId="4BCFDC7A" w14:textId="77777777" w:rsidR="00166B94" w:rsidRDefault="00EF73F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Tribunal Estatal de Conciliación y Arbitraje</w:t>
          </w:r>
        </w:p>
      </w:tc>
    </w:tr>
    <w:tr w:rsidR="00166B94" w14:paraId="26A825CE" w14:textId="77777777">
      <w:tc>
        <w:tcPr>
          <w:tcW w:w="2410" w:type="dxa"/>
          <w:shd w:val="clear" w:color="auto" w:fill="auto"/>
          <w:vAlign w:val="center"/>
        </w:tcPr>
        <w:p w14:paraId="368C2FDB" w14:textId="77777777" w:rsidR="00166B94" w:rsidRDefault="00EF73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23" w:type="dxa"/>
          <w:shd w:val="clear" w:color="auto" w:fill="auto"/>
          <w:vAlign w:val="center"/>
        </w:tcPr>
        <w:p w14:paraId="3B14C3CB" w14:textId="77777777" w:rsidR="00166B94" w:rsidRDefault="00EF73F2">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BF0842" w14:textId="77777777" w:rsidR="00166B94" w:rsidRDefault="00EF73F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E05F8" w14:textId="77777777" w:rsidR="00166B94" w:rsidRDefault="00C92E76">
    <w:pPr>
      <w:widowControl w:val="0"/>
      <w:pBdr>
        <w:top w:val="nil"/>
        <w:left w:val="nil"/>
        <w:bottom w:val="nil"/>
        <w:right w:val="nil"/>
        <w:between w:val="nil"/>
      </w:pBdr>
      <w:spacing w:line="276" w:lineRule="auto"/>
      <w:rPr>
        <w:rFonts w:ascii="Calibri" w:eastAsia="Calibri" w:hAnsi="Calibri" w:cs="Calibri"/>
        <w:color w:val="000000"/>
        <w:sz w:val="20"/>
        <w:szCs w:val="20"/>
      </w:rPr>
    </w:pPr>
    <w:r>
      <w:rPr>
        <w:rFonts w:ascii="Palatino Linotype" w:eastAsia="Palatino Linotype" w:hAnsi="Palatino Linotype" w:cs="Palatino Linotype"/>
        <w:b/>
        <w:color w:val="000000"/>
        <w:sz w:val="22"/>
        <w:szCs w:val="22"/>
      </w:rPr>
      <w:pict w14:anchorId="3B4A9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3.65pt;margin-top:-150.65pt;width:663.5pt;height:12in;z-index:-251658240;mso-position-horizontal:absolute;mso-position-horizontal-relative:margin;mso-position-vertical:absolute;mso-position-vertical-relative:margin">
          <v:imagedata r:id="rId1" o:title="image1"/>
          <w10:wrap anchorx="margin" anchory="margin"/>
        </v:shape>
      </w:pict>
    </w:r>
  </w:p>
  <w:tbl>
    <w:tblPr>
      <w:tblStyle w:val="a7"/>
      <w:tblW w:w="6661" w:type="dxa"/>
      <w:tblInd w:w="2694" w:type="dxa"/>
      <w:tblLayout w:type="fixed"/>
      <w:tblLook w:val="0400" w:firstRow="0" w:lastRow="0" w:firstColumn="0" w:lastColumn="0" w:noHBand="0" w:noVBand="1"/>
    </w:tblPr>
    <w:tblGrid>
      <w:gridCol w:w="2693"/>
      <w:gridCol w:w="3968"/>
    </w:tblGrid>
    <w:tr w:rsidR="00166B94" w14:paraId="2E06E899" w14:textId="77777777">
      <w:tc>
        <w:tcPr>
          <w:tcW w:w="2693" w:type="dxa"/>
          <w:shd w:val="clear" w:color="auto" w:fill="auto"/>
          <w:vAlign w:val="center"/>
        </w:tcPr>
        <w:p w14:paraId="4817C51F" w14:textId="77777777" w:rsidR="00166B94" w:rsidRDefault="00EF73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8" w:type="dxa"/>
          <w:shd w:val="clear" w:color="auto" w:fill="auto"/>
          <w:vAlign w:val="center"/>
        </w:tcPr>
        <w:p w14:paraId="52F221C8" w14:textId="77777777" w:rsidR="00166B94" w:rsidRDefault="00EF73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06364/INFOEM/AD/RR/2021</w:t>
          </w:r>
        </w:p>
      </w:tc>
    </w:tr>
    <w:tr w:rsidR="00166B94" w14:paraId="58F47502" w14:textId="77777777">
      <w:tc>
        <w:tcPr>
          <w:tcW w:w="2693" w:type="dxa"/>
          <w:shd w:val="clear" w:color="auto" w:fill="auto"/>
          <w:vAlign w:val="center"/>
        </w:tcPr>
        <w:p w14:paraId="5A16017C" w14:textId="77777777" w:rsidR="00166B94" w:rsidRDefault="00EF73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8" w:type="dxa"/>
          <w:shd w:val="clear" w:color="auto" w:fill="auto"/>
          <w:vAlign w:val="center"/>
        </w:tcPr>
        <w:p w14:paraId="1943CBF7" w14:textId="2BAB9178" w:rsidR="00166B94" w:rsidRDefault="001C1C87" w:rsidP="001C1C87">
          <w:pPr>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w:t>
          </w:r>
          <w:proofErr w:type="spellEnd"/>
          <w:r w:rsidR="00EF73F2">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w:t>
          </w:r>
          <w:proofErr w:type="spellEnd"/>
          <w:r w:rsidR="00EF73F2">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w:t>
          </w:r>
          <w:proofErr w:type="spellEnd"/>
        </w:p>
      </w:tc>
    </w:tr>
    <w:tr w:rsidR="00166B94" w14:paraId="4436EF64" w14:textId="77777777">
      <w:trPr>
        <w:trHeight w:val="228"/>
      </w:trPr>
      <w:tc>
        <w:tcPr>
          <w:tcW w:w="2693" w:type="dxa"/>
          <w:shd w:val="clear" w:color="auto" w:fill="auto"/>
          <w:vAlign w:val="center"/>
        </w:tcPr>
        <w:p w14:paraId="3539A2FF" w14:textId="77777777" w:rsidR="00166B94" w:rsidRDefault="00EF73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8" w:type="dxa"/>
          <w:shd w:val="clear" w:color="auto" w:fill="auto"/>
          <w:vAlign w:val="center"/>
        </w:tcPr>
        <w:p w14:paraId="7F2EDF3C" w14:textId="77777777" w:rsidR="00166B94" w:rsidRDefault="00EF73F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Tribunal Estatal de Conciliación y Arbitraje</w:t>
          </w:r>
        </w:p>
      </w:tc>
    </w:tr>
    <w:tr w:rsidR="00166B94" w14:paraId="6FFAA0F3" w14:textId="77777777">
      <w:tc>
        <w:tcPr>
          <w:tcW w:w="2693" w:type="dxa"/>
          <w:shd w:val="clear" w:color="auto" w:fill="auto"/>
          <w:vAlign w:val="center"/>
        </w:tcPr>
        <w:p w14:paraId="0A8AAD11" w14:textId="77777777" w:rsidR="00166B94" w:rsidRDefault="00EF73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8" w:type="dxa"/>
          <w:shd w:val="clear" w:color="auto" w:fill="auto"/>
          <w:vAlign w:val="center"/>
        </w:tcPr>
        <w:p w14:paraId="051E2192" w14:textId="77777777" w:rsidR="00166B94" w:rsidRDefault="00EF73F2">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CFD6BFB" w14:textId="77777777" w:rsidR="00166B94" w:rsidRDefault="00166B94">
    <w:pPr>
      <w:pBdr>
        <w:top w:val="nil"/>
        <w:left w:val="nil"/>
        <w:bottom w:val="nil"/>
        <w:right w:val="nil"/>
        <w:between w:val="nil"/>
      </w:pBdr>
      <w:tabs>
        <w:tab w:val="center" w:pos="4252"/>
        <w:tab w:val="right" w:pos="8504"/>
      </w:tabs>
      <w:rPr>
        <w:rFonts w:ascii="Calibri" w:eastAsia="Calibri" w:hAnsi="Calibri" w:cs="Calibri"/>
        <w:color w:val="000000"/>
      </w:rPr>
    </w:pPr>
  </w:p>
  <w:p w14:paraId="212476FE" w14:textId="77777777" w:rsidR="00166B94" w:rsidRDefault="00166B9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E2355"/>
    <w:multiLevelType w:val="multilevel"/>
    <w:tmpl w:val="3FEEDB9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nsid w:val="493C5986"/>
    <w:multiLevelType w:val="multilevel"/>
    <w:tmpl w:val="85660D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AA7029D"/>
    <w:multiLevelType w:val="multilevel"/>
    <w:tmpl w:val="03A2CAEA"/>
    <w:lvl w:ilvl="0">
      <w:start w:val="1"/>
      <w:numFmt w:val="lowerRoman"/>
      <w:lvlText w:val="(%1)"/>
      <w:lvlJc w:val="left"/>
      <w:pPr>
        <w:ind w:left="1428" w:hanging="719"/>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5DE31F64"/>
    <w:multiLevelType w:val="multilevel"/>
    <w:tmpl w:val="E6A01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B94"/>
    <w:rsid w:val="00166B94"/>
    <w:rsid w:val="001C1C87"/>
    <w:rsid w:val="00284825"/>
    <w:rsid w:val="00310073"/>
    <w:rsid w:val="0035106C"/>
    <w:rsid w:val="00377371"/>
    <w:rsid w:val="004139F1"/>
    <w:rsid w:val="00482A1B"/>
    <w:rsid w:val="004A63FE"/>
    <w:rsid w:val="004D4DC0"/>
    <w:rsid w:val="00535841"/>
    <w:rsid w:val="00720DA9"/>
    <w:rsid w:val="008B0BF1"/>
    <w:rsid w:val="00A44C91"/>
    <w:rsid w:val="00A54F9C"/>
    <w:rsid w:val="00AB5147"/>
    <w:rsid w:val="00C462AD"/>
    <w:rsid w:val="00C52C0D"/>
    <w:rsid w:val="00C92E76"/>
    <w:rsid w:val="00E558FB"/>
    <w:rsid w:val="00E76121"/>
    <w:rsid w:val="00E9507A"/>
    <w:rsid w:val="00EF73F2"/>
    <w:rsid w:val="00F4074D"/>
    <w:rsid w:val="00FF0B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DF0C79"/>
  <w15:docId w15:val="{5230B122-6CE6-44BB-8CE5-E2AF24E9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A370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15" w:type="dxa"/>
        <w:bottom w:w="0" w:type="dxa"/>
        <w:right w:w="115"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B0B7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921BF"/>
  </w:style>
  <w:style w:type="character" w:customStyle="1" w:styleId="Ttulo2Car">
    <w:name w:val="Título 2 Car"/>
    <w:basedOn w:val="Fuentedeprrafopredeter"/>
    <w:link w:val="Ttulo2"/>
    <w:uiPriority w:val="9"/>
    <w:rsid w:val="00D921BF"/>
    <w:rPr>
      <w:b/>
      <w:sz w:val="36"/>
      <w:szCs w:val="36"/>
    </w:rPr>
  </w:style>
  <w:style w:type="table" w:customStyle="1" w:styleId="a1">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paragraph" w:styleId="Encabezado">
    <w:name w:val="header"/>
    <w:basedOn w:val="Normal"/>
    <w:link w:val="EncabezadoCar"/>
    <w:uiPriority w:val="99"/>
    <w:unhideWhenUsed/>
    <w:rsid w:val="00C215D0"/>
    <w:pPr>
      <w:tabs>
        <w:tab w:val="center" w:pos="4419"/>
        <w:tab w:val="right" w:pos="8838"/>
      </w:tabs>
    </w:pPr>
  </w:style>
  <w:style w:type="character" w:customStyle="1" w:styleId="EncabezadoCar">
    <w:name w:val="Encabezado Car"/>
    <w:basedOn w:val="Fuentedeprrafopredeter"/>
    <w:link w:val="Encabezado"/>
    <w:uiPriority w:val="99"/>
    <w:rsid w:val="00C215D0"/>
  </w:style>
  <w:style w:type="paragraph" w:styleId="Piedepgina">
    <w:name w:val="footer"/>
    <w:basedOn w:val="Normal"/>
    <w:link w:val="PiedepginaCar"/>
    <w:uiPriority w:val="99"/>
    <w:unhideWhenUsed/>
    <w:rsid w:val="00C215D0"/>
    <w:pPr>
      <w:tabs>
        <w:tab w:val="center" w:pos="4419"/>
        <w:tab w:val="right" w:pos="8838"/>
      </w:tabs>
    </w:pPr>
  </w:style>
  <w:style w:type="character" w:customStyle="1" w:styleId="PiedepginaCar">
    <w:name w:val="Pie de página Car"/>
    <w:basedOn w:val="Fuentedeprrafopredeter"/>
    <w:link w:val="Piedepgina"/>
    <w:uiPriority w:val="99"/>
    <w:rsid w:val="00C215D0"/>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364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XTht0AM0lxTlMzgf9pvY+VENEA==">AMUW2mXiuXqun0FC+SlUVI/kdruSK2eaoikqA2odENCDN2BQ3GexM++QRvKHiej1k8tr5+qqqEdJ5dvYBzBzPYHm7/BPBDogvzWnZnF2Q+ViVFIHPSg7HD+tqiDlXfsBXZy4gGgoYlciewIZf4KtW3UIoLHKHkl+8JOA2yw0ZvqlIxtad19FZKWtzjaieuhgkqV6MeBbRWJcTb4M5gE5wE86cpm4htsgMQYNJ1E6OYWKQsCHrYKu3uA=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7092</Words>
  <Characters>39011</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3</cp:revision>
  <cp:lastPrinted>2022-04-24T17:02:00Z</cp:lastPrinted>
  <dcterms:created xsi:type="dcterms:W3CDTF">2022-05-06T19:08:00Z</dcterms:created>
  <dcterms:modified xsi:type="dcterms:W3CDTF">2022-05-06T19:29:00Z</dcterms:modified>
</cp:coreProperties>
</file>