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C4D" w:rsidRDefault="00A23C3A">
      <w:pPr>
        <w:shd w:val="clear" w:color="auto" w:fill="FFFFFF"/>
        <w:spacing w:before="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cuatro de mayo  de dos mil veintidós.</w:t>
      </w:r>
    </w:p>
    <w:p w:rsidR="00767C4D" w:rsidRDefault="00A23C3A">
      <w:pPr>
        <w:tabs>
          <w:tab w:val="left" w:pos="1701"/>
        </w:tabs>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formado con motivo del recurso de revisión número </w:t>
      </w:r>
      <w:r>
        <w:rPr>
          <w:rFonts w:ascii="Palatino Linotype" w:eastAsia="Palatino Linotype" w:hAnsi="Palatino Linotype" w:cs="Palatino Linotype"/>
          <w:b/>
          <w:sz w:val="24"/>
          <w:szCs w:val="24"/>
        </w:rPr>
        <w:t>00124/INFOEM/AD/RR/2022</w:t>
      </w:r>
      <w:r>
        <w:rPr>
          <w:rFonts w:ascii="Palatino Linotype" w:eastAsia="Palatino Linotype" w:hAnsi="Palatino Linotype" w:cs="Palatino Linotype"/>
          <w:sz w:val="24"/>
          <w:szCs w:val="24"/>
        </w:rPr>
        <w:t xml:space="preserve">, promovido por el </w:t>
      </w:r>
      <w:proofErr w:type="spellStart"/>
      <w:r w:rsidR="0064777E" w:rsidRPr="0064777E">
        <w:rPr>
          <w:rFonts w:ascii="Palatino Linotype" w:eastAsia="Palatino Linotype" w:hAnsi="Palatino Linotype" w:cs="Palatino Linotype"/>
          <w:b/>
          <w:sz w:val="24"/>
          <w:szCs w:val="24"/>
        </w:rPr>
        <w:t>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w:t>
      </w:r>
      <w:proofErr w:type="spellEnd"/>
      <w:r w:rsidR="0064777E" w:rsidRPr="0064777E">
        <w:rPr>
          <w:rFonts w:ascii="Palatino Linotype" w:eastAsia="Palatino Linotype" w:hAnsi="Palatino Linotype" w:cs="Palatino Linotype"/>
          <w:b/>
          <w:sz w:val="24"/>
          <w:szCs w:val="24"/>
        </w:rPr>
        <w:t xml:space="preserve"> xx </w:t>
      </w:r>
      <w:proofErr w:type="spellStart"/>
      <w:r w:rsidR="0064777E" w:rsidRPr="0064777E">
        <w:rPr>
          <w:rFonts w:ascii="Palatino Linotype" w:eastAsia="Palatino Linotype" w:hAnsi="Palatino Linotype" w:cs="Palatino Linotype"/>
          <w:b/>
          <w:sz w:val="24"/>
          <w:szCs w:val="24"/>
        </w:rPr>
        <w:t>Xxx</w:t>
      </w:r>
      <w:proofErr w:type="spellEnd"/>
      <w:r w:rsidRPr="0064777E">
        <w:rPr>
          <w:rFonts w:ascii="Palatino Linotype" w:eastAsia="Palatino Linotype" w:hAnsi="Palatino Linotype" w:cs="Palatino Linotype"/>
          <w:b/>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quien en lo sucesivo se le denominará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 respuesta del </w:t>
      </w:r>
      <w:r>
        <w:rPr>
          <w:rFonts w:ascii="Palatino Linotype" w:eastAsia="Palatino Linotype" w:hAnsi="Palatino Linotype" w:cs="Palatino Linotype"/>
          <w:b/>
          <w:sz w:val="24"/>
          <w:szCs w:val="24"/>
        </w:rPr>
        <w:t>Instituto de Seguridad Social del Estado de México y Municipios</w:t>
      </w:r>
      <w:r>
        <w:rPr>
          <w:rFonts w:ascii="Palatino Linotype" w:eastAsia="Palatino Linotype" w:hAnsi="Palatino Linotype" w:cs="Palatino Linotype"/>
          <w:sz w:val="24"/>
          <w:szCs w:val="24"/>
        </w:rPr>
        <w:t>, en lo subsecuente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o</w:t>
      </w:r>
      <w:r>
        <w:rPr>
          <w:rFonts w:ascii="Palatino Linotype" w:eastAsia="Palatino Linotype" w:hAnsi="Palatino Linotype" w:cs="Palatino Linotype"/>
          <w:b/>
          <w:sz w:val="24"/>
          <w:szCs w:val="24"/>
        </w:rPr>
        <w:t xml:space="preserve"> RESPONSABLE, </w:t>
      </w:r>
      <w:r>
        <w:rPr>
          <w:rFonts w:ascii="Palatino Linotype" w:eastAsia="Palatino Linotype" w:hAnsi="Palatino Linotype" w:cs="Palatino Linotype"/>
          <w:sz w:val="24"/>
          <w:szCs w:val="24"/>
        </w:rPr>
        <w:t>se procede a dictar la presente resolución.</w:t>
      </w:r>
    </w:p>
    <w:p w:rsidR="00767C4D" w:rsidRDefault="00A23C3A">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 N T E C E D E N T E S   </w:t>
      </w:r>
    </w:p>
    <w:p w:rsidR="00767C4D" w:rsidRDefault="00A23C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acceso a datos personales. </w:t>
      </w:r>
      <w:r>
        <w:rPr>
          <w:rFonts w:ascii="Palatino Linotype" w:eastAsia="Palatino Linotype" w:hAnsi="Palatino Linotype" w:cs="Palatino Linotype"/>
          <w:sz w:val="24"/>
          <w:szCs w:val="24"/>
        </w:rPr>
        <w:t xml:space="preserve">Con fecha </w:t>
      </w:r>
      <w:r>
        <w:rPr>
          <w:rFonts w:ascii="Palatino Linotype" w:eastAsia="Palatino Linotype" w:hAnsi="Palatino Linotype" w:cs="Palatino Linotype"/>
          <w:b/>
          <w:sz w:val="24"/>
          <w:szCs w:val="24"/>
        </w:rPr>
        <w:t>tres de diciembre de dos mil veintiuno</w:t>
      </w:r>
      <w:r>
        <w:rPr>
          <w:rFonts w:ascii="Palatino Linotype" w:eastAsia="Palatino Linotype" w:hAnsi="Palatino Linotype" w:cs="Palatino Linotype"/>
          <w:sz w:val="24"/>
          <w:szCs w:val="24"/>
        </w:rPr>
        <w:t>, 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Rectificación, Cancelación y Oposición de Datos Personales del Estado de México, en lo subsecuente </w:t>
      </w:r>
      <w:r>
        <w:rPr>
          <w:rFonts w:ascii="Palatino Linotype" w:eastAsia="Palatino Linotype" w:hAnsi="Palatino Linotype" w:cs="Palatino Linotype"/>
          <w:b/>
          <w:sz w:val="24"/>
          <w:szCs w:val="24"/>
        </w:rPr>
        <w:t>SARCOEM</w:t>
      </w:r>
      <w:r>
        <w:rPr>
          <w:rFonts w:ascii="Palatino Linotype" w:eastAsia="Palatino Linotype" w:hAnsi="Palatino Linotype" w:cs="Palatino Linotype"/>
          <w:sz w:val="24"/>
          <w:szCs w:val="24"/>
        </w:rPr>
        <w:t>, ante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la solicitud de acceso a los datos personales, registrada bajo el número de expediente</w:t>
      </w:r>
      <w:r>
        <w:rPr>
          <w:rFonts w:ascii="Palatino Linotype" w:eastAsia="Palatino Linotype" w:hAnsi="Palatino Linotype" w:cs="Palatino Linotype"/>
          <w:b/>
          <w:sz w:val="24"/>
          <w:szCs w:val="24"/>
        </w:rPr>
        <w:t xml:space="preserve"> 00575/ISSEMYM/AD/2021, </w:t>
      </w:r>
      <w:r>
        <w:rPr>
          <w:rFonts w:ascii="Palatino Linotype" w:eastAsia="Palatino Linotype" w:hAnsi="Palatino Linotype" w:cs="Palatino Linotype"/>
          <w:sz w:val="24"/>
          <w:szCs w:val="24"/>
        </w:rPr>
        <w:t>mediante la cual solicitó lo siguiente:</w:t>
      </w:r>
    </w:p>
    <w:p w:rsidR="00767C4D" w:rsidRDefault="00A23C3A">
      <w:pPr>
        <w:spacing w:after="0" w:line="240" w:lineRule="auto"/>
        <w:ind w:left="426" w:right="567"/>
        <w:rPr>
          <w:rFonts w:ascii="Palatino Linotype" w:eastAsia="Palatino Linotype" w:hAnsi="Palatino Linotype" w:cs="Palatino Linotype"/>
          <w:i/>
          <w:sz w:val="24"/>
          <w:szCs w:val="24"/>
        </w:rPr>
      </w:pPr>
      <w:r>
        <w:rPr>
          <w:rFonts w:ascii="Palatino Linotype" w:eastAsia="Palatino Linotype" w:hAnsi="Palatino Linotype" w:cs="Palatino Linotype"/>
          <w:i/>
          <w:color w:val="000000"/>
          <w:sz w:val="24"/>
          <w:szCs w:val="24"/>
        </w:rPr>
        <w:t xml:space="preserve"> “Solicito se me informe que cantidad en pesos retiré de mis aportaciones al ISSEMYM. Mi número de Clave de ISSEMYM es </w:t>
      </w:r>
      <w:r w:rsidR="0064777E">
        <w:rPr>
          <w:rFonts w:ascii="Palatino Linotype" w:eastAsia="Palatino Linotype" w:hAnsi="Palatino Linotype" w:cs="Palatino Linotype"/>
          <w:i/>
          <w:color w:val="000000"/>
          <w:sz w:val="24"/>
          <w:szCs w:val="24"/>
        </w:rPr>
        <w:t>XXXXXXX</w:t>
      </w:r>
      <w:r>
        <w:rPr>
          <w:rFonts w:ascii="Palatino Linotype" w:eastAsia="Palatino Linotype" w:hAnsi="Palatino Linotype" w:cs="Palatino Linotype"/>
          <w:i/>
          <w:sz w:val="24"/>
          <w:szCs w:val="24"/>
        </w:rPr>
        <w:t>” (Sic)</w:t>
      </w:r>
    </w:p>
    <w:p w:rsidR="00767C4D" w:rsidRDefault="00A23C3A">
      <w:pPr>
        <w:spacing w:before="280" w:after="280" w:line="36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adjuntó un archivo electrónico denominado: “</w:t>
      </w:r>
      <w:hyperlink r:id="rId8">
        <w:r>
          <w:rPr>
            <w:rFonts w:ascii="Palatino Linotype" w:eastAsia="Palatino Linotype" w:hAnsi="Palatino Linotype" w:cs="Palatino Linotype"/>
            <w:b/>
            <w:sz w:val="24"/>
            <w:szCs w:val="24"/>
          </w:rPr>
          <w:t>INE (2).</w:t>
        </w:r>
        <w:proofErr w:type="spellStart"/>
        <w:r>
          <w:rPr>
            <w:rFonts w:ascii="Palatino Linotype" w:eastAsia="Palatino Linotype" w:hAnsi="Palatino Linotype" w:cs="Palatino Linotype"/>
            <w:b/>
            <w:sz w:val="24"/>
            <w:szCs w:val="24"/>
          </w:rPr>
          <w:t>pdf</w:t>
        </w:r>
        <w:proofErr w:type="spellEnd"/>
      </w:hyperlink>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documento que entrega el Titular como requisito para solicitar el acceso a sus datos personales.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Modalidad elegida para el acceso a los datos personales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Copias Certificadas</w:t>
      </w:r>
      <w:r>
        <w:rPr>
          <w:rFonts w:ascii="Palatino Linotype" w:eastAsia="Palatino Linotype" w:hAnsi="Palatino Linotype" w:cs="Palatino Linotype"/>
          <w:sz w:val="24"/>
          <w:szCs w:val="24"/>
        </w:rPr>
        <w:t>.</w:t>
      </w:r>
    </w:p>
    <w:p w:rsidR="00767C4D" w:rsidRDefault="00A23C3A">
      <w:pPr>
        <w:tabs>
          <w:tab w:val="left" w:pos="8080"/>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once de enero de dos mil veintidós</w:t>
      </w:r>
      <w:r>
        <w:rPr>
          <w:rFonts w:ascii="Palatino Linotype" w:eastAsia="Palatino Linotype" w:hAnsi="Palatino Linotype" w:cs="Palatino Linotype"/>
          <w:sz w:val="24"/>
          <w:szCs w:val="24"/>
        </w:rPr>
        <w:t>,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proporcionó respuesta en los siguientes términos:}</w:t>
      </w:r>
    </w:p>
    <w:tbl>
      <w:tblPr>
        <w:tblStyle w:val="a2"/>
        <w:tblW w:w="7856" w:type="dxa"/>
        <w:jc w:val="center"/>
        <w:tblInd w:w="0" w:type="dxa"/>
        <w:tblLayout w:type="fixed"/>
        <w:tblLook w:val="0400" w:firstRow="0" w:lastRow="0" w:firstColumn="0" w:lastColumn="0" w:noHBand="0" w:noVBand="1"/>
      </w:tblPr>
      <w:tblGrid>
        <w:gridCol w:w="7856"/>
      </w:tblGrid>
      <w:tr w:rsidR="00767C4D">
        <w:trPr>
          <w:trHeight w:val="186"/>
          <w:jc w:val="center"/>
        </w:trPr>
        <w:tc>
          <w:tcPr>
            <w:tcW w:w="7856" w:type="dxa"/>
            <w:vAlign w:val="center"/>
          </w:tcPr>
          <w:p w:rsidR="00767C4D" w:rsidRDefault="00A23C3A">
            <w:pPr>
              <w:spacing w:after="0" w:line="24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67C4D">
        <w:trPr>
          <w:trHeight w:val="466"/>
          <w:jc w:val="center"/>
        </w:trPr>
        <w:tc>
          <w:tcPr>
            <w:tcW w:w="7856" w:type="dxa"/>
            <w:vAlign w:val="center"/>
          </w:tcPr>
          <w:p w:rsidR="00767C4D" w:rsidRDefault="00767C4D">
            <w:pPr>
              <w:spacing w:after="0" w:line="240" w:lineRule="auto"/>
              <w:rPr>
                <w:rFonts w:ascii="Palatino Linotype" w:eastAsia="Palatino Linotype" w:hAnsi="Palatino Linotype" w:cs="Palatino Linotype"/>
                <w:i/>
                <w:sz w:val="24"/>
                <w:szCs w:val="24"/>
              </w:rPr>
            </w:pPr>
          </w:p>
        </w:tc>
      </w:tr>
      <w:tr w:rsidR="00767C4D">
        <w:trPr>
          <w:trHeight w:val="186"/>
          <w:jc w:val="center"/>
        </w:trPr>
        <w:tc>
          <w:tcPr>
            <w:tcW w:w="7856" w:type="dxa"/>
            <w:vAlign w:val="center"/>
          </w:tcPr>
          <w:p w:rsidR="00767C4D" w:rsidRDefault="00A23C3A">
            <w:pPr>
              <w:spacing w:after="0" w:line="24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Pr>
                <w:rFonts w:ascii="Palatino Linotype" w:eastAsia="Palatino Linotype" w:hAnsi="Palatino Linotype" w:cs="Palatino Linotype"/>
                <w:i/>
                <w:sz w:val="24"/>
                <w:szCs w:val="24"/>
              </w:rPr>
              <w:t>cubrebocas</w:t>
            </w:r>
            <w:proofErr w:type="spellEnd"/>
            <w:r>
              <w:rPr>
                <w:rFonts w:ascii="Palatino Linotype" w:eastAsia="Palatino Linotype" w:hAnsi="Palatino Linotype" w:cs="Palatino Linotype"/>
                <w:i/>
                <w:sz w:val="24"/>
                <w:szCs w:val="24"/>
              </w:rPr>
              <w:t xml:space="preserve"> y pluma o bolígrafo personal, como medidas de seguridad sanitaria.” (sic)</w:t>
            </w:r>
          </w:p>
        </w:tc>
      </w:tr>
    </w:tbl>
    <w:p w:rsidR="00767C4D" w:rsidRDefault="00767C4D">
      <w:pPr>
        <w:spacing w:line="360" w:lineRule="auto"/>
        <w:jc w:val="both"/>
        <w:rPr>
          <w:rFonts w:ascii="Palatino Linotype" w:eastAsia="Palatino Linotype" w:hAnsi="Palatino Linotype" w:cs="Palatino Linotype"/>
          <w:sz w:val="24"/>
          <w:szCs w:val="24"/>
        </w:rPr>
      </w:pPr>
    </w:p>
    <w:p w:rsidR="00767C4D" w:rsidRDefault="00A23C3A">
      <w:pPr>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Respuesta a la que adjuntó el archivo electrónico identificado como “</w:t>
      </w:r>
      <w:r>
        <w:rPr>
          <w:rFonts w:ascii="Palatino Linotype" w:eastAsia="Palatino Linotype" w:hAnsi="Palatino Linotype" w:cs="Palatino Linotype"/>
          <w:b/>
          <w:i/>
          <w:sz w:val="24"/>
          <w:szCs w:val="24"/>
        </w:rPr>
        <w:t>RESPUESTA 575 AD 2021.pdf”</w:t>
      </w:r>
      <w:r>
        <w:rPr>
          <w:rFonts w:ascii="Palatino Linotype" w:eastAsia="Palatino Linotype" w:hAnsi="Palatino Linotype" w:cs="Palatino Linotype"/>
          <w:sz w:val="24"/>
          <w:szCs w:val="24"/>
        </w:rPr>
        <w:t xml:space="preserve"> que consiste en el oficio número 207C 0401210001S-UT-008/2022 de fecha seis de enero de dos mil veintidós suscrito y signado por el Responsable y Titular de la Unidad de Transparencia mediante el cual en su parte sustantiva refirió: </w:t>
      </w:r>
      <w:r>
        <w:rPr>
          <w:rFonts w:ascii="Palatino Linotype" w:eastAsia="Palatino Linotype" w:hAnsi="Palatino Linotype" w:cs="Palatino Linotype"/>
          <w:i/>
          <w:sz w:val="24"/>
          <w:szCs w:val="24"/>
        </w:rPr>
        <w:t xml:space="preserve">“…de acuerdo con lo comunicado por el Servidor Público Habilitado de la Coordinación de Prestaciones y Seguridad Social, se hace del conocimiento del particular que una vez realizada la búsqueda de la información solicitada en los archivos del Instituto de Seguridad Social del </w:t>
      </w:r>
      <w:r>
        <w:rPr>
          <w:rFonts w:ascii="Palatino Linotype" w:eastAsia="Palatino Linotype" w:hAnsi="Palatino Linotype" w:cs="Palatino Linotype"/>
          <w:i/>
          <w:sz w:val="24"/>
          <w:szCs w:val="24"/>
        </w:rPr>
        <w:lastRenderedPageBreak/>
        <w:t xml:space="preserve">Estado de México u Municipios, con los datos proporcionados </w:t>
      </w:r>
      <w:r>
        <w:rPr>
          <w:rFonts w:ascii="Palatino Linotype" w:eastAsia="Palatino Linotype" w:hAnsi="Palatino Linotype" w:cs="Palatino Linotype"/>
          <w:b/>
          <w:i/>
          <w:sz w:val="24"/>
          <w:szCs w:val="24"/>
          <w:u w:val="single"/>
        </w:rPr>
        <w:t>en</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u w:val="single"/>
        </w:rPr>
        <w:t>el Depar</w:t>
      </w:r>
      <w:r>
        <w:rPr>
          <w:rFonts w:ascii="Palatino Linotype" w:eastAsia="Palatino Linotype" w:hAnsi="Palatino Linotype" w:cs="Palatino Linotype"/>
          <w:b/>
          <w:i/>
          <w:sz w:val="24"/>
          <w:szCs w:val="24"/>
          <w:highlight w:val="white"/>
          <w:u w:val="single"/>
        </w:rPr>
        <w:t>tamento de cuentas individuales</w:t>
      </w:r>
      <w:r>
        <w:rPr>
          <w:rFonts w:ascii="Palatino Linotype" w:eastAsia="Palatino Linotype" w:hAnsi="Palatino Linotype" w:cs="Palatino Linotype"/>
          <w:i/>
          <w:sz w:val="24"/>
          <w:szCs w:val="24"/>
          <w:highlight w:val="white"/>
        </w:rPr>
        <w:t xml:space="preserve"> </w:t>
      </w:r>
      <w:r>
        <w:rPr>
          <w:rFonts w:ascii="Palatino Linotype" w:eastAsia="Palatino Linotype" w:hAnsi="Palatino Linotype" w:cs="Palatino Linotype"/>
          <w:b/>
          <w:i/>
          <w:sz w:val="24"/>
          <w:szCs w:val="24"/>
          <w:highlight w:val="white"/>
          <w:u w:val="single"/>
        </w:rPr>
        <w:t>no existe trámite de retiro de aportaciones</w:t>
      </w:r>
      <w:r>
        <w:rPr>
          <w:rFonts w:ascii="Palatino Linotype" w:eastAsia="Palatino Linotype" w:hAnsi="Palatino Linotype" w:cs="Palatino Linotype"/>
          <w:i/>
          <w:sz w:val="24"/>
          <w:szCs w:val="24"/>
          <w:highlight w:val="white"/>
        </w:rPr>
        <w:t>, asimismo, se verificó que el particular no participa en este sistema, por lo que no es posible proporcion</w:t>
      </w:r>
      <w:r>
        <w:rPr>
          <w:rFonts w:ascii="Palatino Linotype" w:eastAsia="Palatino Linotype" w:hAnsi="Palatino Linotype" w:cs="Palatino Linotype"/>
          <w:i/>
          <w:sz w:val="24"/>
          <w:szCs w:val="24"/>
        </w:rPr>
        <w:t>ar la información solicitada, por no obrar en los archivos de este instituto.” (Sic)</w:t>
      </w:r>
    </w:p>
    <w:p w:rsidR="00767C4D" w:rsidRDefault="00A23C3A">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 xml:space="preserve">3. Interposición del recurso de revisión. </w:t>
      </w:r>
      <w:r>
        <w:rPr>
          <w:rFonts w:ascii="Palatino Linotype" w:eastAsia="Palatino Linotype" w:hAnsi="Palatino Linotype" w:cs="Palatino Linotype"/>
          <w:color w:val="222222"/>
          <w:sz w:val="24"/>
          <w:szCs w:val="24"/>
          <w:highlight w:val="white"/>
        </w:rPr>
        <w:t xml:space="preserve">El </w:t>
      </w:r>
      <w:r>
        <w:rPr>
          <w:rFonts w:ascii="Palatino Linotype" w:eastAsia="Palatino Linotype" w:hAnsi="Palatino Linotype" w:cs="Palatino Linotype"/>
          <w:b/>
          <w:color w:val="222222"/>
          <w:sz w:val="24"/>
          <w:szCs w:val="24"/>
          <w:highlight w:val="white"/>
        </w:rPr>
        <w:t>catorce de enero de dos mil veintidós</w:t>
      </w:r>
      <w:r>
        <w:rPr>
          <w:rFonts w:ascii="Palatino Linotype" w:eastAsia="Palatino Linotype" w:hAnsi="Palatino Linotype" w:cs="Palatino Linotype"/>
          <w:color w:val="222222"/>
          <w:sz w:val="24"/>
          <w:szCs w:val="24"/>
          <w:highlight w:val="white"/>
        </w:rPr>
        <w:t xml:space="preserve">, el </w:t>
      </w:r>
      <w:r>
        <w:rPr>
          <w:rFonts w:ascii="Palatino Linotype" w:eastAsia="Palatino Linotype" w:hAnsi="Palatino Linotype" w:cs="Palatino Linotype"/>
          <w:b/>
          <w:color w:val="222222"/>
          <w:sz w:val="24"/>
          <w:szCs w:val="24"/>
          <w:highlight w:val="white"/>
        </w:rPr>
        <w:t xml:space="preserve">RECURRENTE </w:t>
      </w:r>
      <w:r>
        <w:rPr>
          <w:rFonts w:ascii="Palatino Linotype" w:eastAsia="Palatino Linotype" w:hAnsi="Palatino Linotype" w:cs="Palatino Linotype"/>
          <w:color w:val="222222"/>
          <w:sz w:val="24"/>
          <w:szCs w:val="24"/>
          <w:highlight w:val="white"/>
        </w:rPr>
        <w:t xml:space="preserve">interpuso el recurso de revisión en contra de la respuesta del </w:t>
      </w:r>
      <w:r>
        <w:rPr>
          <w:rFonts w:ascii="Palatino Linotype" w:eastAsia="Palatino Linotype" w:hAnsi="Palatino Linotype" w:cs="Palatino Linotype"/>
          <w:b/>
          <w:color w:val="222222"/>
          <w:sz w:val="24"/>
          <w:szCs w:val="24"/>
          <w:highlight w:val="white"/>
        </w:rPr>
        <w:t>SUJETO OBLIGADO</w:t>
      </w:r>
      <w:r>
        <w:rPr>
          <w:rFonts w:ascii="Palatino Linotype" w:eastAsia="Palatino Linotype" w:hAnsi="Palatino Linotype" w:cs="Palatino Linotype"/>
          <w:color w:val="222222"/>
          <w:sz w:val="24"/>
          <w:szCs w:val="24"/>
          <w:highlight w:val="white"/>
        </w:rPr>
        <w:t xml:space="preserve">, el cual fue registrado en el </w:t>
      </w:r>
      <w:r>
        <w:rPr>
          <w:rFonts w:ascii="Palatino Linotype" w:eastAsia="Palatino Linotype" w:hAnsi="Palatino Linotype" w:cs="Palatino Linotype"/>
          <w:b/>
          <w:color w:val="222222"/>
          <w:sz w:val="24"/>
          <w:szCs w:val="24"/>
          <w:highlight w:val="white"/>
        </w:rPr>
        <w:t>SARCOEM</w:t>
      </w:r>
      <w:r>
        <w:rPr>
          <w:rFonts w:ascii="Palatino Linotype" w:eastAsia="Palatino Linotype" w:hAnsi="Palatino Linotype" w:cs="Palatino Linotype"/>
          <w:color w:val="222222"/>
          <w:sz w:val="24"/>
          <w:szCs w:val="24"/>
          <w:highlight w:val="white"/>
        </w:rPr>
        <w:t xml:space="preserve"> y se le asignó el número de expediente al rubro anotado, en el que señaló como </w:t>
      </w:r>
      <w:r>
        <w:rPr>
          <w:rFonts w:ascii="Palatino Linotype" w:eastAsia="Palatino Linotype" w:hAnsi="Palatino Linotype" w:cs="Palatino Linotype"/>
          <w:b/>
          <w:color w:val="222222"/>
          <w:sz w:val="24"/>
          <w:szCs w:val="24"/>
          <w:highlight w:val="white"/>
        </w:rPr>
        <w:t>acto impugnado</w:t>
      </w:r>
      <w:r>
        <w:rPr>
          <w:rFonts w:ascii="Palatino Linotype" w:eastAsia="Palatino Linotype" w:hAnsi="Palatino Linotype" w:cs="Palatino Linotype"/>
          <w:color w:val="222222"/>
          <w:sz w:val="24"/>
          <w:szCs w:val="24"/>
          <w:highlight w:val="white"/>
        </w:rPr>
        <w:t xml:space="preserve"> el siguiente: </w:t>
      </w:r>
    </w:p>
    <w:p w:rsidR="00767C4D" w:rsidRDefault="00A23C3A">
      <w:pPr>
        <w:ind w:left="851"/>
        <w:rPr>
          <w:rFonts w:ascii="Palatino Linotype" w:eastAsia="Palatino Linotype" w:hAnsi="Palatino Linotype" w:cs="Palatino Linotype"/>
          <w:i/>
        </w:rPr>
      </w:pPr>
      <w:r>
        <w:rPr>
          <w:rFonts w:ascii="Palatino Linotype" w:eastAsia="Palatino Linotype" w:hAnsi="Palatino Linotype" w:cs="Palatino Linotype"/>
          <w:i/>
          <w:color w:val="222222"/>
          <w:highlight w:val="white"/>
        </w:rPr>
        <w:t>“</w:t>
      </w:r>
      <w:r>
        <w:rPr>
          <w:rFonts w:ascii="Palatino Linotype" w:eastAsia="Palatino Linotype" w:hAnsi="Palatino Linotype" w:cs="Palatino Linotype"/>
          <w:i/>
          <w:color w:val="000000"/>
        </w:rPr>
        <w:t>No se me proporciono la información solicitada</w:t>
      </w:r>
      <w:r>
        <w:rPr>
          <w:rFonts w:ascii="Palatino Linotype" w:eastAsia="Palatino Linotype" w:hAnsi="Palatino Linotype" w:cs="Palatino Linotype"/>
          <w:i/>
          <w:color w:val="222222"/>
          <w:highlight w:val="white"/>
        </w:rPr>
        <w:t xml:space="preserve">.” (Sic) </w:t>
      </w:r>
    </w:p>
    <w:p w:rsidR="00767C4D" w:rsidRDefault="00A23C3A">
      <w:pPr>
        <w:spacing w:before="240" w:after="240" w:line="360" w:lineRule="auto"/>
        <w:ind w:right="333"/>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Así como, </w:t>
      </w:r>
      <w:r>
        <w:rPr>
          <w:rFonts w:ascii="Palatino Linotype" w:eastAsia="Palatino Linotype" w:hAnsi="Palatino Linotype" w:cs="Palatino Linotype"/>
          <w:b/>
          <w:color w:val="222222"/>
          <w:sz w:val="24"/>
          <w:szCs w:val="24"/>
          <w:highlight w:val="white"/>
        </w:rPr>
        <w:t>razones o motivos de inconformidad</w:t>
      </w:r>
      <w:r>
        <w:rPr>
          <w:rFonts w:ascii="Palatino Linotype" w:eastAsia="Palatino Linotype" w:hAnsi="Palatino Linotype" w:cs="Palatino Linotype"/>
          <w:color w:val="222222"/>
          <w:sz w:val="24"/>
          <w:szCs w:val="24"/>
          <w:highlight w:val="white"/>
        </w:rPr>
        <w:t>:</w:t>
      </w:r>
    </w:p>
    <w:p w:rsidR="00767C4D" w:rsidRDefault="00A23C3A">
      <w:pPr>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El que suscribe cuenta con los documentos de alta con Clave de </w:t>
      </w:r>
      <w:proofErr w:type="spellStart"/>
      <w:r>
        <w:rPr>
          <w:rFonts w:ascii="Palatino Linotype" w:eastAsia="Palatino Linotype" w:hAnsi="Palatino Linotype" w:cs="Palatino Linotype"/>
          <w:i/>
          <w:color w:val="000000"/>
        </w:rPr>
        <w:t>Issemym</w:t>
      </w:r>
      <w:proofErr w:type="spellEnd"/>
      <w:r>
        <w:rPr>
          <w:rFonts w:ascii="Palatino Linotype" w:eastAsia="Palatino Linotype" w:hAnsi="Palatino Linotype" w:cs="Palatino Linotype"/>
          <w:i/>
          <w:color w:val="000000"/>
        </w:rPr>
        <w:t xml:space="preserve"> (</w:t>
      </w:r>
      <w:r w:rsidR="0064777E">
        <w:rPr>
          <w:rFonts w:ascii="Palatino Linotype" w:eastAsia="Palatino Linotype" w:hAnsi="Palatino Linotype" w:cs="Palatino Linotype"/>
          <w:i/>
          <w:color w:val="000000"/>
        </w:rPr>
        <w:t>XXXXX</w:t>
      </w:r>
      <w:r>
        <w:rPr>
          <w:rFonts w:ascii="Palatino Linotype" w:eastAsia="Palatino Linotype" w:hAnsi="Palatino Linotype" w:cs="Palatino Linotype"/>
          <w:i/>
          <w:color w:val="000000"/>
        </w:rPr>
        <w:t xml:space="preserve">) del cual se solicita la información, mismos que demuestran que formé parte del sistema </w:t>
      </w:r>
      <w:proofErr w:type="spellStart"/>
      <w:r>
        <w:rPr>
          <w:rFonts w:ascii="Palatino Linotype" w:eastAsia="Palatino Linotype" w:hAnsi="Palatino Linotype" w:cs="Palatino Linotype"/>
          <w:i/>
          <w:color w:val="000000"/>
        </w:rPr>
        <w:t>Issemym</w:t>
      </w:r>
      <w:proofErr w:type="spellEnd"/>
      <w:r>
        <w:rPr>
          <w:rFonts w:ascii="Palatino Linotype" w:eastAsia="Palatino Linotype" w:hAnsi="Palatino Linotype" w:cs="Palatino Linotype"/>
          <w:i/>
          <w:color w:val="000000"/>
        </w:rPr>
        <w:t xml:space="preserve"> desde el 15 de octubre de 1975, con otra alta el 3 de mayo de 1989. Solicito amablemente se realice una búsqueda exhaustiva dentro de sus archivos. Existen documentos de evidencia de Avisos de Movimiento (Alta) en </w:t>
      </w:r>
      <w:proofErr w:type="spellStart"/>
      <w:r>
        <w:rPr>
          <w:rFonts w:ascii="Palatino Linotype" w:eastAsia="Palatino Linotype" w:hAnsi="Palatino Linotype" w:cs="Palatino Linotype"/>
          <w:i/>
          <w:color w:val="000000"/>
        </w:rPr>
        <w:t>Issemym</w:t>
      </w:r>
      <w:proofErr w:type="spellEnd"/>
      <w:r>
        <w:rPr>
          <w:rFonts w:ascii="Palatino Linotype" w:eastAsia="Palatino Linotype" w:hAnsi="Palatino Linotype" w:cs="Palatino Linotype"/>
          <w:i/>
          <w:color w:val="000000"/>
        </w:rPr>
        <w:t xml:space="preserve"> con el número </w:t>
      </w:r>
      <w:r w:rsidR="0064777E">
        <w:rPr>
          <w:rFonts w:ascii="Palatino Linotype" w:eastAsia="Palatino Linotype" w:hAnsi="Palatino Linotype" w:cs="Palatino Linotype"/>
          <w:i/>
          <w:color w:val="000000"/>
        </w:rPr>
        <w:t>XXXXX</w:t>
      </w:r>
      <w:r>
        <w:rPr>
          <w:rFonts w:ascii="Palatino Linotype" w:eastAsia="Palatino Linotype" w:hAnsi="Palatino Linotype" w:cs="Palatino Linotype"/>
          <w:i/>
          <w:color w:val="000000"/>
        </w:rPr>
        <w:t>, los cuales adjunto.” (</w:t>
      </w:r>
      <w:proofErr w:type="gramStart"/>
      <w:r>
        <w:rPr>
          <w:rFonts w:ascii="Palatino Linotype" w:eastAsia="Palatino Linotype" w:hAnsi="Palatino Linotype" w:cs="Palatino Linotype"/>
          <w:i/>
          <w:color w:val="000000"/>
        </w:rPr>
        <w:t>sic</w:t>
      </w:r>
      <w:proofErr w:type="gramEnd"/>
      <w:r>
        <w:rPr>
          <w:rFonts w:ascii="Palatino Linotype" w:eastAsia="Palatino Linotype" w:hAnsi="Palatino Linotype" w:cs="Palatino Linotype"/>
          <w:i/>
          <w:color w:val="000000"/>
        </w:rPr>
        <w:t>)</w:t>
      </w:r>
    </w:p>
    <w:p w:rsidR="00767C4D" w:rsidRDefault="00767C4D">
      <w:pPr>
        <w:ind w:right="1134"/>
        <w:rPr>
          <w:rFonts w:ascii="Palatino Linotype" w:eastAsia="Palatino Linotype" w:hAnsi="Palatino Linotype" w:cs="Palatino Linotype"/>
          <w:i/>
          <w:color w:val="000000"/>
          <w:sz w:val="24"/>
          <w:szCs w:val="24"/>
        </w:rPr>
      </w:pPr>
    </w:p>
    <w:p w:rsidR="00767C4D" w:rsidRDefault="00A23C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Remitiendo un archivo denominado: “</w:t>
      </w:r>
      <w:r>
        <w:rPr>
          <w:rFonts w:ascii="Palatino Linotype" w:eastAsia="Palatino Linotype" w:hAnsi="Palatino Linotype" w:cs="Palatino Linotype"/>
          <w:b/>
          <w:sz w:val="24"/>
          <w:szCs w:val="24"/>
        </w:rPr>
        <w:t xml:space="preserve">Avisos de movimientos </w:t>
      </w:r>
      <w:proofErr w:type="spellStart"/>
      <w:r w:rsidR="0064777E" w:rsidRPr="0064777E">
        <w:rPr>
          <w:rFonts w:ascii="Palatino Linotype" w:eastAsia="Palatino Linotype" w:hAnsi="Palatino Linotype" w:cs="Palatino Linotype"/>
          <w:b/>
          <w:sz w:val="24"/>
          <w:szCs w:val="24"/>
        </w:rPr>
        <w:t>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Xxxxxxxx</w:t>
      </w:r>
      <w:proofErr w:type="spellEnd"/>
      <w:r w:rsidR="0064777E" w:rsidRPr="0064777E">
        <w:rPr>
          <w:rFonts w:ascii="Palatino Linotype" w:eastAsia="Palatino Linotype" w:hAnsi="Palatino Linotype" w:cs="Palatino Linotype"/>
          <w:b/>
          <w:sz w:val="24"/>
          <w:szCs w:val="24"/>
        </w:rPr>
        <w:t xml:space="preserve"> </w:t>
      </w:r>
      <w:proofErr w:type="spellStart"/>
      <w:r w:rsidR="0064777E" w:rsidRPr="0064777E">
        <w:rPr>
          <w:rFonts w:ascii="Palatino Linotype" w:eastAsia="Palatino Linotype" w:hAnsi="Palatino Linotype" w:cs="Palatino Linotype"/>
          <w:b/>
          <w:sz w:val="24"/>
          <w:szCs w:val="24"/>
        </w:rPr>
        <w:t>Xxxxxx</w:t>
      </w:r>
      <w:proofErr w:type="spellEnd"/>
      <w:r w:rsidR="0064777E" w:rsidRPr="0064777E">
        <w:rPr>
          <w:rFonts w:ascii="Palatino Linotype" w:eastAsia="Palatino Linotype" w:hAnsi="Palatino Linotype" w:cs="Palatino Linotype"/>
          <w:b/>
          <w:sz w:val="24"/>
          <w:szCs w:val="24"/>
        </w:rPr>
        <w:t xml:space="preserve"> xx Xxx</w:t>
      </w:r>
      <w:r>
        <w:rPr>
          <w:rFonts w:ascii="Palatino Linotype" w:eastAsia="Palatino Linotype" w:hAnsi="Palatino Linotype" w:cs="Palatino Linotype"/>
          <w:b/>
          <w:sz w:val="24"/>
          <w:szCs w:val="24"/>
        </w:rPr>
        <w:t>.pdf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integrado por los documentos referidos por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al momento de interponer el recurso de revisión. .</w:t>
      </w:r>
    </w:p>
    <w:p w:rsidR="00767C4D" w:rsidRDefault="00A23C3A">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4.  Turno.</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catorce de enero de dos mil veintidós</w:t>
      </w:r>
      <w:r>
        <w:rPr>
          <w:rFonts w:ascii="Palatino Linotype" w:eastAsia="Palatino Linotype" w:hAnsi="Palatino Linotype" w:cs="Palatino Linotype"/>
          <w:sz w:val="24"/>
          <w:szCs w:val="24"/>
        </w:rPr>
        <w:t xml:space="preserve">, el recurso de que se trata se registró en el </w:t>
      </w:r>
      <w:r>
        <w:rPr>
          <w:rFonts w:ascii="Palatino Linotype" w:eastAsia="Palatino Linotype" w:hAnsi="Palatino Linotype" w:cs="Palatino Linotype"/>
          <w:b/>
          <w:sz w:val="24"/>
          <w:szCs w:val="24"/>
        </w:rPr>
        <w:t xml:space="preserve">SARCOEM </w:t>
      </w:r>
      <w:r>
        <w:rPr>
          <w:rFonts w:ascii="Palatino Linotype" w:eastAsia="Palatino Linotype" w:hAnsi="Palatino Linotype" w:cs="Palatino Linotype"/>
          <w:sz w:val="24"/>
          <w:szCs w:val="24"/>
        </w:rPr>
        <w:t xml:space="preserve">y fue turnado a la </w:t>
      </w:r>
      <w:r>
        <w:rPr>
          <w:rFonts w:ascii="Palatino Linotype" w:eastAsia="Palatino Linotype" w:hAnsi="Palatino Linotype" w:cs="Palatino Linotype"/>
          <w:b/>
          <w:sz w:val="24"/>
          <w:szCs w:val="24"/>
        </w:rPr>
        <w:t xml:space="preserve">Comisionada Guadalupe Ramírez </w:t>
      </w:r>
      <w:r>
        <w:rPr>
          <w:rFonts w:ascii="Palatino Linotype" w:eastAsia="Palatino Linotype" w:hAnsi="Palatino Linotype" w:cs="Palatino Linotype"/>
          <w:b/>
          <w:sz w:val="24"/>
          <w:szCs w:val="24"/>
        </w:rPr>
        <w:lastRenderedPageBreak/>
        <w:t>Peña</w:t>
      </w:r>
      <w:r>
        <w:rPr>
          <w:rFonts w:ascii="Palatino Linotype" w:eastAsia="Palatino Linotype" w:hAnsi="Palatino Linotype" w:cs="Palatino Linotype"/>
          <w:sz w:val="24"/>
          <w:szCs w:val="24"/>
        </w:rPr>
        <w:t xml:space="preserve">, a efecto de que decretara su admisión o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rsidR="00767C4D" w:rsidRDefault="00A23C3A">
      <w:pPr>
        <w:spacing w:before="240" w:after="240" w:line="360" w:lineRule="auto"/>
        <w:ind w:right="33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5. Admisión del recurso de revisión.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diecinueve de enero de dos mil veintidós,</w:t>
      </w:r>
      <w:r>
        <w:rPr>
          <w:rFonts w:ascii="Palatino Linotype" w:eastAsia="Palatino Linotype" w:hAnsi="Palatino Linotype" w:cs="Palatino Linotype"/>
          <w:sz w:val="24"/>
          <w:szCs w:val="24"/>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767C4D" w:rsidRDefault="00A23C3A">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6. Etapa de Conciliación.</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sz w:val="24"/>
          <w:szCs w:val="24"/>
        </w:rPr>
        <w:t>Así, de conformidad con los artículos 82 fracción XXVIII, 131 y 132 de la Ley de Protección de Datos Personales en Posesión de Sujetos Obligados del Estado de México y Municipios, una vez abierta la etapa de instrucción, se observa lo siguiente:</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veintiocho de enero de dos mil veintidós</w:t>
      </w:r>
      <w:r>
        <w:rPr>
          <w:rFonts w:ascii="Palatino Linotype" w:eastAsia="Palatino Linotype" w:hAnsi="Palatino Linotype" w:cs="Palatino Linotype"/>
          <w:sz w:val="24"/>
          <w:szCs w:val="24"/>
        </w:rPr>
        <w:t xml:space="preserve"> este Instituto exhorto a la partes para que manifestaran su voluntad de conciliar en el presente asunto; fecha en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remitió el archivo electrónico denominado “</w:t>
      </w:r>
      <w:r>
        <w:rPr>
          <w:rFonts w:ascii="Palatino Linotype" w:eastAsia="Palatino Linotype" w:hAnsi="Palatino Linotype" w:cs="Palatino Linotype"/>
          <w:b/>
          <w:i/>
          <w:sz w:val="24"/>
          <w:szCs w:val="24"/>
        </w:rPr>
        <w:t xml:space="preserve">OFICIO DE CONCILIACIÓN RECURSO 575.AD.pdf” </w:t>
      </w:r>
      <w:r>
        <w:rPr>
          <w:rFonts w:ascii="Palatino Linotype" w:eastAsia="Palatino Linotype" w:hAnsi="Palatino Linotype" w:cs="Palatino Linotype"/>
          <w:sz w:val="24"/>
          <w:szCs w:val="24"/>
        </w:rPr>
        <w:t xml:space="preserve"> en el que se observa el oficio 207C00401210001S-UT-131/2022 de fecha veinticinco de enero de dos mil veintidós, </w:t>
      </w:r>
      <w:r>
        <w:rPr>
          <w:rFonts w:ascii="Palatino Linotype" w:eastAsia="Palatino Linotype" w:hAnsi="Palatino Linotype" w:cs="Palatino Linotype"/>
          <w:sz w:val="24"/>
          <w:szCs w:val="24"/>
        </w:rPr>
        <w:lastRenderedPageBreak/>
        <w:t>suscrito por la Responsable y Titular de la Unidad de Transparencia, por medio del cual solicitó conciliar</w:t>
      </w:r>
      <w:proofErr w:type="gramStart"/>
      <w:r>
        <w:rPr>
          <w:rFonts w:ascii="Palatino Linotype" w:eastAsia="Palatino Linotype" w:hAnsi="Palatino Linotype" w:cs="Palatino Linotype"/>
          <w:sz w:val="24"/>
          <w:szCs w:val="24"/>
        </w:rPr>
        <w:t>..</w:t>
      </w:r>
      <w:proofErr w:type="gramEnd"/>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fecha</w:t>
      </w:r>
      <w:r>
        <w:rPr>
          <w:rFonts w:ascii="Palatino Linotype" w:eastAsia="Palatino Linotype" w:hAnsi="Palatino Linotype" w:cs="Palatino Linotype"/>
          <w:b/>
          <w:sz w:val="24"/>
          <w:szCs w:val="24"/>
        </w:rPr>
        <w:t xml:space="preserve"> nueve de febrero de dos mil veintidós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envio</w:t>
      </w:r>
      <w:proofErr w:type="spellEnd"/>
      <w:r>
        <w:rPr>
          <w:rFonts w:ascii="Palatino Linotype" w:eastAsia="Palatino Linotype" w:hAnsi="Palatino Linotype" w:cs="Palatino Linotype"/>
          <w:sz w:val="24"/>
          <w:szCs w:val="24"/>
        </w:rPr>
        <w:t xml:space="preserve"> informe justificado en un archivo adjunto: “</w:t>
      </w:r>
      <w:r>
        <w:rPr>
          <w:rFonts w:ascii="Palatino Linotype" w:eastAsia="Palatino Linotype" w:hAnsi="Palatino Linotype" w:cs="Palatino Linotype"/>
          <w:b/>
          <w:sz w:val="24"/>
          <w:szCs w:val="24"/>
        </w:rPr>
        <w:t>INFORME JUSTIFICADO 575.AD.pdf”</w:t>
      </w:r>
      <w:r>
        <w:rPr>
          <w:rFonts w:ascii="Palatino Linotype" w:eastAsia="Palatino Linotype" w:hAnsi="Palatino Linotype" w:cs="Palatino Linotype"/>
          <w:i/>
          <w:sz w:val="24"/>
          <w:szCs w:val="24"/>
        </w:rPr>
        <w:t>,</w:t>
      </w:r>
      <w:r>
        <w:rPr>
          <w:rFonts w:ascii="Palatino Linotype" w:eastAsia="Palatino Linotype" w:hAnsi="Palatino Linotype" w:cs="Palatino Linotype"/>
          <w:sz w:val="24"/>
          <w:szCs w:val="24"/>
        </w:rPr>
        <w:t xml:space="preserve"> documento a través del cual ratificó su respuesta inicial.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 xml:space="preserve">diez de marzo de dos mil veintiuno, </w:t>
      </w:r>
      <w:r>
        <w:rPr>
          <w:rFonts w:ascii="Palatino Linotype" w:eastAsia="Palatino Linotype" w:hAnsi="Palatino Linotype" w:cs="Palatino Linotype"/>
          <w:sz w:val="24"/>
          <w:szCs w:val="24"/>
        </w:rPr>
        <w:t>el</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 xml:space="preserve">manifestó su voluntad para conciliar el presente asunto </w:t>
      </w:r>
      <w:proofErr w:type="gramStart"/>
      <w:r>
        <w:rPr>
          <w:rFonts w:ascii="Palatino Linotype" w:eastAsia="Palatino Linotype" w:hAnsi="Palatino Linotype" w:cs="Palatino Linotype"/>
          <w:sz w:val="24"/>
          <w:szCs w:val="24"/>
        </w:rPr>
        <w:t>a  través</w:t>
      </w:r>
      <w:proofErr w:type="gramEnd"/>
      <w:r>
        <w:rPr>
          <w:rFonts w:ascii="Palatino Linotype" w:eastAsia="Palatino Linotype" w:hAnsi="Palatino Linotype" w:cs="Palatino Linotype"/>
          <w:sz w:val="24"/>
          <w:szCs w:val="24"/>
        </w:rPr>
        <w:t xml:space="preserve"> del </w:t>
      </w:r>
      <w:r>
        <w:rPr>
          <w:rFonts w:ascii="Palatino Linotype" w:eastAsia="Palatino Linotype" w:hAnsi="Palatino Linotype" w:cs="Palatino Linotype"/>
          <w:b/>
          <w:sz w:val="24"/>
          <w:szCs w:val="24"/>
        </w:rPr>
        <w:t>SARCOEM</w:t>
      </w:r>
      <w:r>
        <w:rPr>
          <w:rFonts w:ascii="Palatino Linotype" w:eastAsia="Palatino Linotype" w:hAnsi="Palatino Linotype" w:cs="Palatino Linotype"/>
          <w:sz w:val="24"/>
          <w:szCs w:val="24"/>
        </w:rPr>
        <w:t xml:space="preserve">.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entonces, el </w:t>
      </w:r>
      <w:r>
        <w:rPr>
          <w:rFonts w:ascii="Palatino Linotype" w:eastAsia="Palatino Linotype" w:hAnsi="Palatino Linotype" w:cs="Palatino Linotype"/>
          <w:b/>
          <w:sz w:val="24"/>
          <w:szCs w:val="24"/>
        </w:rPr>
        <w:t xml:space="preserve">veintitrés de marzo de dos mil veintitrés </w:t>
      </w:r>
      <w:r>
        <w:rPr>
          <w:rFonts w:ascii="Palatino Linotype" w:eastAsia="Palatino Linotype" w:hAnsi="Palatino Linotype" w:cs="Palatino Linotype"/>
          <w:sz w:val="24"/>
          <w:szCs w:val="24"/>
        </w:rPr>
        <w:t>se notificó a las partes el acuerdo mediante el cual se señaló día, hora y el medio a través del cual tendría lugar la audiencia de conciliación.</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veinticinco de marzo de dos mil veintidós</w:t>
      </w:r>
      <w:r>
        <w:rPr>
          <w:rFonts w:ascii="Palatino Linotype" w:eastAsia="Palatino Linotype" w:hAnsi="Palatino Linotype" w:cs="Palatino Linotype"/>
          <w:sz w:val="24"/>
          <w:szCs w:val="24"/>
        </w:rPr>
        <w:t xml:space="preserve">; día en que tendría lugar la audiencia de conciliación, la misma no se pudo llevar a cabo toda vez que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no asistió el día y hora señalados, por lo que se procedió a levantar el acta para constancia para la debida constancia legal.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treinta y uno de marzo de dos mil veintidós</w:t>
      </w:r>
      <w:r>
        <w:rPr>
          <w:rFonts w:ascii="Palatino Linotype" w:eastAsia="Palatino Linotype" w:hAnsi="Palatino Linotype" w:cs="Palatino Linotype"/>
          <w:sz w:val="24"/>
          <w:szCs w:val="24"/>
        </w:rPr>
        <w:t xml:space="preserve"> mediante acuerdo de la Comisionada Guadalupe Ramírez Peña, se decretó el cierre de la etapa de conciliación y la apertura de la etapa de manifestaciones.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7. Manifestaciones.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ocho de abril de dos mil veintidós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remitió en alcance al informe justificado el archivo electrónico “</w:t>
      </w:r>
      <w:r>
        <w:rPr>
          <w:rFonts w:ascii="Palatino Linotype" w:eastAsia="Palatino Linotype" w:hAnsi="Palatino Linotype" w:cs="Palatino Linotype"/>
          <w:b/>
          <w:i/>
          <w:sz w:val="24"/>
          <w:szCs w:val="24"/>
        </w:rPr>
        <w:t xml:space="preserve">INFORME JUSTIFICADO 575 AD.pdf” </w:t>
      </w:r>
      <w:r>
        <w:rPr>
          <w:rFonts w:ascii="Palatino Linotype" w:eastAsia="Palatino Linotype" w:hAnsi="Palatino Linotype" w:cs="Palatino Linotype"/>
          <w:sz w:val="24"/>
          <w:szCs w:val="24"/>
        </w:rPr>
        <w:t xml:space="preserve">consistente en el oficio 207C 0401210001S-UT-514/2022 de fecha veintinueve de marzo de dos mil veintidós, suscrito y signado por la </w:t>
      </w:r>
      <w:r>
        <w:rPr>
          <w:rFonts w:ascii="Palatino Linotype" w:eastAsia="Palatino Linotype" w:hAnsi="Palatino Linotype" w:cs="Palatino Linotype"/>
          <w:sz w:val="24"/>
          <w:szCs w:val="24"/>
        </w:rPr>
        <w:lastRenderedPageBreak/>
        <w:t xml:space="preserve">Responsable y Titular de la Unidad de Transparencia por medio del cual informó que el Servidor Público Habilitado de la Coordinación de Prestaciones y Seguridad Social, refirió que se localizaron dos claves de ISSEMYM, por lo que se sugiere al particular realice el trámite de unificación de claves ante la Unidad de Atención al Derechohabiente correspondientes; asimismo le informó sobre los supuestos por los cuales podrá retirar el fondo o ahorro del Sistema de Capitalización Individual, y del mismo modo, reitero que no existe registro alguno del trámite referido por el particular.  </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Documento que en fecha veintiuno de abril de dos mil veintidós se puso a disposición del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para su conocimiento. </w:t>
      </w:r>
    </w:p>
    <w:p w:rsidR="00767C4D" w:rsidRDefault="00A23C3A">
      <w:pPr>
        <w:widowControl w:val="0"/>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8. </w:t>
      </w:r>
      <w:r>
        <w:rPr>
          <w:rFonts w:ascii="Palatino Linotype" w:eastAsia="Palatino Linotype" w:hAnsi="Palatino Linotype" w:cs="Palatino Linotype"/>
          <w:color w:val="000000"/>
          <w:sz w:val="24"/>
          <w:szCs w:val="24"/>
        </w:rPr>
        <w:t>A</w:t>
      </w:r>
      <w:r>
        <w:rPr>
          <w:rFonts w:ascii="Palatino Linotype" w:eastAsia="Palatino Linotype" w:hAnsi="Palatino Linotype" w:cs="Palatino Linotype"/>
          <w:b/>
          <w:color w:val="000000"/>
          <w:sz w:val="24"/>
          <w:szCs w:val="24"/>
        </w:rPr>
        <w:t xml:space="preserve">mpliación de plazo.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veinticinco de marzo de dos mil veintidós</w:t>
      </w:r>
      <w:r>
        <w:rPr>
          <w:rFonts w:ascii="Palatino Linotype" w:eastAsia="Palatino Linotype" w:hAnsi="Palatino Linotype" w:cs="Palatino Linotype"/>
          <w:color w:val="000000"/>
          <w:sz w:val="24"/>
          <w:szCs w:val="24"/>
        </w:rPr>
        <w:t xml:space="preserve">, se notificó a las partes el Acuerdo de Ampliación de Plazo para resolver el medio de impugnación que nos ocupa, en términos de lo dispuesto por el artículo 133 de la </w:t>
      </w:r>
      <w:r>
        <w:rPr>
          <w:rFonts w:ascii="Palatino Linotype" w:eastAsia="Palatino Linotype" w:hAnsi="Palatino Linotype" w:cs="Palatino Linotype"/>
          <w:sz w:val="24"/>
          <w:szCs w:val="24"/>
        </w:rPr>
        <w:t>Ley de Protección de Datos Personales en Posesión de Sujetos Obligados del Estado de México y Municipios</w:t>
      </w:r>
      <w:r>
        <w:rPr>
          <w:rFonts w:ascii="Palatino Linotype" w:eastAsia="Palatino Linotype" w:hAnsi="Palatino Linotype" w:cs="Palatino Linotype"/>
          <w:color w:val="000000"/>
          <w:sz w:val="24"/>
          <w:szCs w:val="24"/>
        </w:rPr>
        <w:t>; lo anterior, con la finalidad de realizar un análisis exhaustivo de las constancias que obran en el expediente electrónico.</w:t>
      </w:r>
    </w:p>
    <w:p w:rsidR="00767C4D" w:rsidRDefault="00A23C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9. Cierre de instrucción.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veintisiete de abril de dos mil veintidós</w:t>
      </w:r>
      <w:r>
        <w:rPr>
          <w:rFonts w:ascii="Palatino Linotype" w:eastAsia="Palatino Linotype" w:hAnsi="Palatino Linotype" w:cs="Palatino Linotype"/>
          <w:sz w:val="24"/>
          <w:szCs w:val="24"/>
        </w:rPr>
        <w:t xml:space="preserve"> mediante acuerdo de la Comisionada Guadalupe Ramírez Peña,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767C4D" w:rsidRDefault="00767C4D">
      <w:pPr>
        <w:spacing w:before="240" w:line="360" w:lineRule="auto"/>
        <w:jc w:val="both"/>
        <w:rPr>
          <w:rFonts w:ascii="Palatino Linotype" w:eastAsia="Palatino Linotype" w:hAnsi="Palatino Linotype" w:cs="Palatino Linotype"/>
          <w:sz w:val="24"/>
          <w:szCs w:val="24"/>
        </w:rPr>
      </w:pPr>
    </w:p>
    <w:p w:rsidR="00767C4D" w:rsidRDefault="00A23C3A">
      <w:pPr>
        <w:numPr>
          <w:ilvl w:val="0"/>
          <w:numId w:val="1"/>
        </w:numPr>
        <w:pBdr>
          <w:top w:val="nil"/>
          <w:left w:val="nil"/>
          <w:bottom w:val="nil"/>
          <w:right w:val="nil"/>
          <w:between w:val="nil"/>
        </w:pBdr>
        <w:spacing w:before="240" w:after="240" w:line="360" w:lineRule="auto"/>
        <w:ind w:right="333"/>
        <w:jc w:val="center"/>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CONSIDERANDO</w:t>
      </w:r>
    </w:p>
    <w:p w:rsidR="00767C4D" w:rsidRDefault="00A23C3A">
      <w:pPr>
        <w:spacing w:before="240" w:after="240" w:line="360" w:lineRule="auto"/>
        <w:ind w:right="333"/>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222222"/>
          <w:sz w:val="24"/>
          <w:szCs w:val="24"/>
          <w:highlight w:val="white"/>
        </w:rPr>
        <w:t>PRIMERO. Competencia</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000000"/>
          <w:sz w:val="24"/>
          <w:szCs w:val="24"/>
        </w:rPr>
        <w:t>El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767C4D" w:rsidRDefault="00A23C3A">
      <w:pPr>
        <w:spacing w:before="240" w:after="240" w:line="360" w:lineRule="auto"/>
        <w:ind w:right="333"/>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color w:val="222222"/>
          <w:sz w:val="24"/>
          <w:szCs w:val="24"/>
          <w:highlight w:val="white"/>
        </w:rPr>
        <w:t xml:space="preserve">SEGUNDO. Oportunidad. </w:t>
      </w:r>
      <w:r>
        <w:rPr>
          <w:rFonts w:ascii="Palatino Linotype" w:eastAsia="Palatino Linotype" w:hAnsi="Palatino Linotype" w:cs="Palatino Linotype"/>
          <w:color w:val="222222"/>
          <w:sz w:val="24"/>
          <w:szCs w:val="24"/>
          <w:highlight w:val="white"/>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767C4D" w:rsidRDefault="00A23C3A">
      <w:pPr>
        <w:spacing w:after="0" w:line="276" w:lineRule="auto"/>
        <w:ind w:left="709" w:right="1134"/>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sz w:val="24"/>
          <w:szCs w:val="24"/>
          <w:highlight w:val="white"/>
        </w:rPr>
        <w:t>“</w:t>
      </w:r>
      <w:r>
        <w:rPr>
          <w:rFonts w:ascii="Palatino Linotype" w:eastAsia="Palatino Linotype" w:hAnsi="Palatino Linotype" w:cs="Palatino Linotype"/>
          <w:b/>
          <w:i/>
          <w:color w:val="222222"/>
          <w:highlight w:val="white"/>
        </w:rPr>
        <w:t>Artículo 128.</w:t>
      </w:r>
      <w:r>
        <w:rPr>
          <w:rFonts w:ascii="Palatino Linotype" w:eastAsia="Palatino Linotype" w:hAnsi="Palatino Linotype" w:cs="Palatino Linotype"/>
          <w:i/>
          <w:color w:val="222222"/>
          <w:highlight w:val="white"/>
        </w:rPr>
        <w:t xml:space="preserve"> El titular, por sí mismo o a través de su representante, podrán interponer un recurso de revisión ante el Instituto o la Unidad de Transparencia </w:t>
      </w:r>
      <w:r>
        <w:rPr>
          <w:rFonts w:ascii="Palatino Linotype" w:eastAsia="Palatino Linotype" w:hAnsi="Palatino Linotype" w:cs="Palatino Linotype"/>
          <w:i/>
          <w:color w:val="222222"/>
          <w:highlight w:val="white"/>
        </w:rPr>
        <w:lastRenderedPageBreak/>
        <w:t xml:space="preserve">del responsable que haya conocido de la solicitud para el ejercicio de los derechos ARCO, dentro de un plazo que </w:t>
      </w:r>
      <w:r>
        <w:rPr>
          <w:rFonts w:ascii="Palatino Linotype" w:eastAsia="Palatino Linotype" w:hAnsi="Palatino Linotype" w:cs="Palatino Linotype"/>
          <w:b/>
          <w:i/>
          <w:color w:val="222222"/>
          <w:highlight w:val="white"/>
        </w:rPr>
        <w:t>no podrá exceder de quince días contados a partir del siguiente a la fecha de la notificación de la respuesta</w:t>
      </w:r>
      <w:r>
        <w:rPr>
          <w:rFonts w:ascii="Palatino Linotype" w:eastAsia="Palatino Linotype" w:hAnsi="Palatino Linotype" w:cs="Palatino Linotype"/>
          <w:i/>
          <w:color w:val="222222"/>
          <w:highlight w:val="white"/>
        </w:rPr>
        <w:t xml:space="preserve">. </w:t>
      </w:r>
    </w:p>
    <w:p w:rsidR="00767C4D" w:rsidRDefault="00767C4D">
      <w:pPr>
        <w:spacing w:after="0" w:line="276" w:lineRule="auto"/>
        <w:ind w:left="709" w:right="1134"/>
        <w:jc w:val="both"/>
        <w:rPr>
          <w:rFonts w:ascii="Palatino Linotype" w:eastAsia="Palatino Linotype" w:hAnsi="Palatino Linotype" w:cs="Palatino Linotype"/>
          <w:i/>
          <w:color w:val="222222"/>
          <w:highlight w:val="white"/>
        </w:rPr>
      </w:pPr>
    </w:p>
    <w:p w:rsidR="00767C4D" w:rsidRDefault="00A23C3A">
      <w:pPr>
        <w:spacing w:after="0" w:line="276" w:lineRule="auto"/>
        <w:ind w:left="709" w:right="1134"/>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767C4D" w:rsidRDefault="00767C4D">
      <w:pPr>
        <w:spacing w:after="0" w:line="240" w:lineRule="auto"/>
        <w:ind w:left="709" w:right="1134"/>
        <w:jc w:val="both"/>
        <w:rPr>
          <w:rFonts w:ascii="Palatino Linotype" w:eastAsia="Palatino Linotype" w:hAnsi="Palatino Linotype" w:cs="Palatino Linotype"/>
          <w:i/>
          <w:color w:val="222222"/>
          <w:sz w:val="24"/>
          <w:szCs w:val="24"/>
          <w:highlight w:val="white"/>
        </w:rPr>
      </w:pP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En esa tesitura, atendiendo a que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color w:val="222222"/>
          <w:sz w:val="24"/>
          <w:szCs w:val="24"/>
          <w:highlight w:val="white"/>
        </w:rPr>
        <w:t xml:space="preserve"> notificó la respuesta a la solicitud de acceso a datos personales el día </w:t>
      </w:r>
      <w:r>
        <w:rPr>
          <w:rFonts w:ascii="Palatino Linotype" w:eastAsia="Palatino Linotype" w:hAnsi="Palatino Linotype" w:cs="Palatino Linotype"/>
          <w:b/>
          <w:color w:val="222222"/>
          <w:sz w:val="24"/>
          <w:szCs w:val="24"/>
          <w:highlight w:val="white"/>
        </w:rPr>
        <w:t>once de enero de dos mil veintidós</w:t>
      </w:r>
      <w:r>
        <w:rPr>
          <w:rFonts w:ascii="Palatino Linotype" w:eastAsia="Palatino Linotype" w:hAnsi="Palatino Linotype" w:cs="Palatino Linotype"/>
          <w:color w:val="222222"/>
          <w:sz w:val="24"/>
          <w:szCs w:val="24"/>
          <w:highlight w:val="white"/>
        </w:rPr>
        <w:t xml:space="preserve">; así, el plazo de quince días hábiles que el artículo 128 de la Ley de Protección de Datos Personales en Posesión de Sujetos Obligados del Estado de México y Municipios otorgó al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para presentar el recurso de revisión, transcurrió del doce de enero al dos de febrero de dos mil veintiuno, ejerciéndolo al tercer día hábil posterior a la respuesta,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En ese tenor, si el recurso de revisión que nos ocupa se interpuso el día </w:t>
      </w:r>
      <w:r>
        <w:rPr>
          <w:rFonts w:ascii="Palatino Linotype" w:eastAsia="Palatino Linotype" w:hAnsi="Palatino Linotype" w:cs="Palatino Linotype"/>
          <w:b/>
          <w:color w:val="222222"/>
          <w:sz w:val="24"/>
          <w:szCs w:val="24"/>
          <w:highlight w:val="white"/>
        </w:rPr>
        <w:t>catorce de enero de dos mil veintidós</w:t>
      </w:r>
      <w:r>
        <w:rPr>
          <w:rFonts w:ascii="Palatino Linotype" w:eastAsia="Palatino Linotype" w:hAnsi="Palatino Linotype" w:cs="Palatino Linotype"/>
          <w:color w:val="222222"/>
          <w:sz w:val="24"/>
          <w:szCs w:val="24"/>
          <w:highlight w:val="white"/>
        </w:rPr>
        <w:t>, éste se encuentra dentro de los márgenes temporales previstos en el artículo 128 de la Ley de Protección de Datos Personales en Posesión de Sujetos Obligados del Estado de México y Municipios y, por tanto, su interposición se considera oportuna.</w:t>
      </w:r>
    </w:p>
    <w:p w:rsidR="00767C4D" w:rsidRDefault="00767C4D">
      <w:pPr>
        <w:spacing w:before="240" w:after="240" w:line="360" w:lineRule="auto"/>
        <w:jc w:val="both"/>
        <w:rPr>
          <w:rFonts w:ascii="Palatino Linotype" w:eastAsia="Palatino Linotype" w:hAnsi="Palatino Linotype" w:cs="Palatino Linotype"/>
          <w:color w:val="222222"/>
          <w:sz w:val="24"/>
          <w:szCs w:val="24"/>
          <w:highlight w:val="white"/>
        </w:rPr>
      </w:pPr>
    </w:p>
    <w:p w:rsidR="00767C4D" w:rsidRDefault="00A23C3A">
      <w:pPr>
        <w:spacing w:before="240" w:after="240" w:line="360" w:lineRule="auto"/>
        <w:ind w:right="333"/>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lastRenderedPageBreak/>
        <w:t xml:space="preserve">TERCERO. </w:t>
      </w:r>
      <w:proofErr w:type="spellStart"/>
      <w:r>
        <w:rPr>
          <w:rFonts w:ascii="Palatino Linotype" w:eastAsia="Palatino Linotype" w:hAnsi="Palatino Linotype" w:cs="Palatino Linotype"/>
          <w:b/>
          <w:color w:val="222222"/>
          <w:sz w:val="24"/>
          <w:szCs w:val="24"/>
          <w:highlight w:val="white"/>
        </w:rPr>
        <w:t>Procedibilidad</w:t>
      </w:r>
      <w:proofErr w:type="spellEnd"/>
      <w:r>
        <w:rPr>
          <w:rFonts w:ascii="Palatino Linotype" w:eastAsia="Palatino Linotype" w:hAnsi="Palatino Linotype" w:cs="Palatino Linotype"/>
          <w:b/>
          <w:color w:val="222222"/>
          <w:sz w:val="24"/>
          <w:szCs w:val="24"/>
          <w:highlight w:val="white"/>
        </w:rPr>
        <w:t>.</w:t>
      </w:r>
      <w:r>
        <w:rPr>
          <w:rFonts w:ascii="Palatino Linotype" w:eastAsia="Palatino Linotype" w:hAnsi="Palatino Linotype" w:cs="Palatino Linotype"/>
          <w:color w:val="222222"/>
          <w:sz w:val="24"/>
          <w:szCs w:val="24"/>
          <w:highlight w:val="white"/>
        </w:rPr>
        <w:t xml:space="preserve"> </w:t>
      </w: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Pr>
          <w:rFonts w:ascii="Palatino Linotype" w:eastAsia="Palatino Linotype" w:hAnsi="Palatino Linotype" w:cs="Palatino Linotype"/>
          <w:b/>
          <w:color w:val="222222"/>
          <w:sz w:val="24"/>
          <w:szCs w:val="24"/>
          <w:highlight w:val="white"/>
        </w:rPr>
        <w:t>EL SARCOEM.</w:t>
      </w:r>
    </w:p>
    <w:p w:rsidR="00767C4D" w:rsidRDefault="00A23C3A">
      <w:pPr>
        <w:spacing w:before="240" w:after="240" w:line="360" w:lineRule="auto"/>
        <w:ind w:right="333"/>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b/>
          <w:color w:val="222222"/>
          <w:sz w:val="24"/>
          <w:szCs w:val="24"/>
          <w:highlight w:val="white"/>
        </w:rPr>
        <w:t>Cuarto. Estudio y resolución del asunto.</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highlight w:val="white"/>
        </w:rPr>
        <w:t xml:space="preserve">En primer término, es de señalar que el ejercicio de los derechos de acceso, rectificación, cancelación y oposición ARCO, se encuentra regulado por el artículo 6 apartado A, y 16 segundo párrafo de la Constitución de los Estados Unidos Mexicanos, los cuales establecen que: </w:t>
      </w:r>
    </w:p>
    <w:p w:rsidR="00767C4D" w:rsidRDefault="00A23C3A">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w:t>
      </w:r>
      <w:r>
        <w:rPr>
          <w:rFonts w:ascii="Palatino Linotype" w:eastAsia="Palatino Linotype" w:hAnsi="Palatino Linotype" w:cs="Palatino Linotype"/>
          <w:b/>
          <w:i/>
          <w:color w:val="222222"/>
          <w:highlight w:val="white"/>
        </w:rPr>
        <w:t>Artículo 6o.</w:t>
      </w:r>
    </w:p>
    <w:p w:rsidR="00767C4D" w:rsidRDefault="00A23C3A">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 xml:space="preserve"> […]</w:t>
      </w:r>
    </w:p>
    <w:p w:rsidR="00767C4D" w:rsidRDefault="00A23C3A">
      <w:pPr>
        <w:numPr>
          <w:ilvl w:val="0"/>
          <w:numId w:val="2"/>
        </w:numPr>
        <w:pBdr>
          <w:top w:val="nil"/>
          <w:left w:val="nil"/>
          <w:bottom w:val="nil"/>
          <w:right w:val="nil"/>
          <w:between w:val="nil"/>
        </w:pBdr>
        <w:tabs>
          <w:tab w:val="left" w:pos="7655"/>
          <w:tab w:val="left" w:pos="8080"/>
        </w:tabs>
        <w:spacing w:after="0" w:line="276" w:lineRule="auto"/>
        <w:ind w:left="851" w:right="283" w:firstLine="0"/>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Para el ejercicio del derecho de acceso a la información, la Federación y las entidades federativas, en el ámbito de sus respectivas competencias, se regirán por los siguientes principios y bases:</w:t>
      </w:r>
    </w:p>
    <w:p w:rsidR="00767C4D" w:rsidRDefault="00A23C3A">
      <w:pPr>
        <w:pBdr>
          <w:top w:val="nil"/>
          <w:left w:val="nil"/>
          <w:bottom w:val="nil"/>
          <w:right w:val="nil"/>
          <w:between w:val="nil"/>
        </w:pBd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w:t>
      </w:r>
    </w:p>
    <w:p w:rsidR="00767C4D" w:rsidRDefault="00A23C3A">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ab/>
        <w:t xml:space="preserve">II. </w:t>
      </w:r>
      <w:r>
        <w:rPr>
          <w:rFonts w:ascii="Palatino Linotype" w:eastAsia="Palatino Linotype" w:hAnsi="Palatino Linotype" w:cs="Palatino Linotype"/>
          <w:b/>
          <w:i/>
          <w:color w:val="222222"/>
          <w:highlight w:val="white"/>
        </w:rPr>
        <w:t xml:space="preserve">La información que se refiere a la vida privada y los datos personales será protegida </w:t>
      </w:r>
      <w:r>
        <w:rPr>
          <w:rFonts w:ascii="Palatino Linotype" w:eastAsia="Palatino Linotype" w:hAnsi="Palatino Linotype" w:cs="Palatino Linotype"/>
          <w:i/>
          <w:color w:val="222222"/>
          <w:highlight w:val="white"/>
        </w:rPr>
        <w:t>en los términos y con las excepciones que fijen las leyes.</w:t>
      </w:r>
    </w:p>
    <w:p w:rsidR="00767C4D" w:rsidRDefault="00A23C3A">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i/>
          <w:color w:val="222222"/>
          <w:highlight w:val="white"/>
        </w:rPr>
        <w:tab/>
        <w:t>[…]”</w:t>
      </w:r>
    </w:p>
    <w:p w:rsidR="00767C4D" w:rsidRDefault="00A23C3A">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r>
        <w:rPr>
          <w:rFonts w:ascii="Palatino Linotype" w:eastAsia="Palatino Linotype" w:hAnsi="Palatino Linotype" w:cs="Palatino Linotype"/>
          <w:b/>
          <w:i/>
        </w:rPr>
        <w:t>Artículo 16.</w:t>
      </w:r>
      <w:r>
        <w:rPr>
          <w:rFonts w:ascii="Palatino Linotype" w:eastAsia="Palatino Linotype" w:hAnsi="Palatino Linotype" w:cs="Palatino Linotype"/>
        </w:rPr>
        <w:t xml:space="preserve"> </w:t>
      </w:r>
      <w:r>
        <w:rPr>
          <w:rFonts w:ascii="Palatino Linotype" w:eastAsia="Palatino Linotype" w:hAnsi="Palatino Linotype" w:cs="Palatino Linotype"/>
          <w:i/>
          <w:color w:val="222222"/>
          <w:highlight w:val="white"/>
        </w:rPr>
        <w:t xml:space="preserve">Toda persona </w:t>
      </w:r>
      <w:r>
        <w:rPr>
          <w:rFonts w:ascii="Palatino Linotype" w:eastAsia="Palatino Linotype" w:hAnsi="Palatino Linotype" w:cs="Palatino Linotype"/>
          <w:b/>
          <w:i/>
          <w:color w:val="222222"/>
          <w:highlight w:val="white"/>
        </w:rPr>
        <w:t xml:space="preserve">tiene derecho a la protección de sus datos personales, al acceso, </w:t>
      </w:r>
      <w:r>
        <w:rPr>
          <w:rFonts w:ascii="Palatino Linotype" w:eastAsia="Palatino Linotype" w:hAnsi="Palatino Linotype" w:cs="Palatino Linotype"/>
          <w:i/>
          <w:color w:val="222222"/>
          <w:highlight w:val="white"/>
        </w:rPr>
        <w:t>rectificación y cancelación de los mismos, así</w:t>
      </w:r>
      <w:r>
        <w:rPr>
          <w:rFonts w:ascii="Palatino Linotype" w:eastAsia="Palatino Linotype" w:hAnsi="Palatino Linotype" w:cs="Palatino Linotype"/>
          <w:b/>
          <w:i/>
          <w:color w:val="222222"/>
          <w:highlight w:val="white"/>
        </w:rPr>
        <w:t xml:space="preserve"> </w:t>
      </w:r>
      <w:r>
        <w:rPr>
          <w:rFonts w:ascii="Palatino Linotype" w:eastAsia="Palatino Linotype" w:hAnsi="Palatino Linotype" w:cs="Palatino Linotype"/>
          <w:i/>
          <w:color w:val="222222"/>
          <w:highlight w:val="white"/>
        </w:rPr>
        <w:t>como a manifestar su oposición, en los términos que fije la ley,</w:t>
      </w:r>
      <w:r>
        <w:rPr>
          <w:rFonts w:ascii="Palatino Linotype" w:eastAsia="Palatino Linotype" w:hAnsi="Palatino Linotype" w:cs="Palatino Linotype"/>
          <w:b/>
          <w:i/>
          <w:color w:val="222222"/>
          <w:highlight w:val="white"/>
        </w:rPr>
        <w:t xml:space="preserve"> </w:t>
      </w:r>
      <w:r>
        <w:rPr>
          <w:rFonts w:ascii="Palatino Linotype" w:eastAsia="Palatino Linotype" w:hAnsi="Palatino Linotype" w:cs="Palatino Linotype"/>
          <w:i/>
          <w:color w:val="222222"/>
          <w:highlight w:val="white"/>
        </w:rPr>
        <w:t xml:space="preserve">la cual establecerá los supuestos de excepción a los principios que rijan el tratamiento de datos, por razones de seguridad nacional, disposiciones de orden público, seguridad y salud públicas o para proteger los derechos de terceros.” (Sic) </w:t>
      </w:r>
    </w:p>
    <w:p w:rsidR="00767C4D" w:rsidRDefault="00767C4D">
      <w:pPr>
        <w:tabs>
          <w:tab w:val="left" w:pos="7655"/>
          <w:tab w:val="left" w:pos="8080"/>
        </w:tabs>
        <w:spacing w:after="0" w:line="276" w:lineRule="auto"/>
        <w:ind w:left="851" w:right="283"/>
        <w:jc w:val="both"/>
        <w:rPr>
          <w:rFonts w:ascii="Palatino Linotype" w:eastAsia="Palatino Linotype" w:hAnsi="Palatino Linotype" w:cs="Palatino Linotype"/>
          <w:i/>
          <w:color w:val="222222"/>
          <w:highlight w:val="white"/>
        </w:rPr>
      </w:pP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lastRenderedPageBreak/>
        <w:t xml:space="preserve">Derivado de lo anterior, se desprende que </w:t>
      </w:r>
      <w:r>
        <w:rPr>
          <w:rFonts w:ascii="Palatino Linotype" w:eastAsia="Palatino Linotype" w:hAnsi="Palatino Linotype" w:cs="Palatino Linotype"/>
          <w:b/>
          <w:color w:val="222222"/>
          <w:sz w:val="24"/>
          <w:szCs w:val="24"/>
          <w:highlight w:val="white"/>
        </w:rPr>
        <w:t>la protección de datos personales</w:t>
      </w:r>
      <w:r>
        <w:rPr>
          <w:rFonts w:ascii="Palatino Linotype" w:eastAsia="Palatino Linotype" w:hAnsi="Palatino Linotype" w:cs="Palatino Linotype"/>
          <w:color w:val="222222"/>
          <w:sz w:val="24"/>
          <w:szCs w:val="24"/>
          <w:highlight w:val="white"/>
        </w:rPr>
        <w:t xml:space="preserve"> es un derecho fundamental, así como la información referente al ámbito privado de las personas, los cuales deben estar protegidos en los términos y con las excepciones a los principios de tratamiento de datos que por razones de orden público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222222"/>
          <w:sz w:val="24"/>
          <w:szCs w:val="24"/>
          <w:highlight w:val="white"/>
        </w:rPr>
        <w:t>fije la ley, por lo que toda persona tiene derecho a la protección de sus datos personales.</w:t>
      </w: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Ante tal premisa se puede apreciar que la inclusión</w:t>
      </w:r>
      <w:r>
        <w:rPr>
          <w:rFonts w:ascii="Palatino Linotype" w:eastAsia="Palatino Linotype" w:hAnsi="Palatino Linotype" w:cs="Palatino Linotype"/>
          <w:b/>
          <w:color w:val="222222"/>
          <w:sz w:val="24"/>
          <w:szCs w:val="24"/>
          <w:highlight w:val="white"/>
        </w:rPr>
        <w:t xml:space="preserve"> del derecho al acceso de datos personales en nuestra Constitución permite que cualquier persona -titular de datos personales- obtenga la protección en esta materia.</w:t>
      </w: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En este sentido, la Ley de Protección de Datos Personales en Posesión de Sujetos Obligados del Estado de México y Municipios, señala:</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Para los efectos de esta Ley se entenderá por:</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w:t>
      </w:r>
      <w:r>
        <w:rPr>
          <w:rFonts w:ascii="Palatino Linotype" w:eastAsia="Palatino Linotype" w:hAnsi="Palatino Linotype" w:cs="Palatino Linotype"/>
          <w:b/>
          <w:i/>
        </w:rPr>
        <w:t>Datos personales</w:t>
      </w:r>
      <w:r>
        <w:rPr>
          <w:rFonts w:ascii="Palatino Linotype" w:eastAsia="Palatino Linotype" w:hAnsi="Palatino Linotype" w:cs="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spacing w:before="240" w:after="240" w:line="276" w:lineRule="auto"/>
        <w:ind w:left="993"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XIII.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Derechos ARCO:</w:t>
      </w:r>
      <w:r>
        <w:rPr>
          <w:rFonts w:ascii="Palatino Linotype" w:eastAsia="Palatino Linotype" w:hAnsi="Palatino Linotype" w:cs="Palatino Linotype"/>
          <w:i/>
          <w:color w:val="000000"/>
        </w:rPr>
        <w:t xml:space="preserve"> a los derechos de Acceso, Rectificación, Cancelación y </w:t>
      </w:r>
      <w:r>
        <w:rPr>
          <w:rFonts w:ascii="Palatino Linotype" w:eastAsia="Palatino Linotype" w:hAnsi="Palatino Linotype" w:cs="Palatino Linotype"/>
          <w:b/>
          <w:i/>
          <w:color w:val="000000"/>
        </w:rPr>
        <w:t>Oposición</w:t>
      </w:r>
      <w:r>
        <w:rPr>
          <w:rFonts w:ascii="Palatino Linotype" w:eastAsia="Palatino Linotype" w:hAnsi="Palatino Linotype" w:cs="Palatino Linotype"/>
          <w:i/>
          <w:color w:val="000000"/>
        </w:rPr>
        <w:t xml:space="preserve"> al tratamiento de datos personales.</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spacing w:before="240" w:after="240" w:line="276" w:lineRule="auto"/>
        <w:ind w:left="993"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XLI. Responsable: a los sujetos obligados a que se refiere la presente Ley que deciden sobre el tratamiento de los datos personales</w:t>
      </w:r>
      <w:r>
        <w:rPr>
          <w:rFonts w:ascii="Palatino Linotype" w:eastAsia="Palatino Linotype" w:hAnsi="Palatino Linotype" w:cs="Palatino Linotype"/>
          <w:i/>
          <w:color w:val="000000"/>
        </w:rPr>
        <w:t>.</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767C4D" w:rsidRDefault="00A23C3A">
      <w:pPr>
        <w:spacing w:before="240" w:after="240" w:line="276" w:lineRule="auto"/>
        <w:ind w:left="993" w:right="850"/>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L</w:t>
      </w:r>
      <w:r>
        <w:rPr>
          <w:rFonts w:ascii="Palatino Linotype" w:eastAsia="Palatino Linotype" w:hAnsi="Palatino Linotype" w:cs="Palatino Linotype"/>
          <w:b/>
          <w:i/>
          <w:color w:val="000000"/>
          <w:u w:val="single"/>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b/>
          <w:i/>
        </w:rPr>
        <w:t>Artículo 98. El titular tiene derecho a</w:t>
      </w:r>
      <w:r>
        <w:rPr>
          <w:rFonts w:ascii="Palatino Linotype" w:eastAsia="Palatino Linotype" w:hAnsi="Palatino Linotype" w:cs="Palatino Linotype"/>
          <w:i/>
        </w:rPr>
        <w:t xml:space="preserve"> acceder, </w:t>
      </w:r>
      <w:r>
        <w:rPr>
          <w:rFonts w:ascii="Palatino Linotype" w:eastAsia="Palatino Linotype" w:hAnsi="Palatino Linotype" w:cs="Palatino Linotype"/>
          <w:b/>
          <w:i/>
        </w:rPr>
        <w:t>solicitar y ser informado sobre sus datos personales en posesión de los sujetos obligados</w:t>
      </w:r>
      <w:r>
        <w:rPr>
          <w:rFonts w:ascii="Palatino Linotype" w:eastAsia="Palatino Linotype" w:hAnsi="Palatino Linotype" w:cs="Palatino Linotype"/>
          <w:i/>
        </w:rPr>
        <w:t xml:space="preserve">, </w:t>
      </w:r>
      <w:r>
        <w:rPr>
          <w:rFonts w:ascii="Palatino Linotype" w:eastAsia="Palatino Linotype" w:hAnsi="Palatino Linotype" w:cs="Palatino Linotype"/>
          <w:b/>
          <w:i/>
        </w:rPr>
        <w:t>así como la información relacionada con las condiciones y generalidades de su tratamiento, tales como el origen de los datos, las condiciones del tratamiento del cual sean objeto</w:t>
      </w:r>
      <w:r>
        <w:rPr>
          <w:rFonts w:ascii="Palatino Linotype" w:eastAsia="Palatino Linotype" w:hAnsi="Palatino Linotype" w:cs="Palatino Linotype"/>
          <w:i/>
        </w:rPr>
        <w:t xml:space="preserve">, </w:t>
      </w:r>
      <w:r>
        <w:rPr>
          <w:rFonts w:ascii="Palatino Linotype" w:eastAsia="Palatino Linotype" w:hAnsi="Palatino Linotype" w:cs="Palatino Linotype"/>
          <w:b/>
          <w:i/>
        </w:rPr>
        <w:t>las cesiones realizadas o que se pretendan realizar,</w:t>
      </w:r>
      <w:r>
        <w:rPr>
          <w:rFonts w:ascii="Palatino Linotype" w:eastAsia="Palatino Linotype" w:hAnsi="Palatino Linotype" w:cs="Palatino Linotype"/>
          <w:i/>
        </w:rPr>
        <w:t xml:space="preserve"> así como tener acceso al aviso de privacidad al que está sujeto.</w:t>
      </w:r>
    </w:p>
    <w:p w:rsidR="00767C4D" w:rsidRDefault="00A23C3A">
      <w:pPr>
        <w:spacing w:before="240" w:after="240" w:line="276" w:lineRule="auto"/>
        <w:ind w:left="993"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tabs>
          <w:tab w:val="left" w:pos="7938"/>
        </w:tabs>
        <w:spacing w:before="240" w:after="240"/>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En función de la normativa señalada, se desprenden las premisas siguientes:</w:t>
      </w:r>
    </w:p>
    <w:p w:rsidR="00767C4D" w:rsidRDefault="00A23C3A">
      <w:pPr>
        <w:tabs>
          <w:tab w:val="left" w:pos="7938"/>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Primero, por datos personales se entenderá la información concerniente a una persona física identificada o identificable; y que se considera que una persona es </w:t>
      </w:r>
      <w:r>
        <w:rPr>
          <w:rFonts w:ascii="Palatino Linotype" w:eastAsia="Palatino Linotype" w:hAnsi="Palatino Linotype" w:cs="Palatino Linotype"/>
          <w:b/>
          <w:color w:val="000000"/>
          <w:sz w:val="24"/>
          <w:szCs w:val="24"/>
        </w:rPr>
        <w:t>identificable cuando su identidad pueda determinarse directa o indirectamente a través de cualquier información</w:t>
      </w:r>
      <w:r>
        <w:rPr>
          <w:rFonts w:ascii="Palatino Linotype" w:eastAsia="Palatino Linotype" w:hAnsi="Palatino Linotype" w:cs="Palatino Linotype"/>
          <w:color w:val="000000"/>
          <w:sz w:val="24"/>
          <w:szCs w:val="24"/>
        </w:rPr>
        <w:t>.</w:t>
      </w:r>
    </w:p>
    <w:p w:rsidR="00767C4D" w:rsidRDefault="00A23C3A">
      <w:pPr>
        <w:tabs>
          <w:tab w:val="left" w:pos="7938"/>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igual manera, se destaca que en todo momento el </w:t>
      </w:r>
      <w:r>
        <w:rPr>
          <w:rFonts w:ascii="Palatino Linotype" w:eastAsia="Palatino Linotype" w:hAnsi="Palatino Linotype" w:cs="Palatino Linotype"/>
          <w:b/>
          <w:color w:val="000000"/>
          <w:sz w:val="24"/>
          <w:szCs w:val="24"/>
        </w:rPr>
        <w:t>titular o su representante podrán solicitar al responsable</w:t>
      </w:r>
      <w:r>
        <w:rPr>
          <w:rFonts w:ascii="Palatino Linotype" w:eastAsia="Palatino Linotype" w:hAnsi="Palatino Linotype" w:cs="Palatino Linotype"/>
          <w:color w:val="000000"/>
          <w:sz w:val="24"/>
          <w:szCs w:val="24"/>
        </w:rPr>
        <w:t xml:space="preserve">, el acceso, rectificación, cancelación u </w:t>
      </w:r>
      <w:r>
        <w:rPr>
          <w:rFonts w:ascii="Palatino Linotype" w:eastAsia="Palatino Linotype" w:hAnsi="Palatino Linotype" w:cs="Palatino Linotype"/>
          <w:b/>
          <w:color w:val="000000"/>
          <w:sz w:val="24"/>
          <w:szCs w:val="24"/>
        </w:rPr>
        <w:t xml:space="preserve">oposición </w:t>
      </w:r>
      <w:r>
        <w:rPr>
          <w:rFonts w:ascii="Palatino Linotype" w:eastAsia="Palatino Linotype" w:hAnsi="Palatino Linotype" w:cs="Palatino Linotype"/>
          <w:color w:val="000000"/>
          <w:sz w:val="24"/>
          <w:szCs w:val="24"/>
        </w:rPr>
        <w:t>-derechos ARCO- al tratamiento de los datos personales que le conciernen.</w:t>
      </w:r>
    </w:p>
    <w:p w:rsidR="00767C4D" w:rsidRDefault="00A23C3A">
      <w:pPr>
        <w:tabs>
          <w:tab w:val="left" w:pos="7938"/>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la</w:t>
      </w:r>
      <w:r>
        <w:rPr>
          <w:rFonts w:ascii="Palatino Linotype" w:eastAsia="Palatino Linotype" w:hAnsi="Palatino Linotype" w:cs="Palatino Linotype"/>
          <w:b/>
          <w:color w:val="000000"/>
          <w:sz w:val="24"/>
          <w:szCs w:val="24"/>
        </w:rPr>
        <w:t xml:space="preserve"> recepción y trámite </w:t>
      </w:r>
      <w:r>
        <w:rPr>
          <w:rFonts w:ascii="Palatino Linotype" w:eastAsia="Palatino Linotype" w:hAnsi="Palatino Linotype" w:cs="Palatino Linotype"/>
          <w:color w:val="000000"/>
          <w:sz w:val="24"/>
          <w:szCs w:val="24"/>
        </w:rPr>
        <w:t>de las solicitudes de ejercicio de los derechos ARCO,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se formulen a los sujetos obligados</w:t>
      </w:r>
      <w:r>
        <w:rPr>
          <w:rFonts w:ascii="Palatino Linotype" w:eastAsia="Palatino Linotype" w:hAnsi="Palatino Linotype" w:cs="Palatino Linotype"/>
          <w:b/>
          <w:color w:val="000000"/>
          <w:sz w:val="24"/>
          <w:szCs w:val="24"/>
        </w:rPr>
        <w:t xml:space="preserve">, se sujetará al procedimiento establecido en el Título </w:t>
      </w:r>
      <w:r>
        <w:rPr>
          <w:rFonts w:ascii="Palatino Linotype" w:eastAsia="Palatino Linotype" w:hAnsi="Palatino Linotype" w:cs="Palatino Linotype"/>
          <w:b/>
          <w:color w:val="000000"/>
          <w:sz w:val="24"/>
          <w:szCs w:val="24"/>
        </w:rPr>
        <w:lastRenderedPageBreak/>
        <w:t>Tercero de la Ley General de Protección de Datos Personales en Posesión de Sujetos Obligados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en consonancia con el Título Décimo de la Ley de Protección de Datos Personales en Posesión de Sujetos Obligados del Estado de México y Municipios</w:t>
      </w:r>
      <w:r>
        <w:rPr>
          <w:rFonts w:ascii="Palatino Linotype" w:eastAsia="Palatino Linotype" w:hAnsi="Palatino Linotype" w:cs="Palatino Linotype"/>
          <w:color w:val="000000"/>
          <w:sz w:val="24"/>
          <w:szCs w:val="24"/>
        </w:rPr>
        <w:t xml:space="preserve"> y demás disposiciones que resulten aplicables en la materia.</w:t>
      </w:r>
    </w:p>
    <w:p w:rsidR="00767C4D" w:rsidRDefault="00A23C3A">
      <w:pP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t xml:space="preserve">Para el alcance en materia de protección de datos personales, así como para su tratamiento, debemos considerar todas las operaciones efectuadas por los procedimientos manuales o automatizados aplicados a los datos personales, relativas a </w:t>
      </w:r>
      <w:r>
        <w:rPr>
          <w:rFonts w:ascii="Palatino Linotype" w:eastAsia="Palatino Linotype" w:hAnsi="Palatino Linotype" w:cs="Palatino Linotype"/>
          <w:b/>
          <w:color w:val="222222"/>
          <w:sz w:val="24"/>
          <w:szCs w:val="24"/>
          <w:highlight w:val="white"/>
        </w:rPr>
        <w:t>su obtención</w:t>
      </w:r>
      <w:r>
        <w:rPr>
          <w:rFonts w:ascii="Palatino Linotype" w:eastAsia="Palatino Linotype" w:hAnsi="Palatino Linotype" w:cs="Palatino Linotype"/>
          <w:color w:val="222222"/>
          <w:sz w:val="24"/>
          <w:szCs w:val="24"/>
          <w:highlight w:val="white"/>
        </w:rPr>
        <w:t xml:space="preserve">, </w:t>
      </w:r>
      <w:r>
        <w:rPr>
          <w:rFonts w:ascii="Palatino Linotype" w:eastAsia="Palatino Linotype" w:hAnsi="Palatino Linotype" w:cs="Palatino Linotype"/>
          <w:b/>
          <w:color w:val="222222"/>
          <w:sz w:val="24"/>
          <w:szCs w:val="24"/>
          <w:highlight w:val="white"/>
        </w:rPr>
        <w:t>uso, registro, organización, conservación, elaboración, utilización, comunicación, almacenamiento, posesión, acceso, manejo, aprovechamiento divulgación, difusión, transferencia o disposición</w:t>
      </w:r>
      <w:r>
        <w:rPr>
          <w:rFonts w:ascii="Palatino Linotype" w:eastAsia="Palatino Linotype" w:hAnsi="Palatino Linotype" w:cs="Palatino Linotype"/>
          <w:color w:val="222222"/>
          <w:sz w:val="24"/>
          <w:szCs w:val="24"/>
          <w:highlight w:val="white"/>
        </w:rPr>
        <w:t>.</w:t>
      </w: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222222"/>
          <w:sz w:val="24"/>
          <w:szCs w:val="24"/>
          <w:highlight w:val="white"/>
        </w:rPr>
        <w:t>Es así que, l</w:t>
      </w:r>
      <w:r>
        <w:rPr>
          <w:rFonts w:ascii="Palatino Linotype" w:eastAsia="Palatino Linotype" w:hAnsi="Palatino Linotype" w:cs="Palatino Linotype"/>
          <w:sz w:val="24"/>
          <w:szCs w:val="24"/>
        </w:rPr>
        <w:t>os derechos ARCO es el derecho humano con que cuenta una persona para la protección de sus datos personales, en posesión de Sujetos Obligados y el tratamiento de los mismos deber de sujetarse a los principios licitud, finalidad, lealtad, consentimiento, calidad, proporcionalidad, información y responsabilidad.</w: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Expuesto lo anterior, se procede al análisis de la totalidad de las constancias que integran el expediente electrónico del SARCOEM</w:t>
      </w:r>
      <w:proofErr w:type="gramStart"/>
      <w:r>
        <w:rPr>
          <w:rFonts w:ascii="Palatino Linotype" w:eastAsia="Palatino Linotype" w:hAnsi="Palatino Linotype" w:cs="Palatino Linotype"/>
          <w:sz w:val="24"/>
          <w:szCs w:val="24"/>
        </w:rPr>
        <w:t>,  con</w:t>
      </w:r>
      <w:proofErr w:type="gramEnd"/>
      <w:r>
        <w:rPr>
          <w:rFonts w:ascii="Palatino Linotype" w:eastAsia="Palatino Linotype" w:hAnsi="Palatino Linotype" w:cs="Palatino Linotype"/>
          <w:sz w:val="24"/>
          <w:szCs w:val="24"/>
        </w:rPr>
        <w:t xml:space="preserve"> el objeto de determinar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las atribuciones para administrar y generar la información requerida consistente en: </w:t>
      </w:r>
    </w:p>
    <w:p w:rsidR="00767C4D" w:rsidRDefault="00A23C3A">
      <w:pPr>
        <w:spacing w:before="240" w:after="240" w:line="360" w:lineRule="auto"/>
        <w:ind w:left="426" w:right="850" w:hanging="142"/>
        <w:jc w:val="both"/>
        <w:rPr>
          <w:rFonts w:ascii="Palatino Linotype" w:eastAsia="Palatino Linotype" w:hAnsi="Palatino Linotype" w:cs="Palatino Linotype"/>
          <w:i/>
          <w:color w:val="222222"/>
          <w:sz w:val="24"/>
          <w:szCs w:val="24"/>
          <w:highlight w:val="white"/>
        </w:rPr>
      </w:pPr>
      <w:r>
        <w:rPr>
          <w:rFonts w:ascii="Palatino Linotype" w:eastAsia="Palatino Linotype" w:hAnsi="Palatino Linotype" w:cs="Palatino Linotype"/>
          <w:b/>
          <w:i/>
          <w:color w:val="222222"/>
          <w:highlight w:val="white"/>
        </w:rPr>
        <w:t>“</w:t>
      </w:r>
      <w:r>
        <w:rPr>
          <w:rFonts w:ascii="Palatino Linotype" w:eastAsia="Palatino Linotype" w:hAnsi="Palatino Linotype" w:cs="Palatino Linotype"/>
          <w:i/>
          <w:color w:val="000000"/>
        </w:rPr>
        <w:t xml:space="preserve">Solicito se me informe que cantidad en pesos retiré de mis aportaciones al ISSEMYM. Mi número de Clave de ISSEMYM es </w:t>
      </w:r>
      <w:r w:rsidR="0064777E">
        <w:rPr>
          <w:rFonts w:ascii="Palatino Linotype" w:eastAsia="Palatino Linotype" w:hAnsi="Palatino Linotype" w:cs="Palatino Linotype"/>
          <w:i/>
          <w:color w:val="000000"/>
        </w:rPr>
        <w:t>XXXXXXX</w:t>
      </w:r>
      <w:bookmarkStart w:id="0" w:name="_GoBack"/>
      <w:bookmarkEnd w:id="0"/>
      <w:r>
        <w:rPr>
          <w:rFonts w:ascii="Palatino Linotype" w:eastAsia="Palatino Linotype" w:hAnsi="Palatino Linotype" w:cs="Palatino Linotype"/>
          <w:i/>
          <w:color w:val="222222"/>
        </w:rPr>
        <w:t xml:space="preserve">.” </w:t>
      </w:r>
      <w:r>
        <w:rPr>
          <w:rFonts w:ascii="Palatino Linotype" w:eastAsia="Palatino Linotype" w:hAnsi="Palatino Linotype" w:cs="Palatino Linotype"/>
          <w:i/>
          <w:color w:val="222222"/>
          <w:highlight w:val="white"/>
        </w:rPr>
        <w:t xml:space="preserve"> (</w:t>
      </w:r>
      <w:r>
        <w:rPr>
          <w:rFonts w:ascii="Palatino Linotype" w:eastAsia="Palatino Linotype" w:hAnsi="Palatino Linotype" w:cs="Palatino Linotype"/>
          <w:i/>
          <w:color w:val="222222"/>
          <w:sz w:val="24"/>
          <w:szCs w:val="24"/>
          <w:highlight w:val="white"/>
        </w:rPr>
        <w:t>Sic)</w:t>
      </w:r>
    </w:p>
    <w:p w:rsidR="00767C4D" w:rsidRDefault="00A23C3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sz w:val="24"/>
          <w:szCs w:val="24"/>
        </w:rPr>
        <w:lastRenderedPageBreak/>
        <w:t xml:space="preserve">Tomando en consideración que el recurso revisión tiene como finalidad reparar cualquier posible afectación al derecho de acceso a la información pública en términos del Título Octavo de la Ley de Transparencia, Acceso a la Información Pública del Estado de México y Municipios de aplicación supletoria y determinar la confirmación; revocación o modificación;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 xml:space="preserve"> o sobreseimiento; y en su caso ordenar la entrega de la información y, que en el caso que nos ocupa</w:t>
      </w:r>
      <w:r>
        <w:rPr>
          <w:rFonts w:ascii="Palatino Linotype" w:eastAsia="Palatino Linotype" w:hAnsi="Palatino Linotype" w:cs="Palatino Linotype"/>
          <w:color w:val="222222"/>
          <w:sz w:val="24"/>
          <w:szCs w:val="24"/>
          <w:highlight w:val="white"/>
        </w:rPr>
        <w:t xml:space="preserve">, </w:t>
      </w:r>
      <w:r>
        <w:rPr>
          <w:rFonts w:ascii="Palatino Linotype" w:eastAsia="Palatino Linotype" w:hAnsi="Palatino Linotype" w:cs="Palatino Linotype"/>
          <w:b/>
          <w:color w:val="222222"/>
          <w:sz w:val="24"/>
          <w:szCs w:val="24"/>
          <w:highlight w:val="white"/>
        </w:rPr>
        <w:t>EL RECURRENTE</w:t>
      </w:r>
      <w:r>
        <w:rPr>
          <w:rFonts w:ascii="Palatino Linotype" w:eastAsia="Palatino Linotype" w:hAnsi="Palatino Linotype" w:cs="Palatino Linotype"/>
          <w:color w:val="222222"/>
          <w:sz w:val="24"/>
          <w:szCs w:val="24"/>
          <w:highlight w:val="white"/>
        </w:rPr>
        <w:t xml:space="preserve">, requiere conocer la cantidad en pesos </w:t>
      </w:r>
      <w:r>
        <w:rPr>
          <w:rFonts w:ascii="Palatino Linotype" w:eastAsia="Palatino Linotype" w:hAnsi="Palatino Linotype" w:cs="Palatino Linotype"/>
          <w:color w:val="222222"/>
          <w:sz w:val="24"/>
          <w:szCs w:val="24"/>
        </w:rPr>
        <w:t xml:space="preserve">que retiró de sus aportaciones al </w:t>
      </w:r>
      <w:r>
        <w:rPr>
          <w:rFonts w:ascii="Palatino Linotype" w:eastAsia="Palatino Linotype" w:hAnsi="Palatino Linotype" w:cs="Palatino Linotype"/>
          <w:b/>
          <w:color w:val="222222"/>
          <w:sz w:val="24"/>
          <w:szCs w:val="24"/>
        </w:rPr>
        <w:t xml:space="preserve">ISSEMYM, </w:t>
      </w:r>
      <w:r>
        <w:rPr>
          <w:rFonts w:ascii="Palatino Linotype" w:eastAsia="Palatino Linotype" w:hAnsi="Palatino Linotype" w:cs="Palatino Linotype"/>
          <w:color w:val="222222"/>
          <w:sz w:val="24"/>
          <w:szCs w:val="24"/>
          <w:highlight w:val="white"/>
        </w:rPr>
        <w:t xml:space="preserve"> por lo que es necesario destacar que en el ejercicio de sus atribuciones y facultades </w:t>
      </w:r>
      <w:r>
        <w:rPr>
          <w:rFonts w:ascii="Palatino Linotype" w:eastAsia="Palatino Linotype" w:hAnsi="Palatino Linotype" w:cs="Palatino Linotype"/>
          <w:color w:val="222222"/>
          <w:sz w:val="24"/>
          <w:szCs w:val="24"/>
        </w:rPr>
        <w:t xml:space="preserve">el </w:t>
      </w:r>
      <w:r>
        <w:rPr>
          <w:rFonts w:ascii="Palatino Linotype" w:eastAsia="Palatino Linotype" w:hAnsi="Palatino Linotype" w:cs="Palatino Linotype"/>
          <w:b/>
          <w:color w:val="222222"/>
          <w:sz w:val="24"/>
          <w:szCs w:val="24"/>
        </w:rPr>
        <w:t>SUJETO OBLIGADO</w:t>
      </w:r>
      <w:r>
        <w:rPr>
          <w:rFonts w:ascii="Palatino Linotype" w:eastAsia="Palatino Linotype" w:hAnsi="Palatino Linotype" w:cs="Palatino Linotype"/>
          <w:color w:val="222222"/>
          <w:sz w:val="24"/>
          <w:szCs w:val="24"/>
          <w:highlight w:val="white"/>
        </w:rPr>
        <w:t xml:space="preserve"> dio a conocer al titular </w:t>
      </w:r>
      <w:r>
        <w:rPr>
          <w:rFonts w:ascii="Palatino Linotype" w:eastAsia="Palatino Linotype" w:hAnsi="Palatino Linotype" w:cs="Palatino Linotype"/>
          <w:color w:val="222222"/>
          <w:sz w:val="24"/>
          <w:szCs w:val="24"/>
        </w:rPr>
        <w:t>que</w:t>
      </w:r>
      <w:r>
        <w:rPr>
          <w:rFonts w:ascii="Palatino Linotype" w:eastAsia="Palatino Linotype" w:hAnsi="Palatino Linotype" w:cs="Palatino Linotype"/>
          <w:color w:val="222222"/>
          <w:sz w:val="24"/>
          <w:szCs w:val="24"/>
          <w:highlight w:val="white"/>
        </w:rPr>
        <w:t xml:space="preserve"> una vez realizada la búsqueda de la información solicitada en los archivos del Instituto de Seguridad Social del Estado de México y Municipios, con los datos proporcionados, el Departamento de Cuentas Individuales </w:t>
      </w:r>
      <w:r>
        <w:rPr>
          <w:rFonts w:ascii="Palatino Linotype" w:eastAsia="Palatino Linotype" w:hAnsi="Palatino Linotype" w:cs="Palatino Linotype"/>
          <w:b/>
          <w:color w:val="222222"/>
          <w:sz w:val="24"/>
          <w:szCs w:val="24"/>
          <w:highlight w:val="white"/>
          <w:u w:val="single"/>
        </w:rPr>
        <w:t>informó que no existe trámite de retiro de aportaciones</w:t>
      </w:r>
      <w:r>
        <w:rPr>
          <w:rFonts w:ascii="Palatino Linotype" w:eastAsia="Palatino Linotype" w:hAnsi="Palatino Linotype" w:cs="Palatino Linotype"/>
          <w:color w:val="222222"/>
          <w:sz w:val="24"/>
          <w:szCs w:val="24"/>
          <w:highlight w:val="white"/>
        </w:rPr>
        <w:t xml:space="preserve">; asimismo, refirió que el particular no participa en este sistema, por lo que, no es posible proporcionar la información solicitada, por no obrar en los archivos del Instituto. </w:t>
      </w: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este tenor, es importante señalar que la Ley de Protección de Datos Personales en Posesión de Sujetos Obligados en el Estado de México establece en su artículo 11 que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Código Civil del Estado de México.</w:t>
      </w:r>
    </w:p>
    <w:p w:rsidR="00767C4D" w:rsidRDefault="00767C4D">
      <w:pPr>
        <w:spacing w:after="0" w:line="360" w:lineRule="auto"/>
        <w:ind w:left="426"/>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esa tesitura, es de referir que la Unidad de Transparencia Responsable realizó el requerimiento correspondiente al  áreas responsable de generar, poseer o en su caso administrar la información solicitada, tal como lo establece el artículo 162 de la Ley de Transparencia en la entidad, en el que describe el procedimiento de acceso a la información pública para atender las solicitudes que presenten las personas en ejercicio de su derecho, entre los cuales se encuentra el deber de las unidades de transparencia la de turnar </w:t>
      </w:r>
      <w:r>
        <w:rPr>
          <w:rFonts w:ascii="Palatino Linotype" w:eastAsia="Palatino Linotype" w:hAnsi="Palatino Linotype" w:cs="Palatino Linotype"/>
          <w:i/>
          <w:sz w:val="24"/>
          <w:szCs w:val="24"/>
        </w:rPr>
        <w:t xml:space="preserve">a todas las áreas competentes que cuenten con la información o deban tenerla de acuerdo a sus facultades, competencias y funciones, </w:t>
      </w:r>
      <w:r>
        <w:rPr>
          <w:rFonts w:ascii="Palatino Linotype" w:eastAsia="Palatino Linotype" w:hAnsi="Palatino Linotype" w:cs="Palatino Linotype"/>
          <w:b/>
          <w:i/>
          <w:sz w:val="24"/>
          <w:szCs w:val="24"/>
          <w:u w:val="single"/>
        </w:rPr>
        <w:t>con el objeto de que realicen una búsqueda exhaustiva y razonable de la información solicitada</w:t>
      </w:r>
      <w:r>
        <w:rPr>
          <w:rFonts w:ascii="Palatino Linotype" w:eastAsia="Palatino Linotype" w:hAnsi="Palatino Linotype" w:cs="Palatino Linotype"/>
          <w:i/>
          <w:sz w:val="24"/>
          <w:szCs w:val="24"/>
        </w:rPr>
        <w:t xml:space="preserve">. </w:t>
      </w:r>
    </w:p>
    <w:p w:rsidR="00767C4D" w:rsidRDefault="00767C4D">
      <w:pPr>
        <w:spacing w:after="80" w:line="360" w:lineRule="auto"/>
        <w:ind w:left="360"/>
        <w:jc w:val="both"/>
        <w:rPr>
          <w:rFonts w:ascii="Palatino Linotype" w:eastAsia="Palatino Linotype" w:hAnsi="Palatino Linotype" w:cs="Palatino Linotype"/>
        </w:rPr>
      </w:pPr>
    </w:p>
    <w:p w:rsidR="00767C4D" w:rsidRDefault="00A23C3A">
      <w:pPr>
        <w:spacing w:before="80" w:after="240" w:line="360" w:lineRule="auto"/>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noProof/>
          <w:color w:val="222222"/>
          <w:sz w:val="24"/>
          <w:szCs w:val="24"/>
          <w:lang w:val="es-MX"/>
        </w:rPr>
        <w:drawing>
          <wp:inline distT="0" distB="0" distL="0" distR="0">
            <wp:extent cx="5585460" cy="1685925"/>
            <wp:effectExtent l="12700" t="12700" r="12700" b="1270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85460" cy="1685925"/>
                    </a:xfrm>
                    <a:prstGeom prst="rect">
                      <a:avLst/>
                    </a:prstGeom>
                    <a:ln w="12700">
                      <a:solidFill>
                        <a:srgbClr val="000000"/>
                      </a:solidFill>
                      <a:prstDash val="solid"/>
                    </a:ln>
                  </pic:spPr>
                </pic:pic>
              </a:graphicData>
            </a:graphic>
          </wp:inline>
        </w:drawing>
      </w:r>
    </w:p>
    <w:p w:rsidR="00767C4D" w:rsidRDefault="00A23C3A">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imagen que antecede se puede observar que el requerimiento fue hecho al Lic. Juan Carlos Melgarejo Carrillo titular de la Coordinación de Prestaciones y Seguridad Social, de acuerdo al directorio publicado en el Portal de Información Pública de Oficio (IPOMEX) en la fracción VII relativa al Directorio de todos los servidores públicos, tal como se observa en la siguiente captura de pantalla:</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w:lastRenderedPageBreak/>
        <w:drawing>
          <wp:inline distT="0" distB="0" distL="0" distR="0">
            <wp:extent cx="5760720" cy="3702685"/>
            <wp:effectExtent l="12700" t="12700" r="12700" b="12700"/>
            <wp:docPr id="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760720" cy="3702685"/>
                    </a:xfrm>
                    <a:prstGeom prst="rect">
                      <a:avLst/>
                    </a:prstGeom>
                    <a:ln w="12700">
                      <a:solidFill>
                        <a:srgbClr val="000000"/>
                      </a:solidFill>
                      <a:prstDash val="solid"/>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2743200</wp:posOffset>
                </wp:positionV>
                <wp:extent cx="3759200" cy="977265"/>
                <wp:effectExtent l="0" t="0" r="0" b="0"/>
                <wp:wrapNone/>
                <wp:docPr id="62" name="Rectángulo 62"/>
                <wp:cNvGraphicFramePr/>
                <a:graphic xmlns:a="http://schemas.openxmlformats.org/drawingml/2006/main">
                  <a:graphicData uri="http://schemas.microsoft.com/office/word/2010/wordprocessingShape">
                    <wps:wsp>
                      <wps:cNvSpPr/>
                      <wps:spPr>
                        <a:xfrm>
                          <a:off x="3479100" y="3304068"/>
                          <a:ext cx="3733800" cy="951865"/>
                        </a:xfrm>
                        <a:prstGeom prst="rect">
                          <a:avLst/>
                        </a:prstGeom>
                        <a:noFill/>
                        <a:ln w="12700" cap="flat" cmpd="sng">
                          <a:solidFill>
                            <a:srgbClr val="FF0000"/>
                          </a:solidFill>
                          <a:prstDash val="solid"/>
                          <a:miter lim="800000"/>
                          <a:headEnd type="none" w="sm" len="sm"/>
                          <a:tailEnd type="none" w="sm" len="sm"/>
                        </a:ln>
                      </wps:spPr>
                      <wps:txbx>
                        <w:txbxContent>
                          <w:p w:rsidR="00767C4D" w:rsidRDefault="00767C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2743200</wp:posOffset>
                </wp:positionV>
                <wp:extent cx="3759200" cy="977265"/>
                <wp:effectExtent b="0" l="0" r="0" t="0"/>
                <wp:wrapNone/>
                <wp:docPr id="6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759200" cy="977265"/>
                        </a:xfrm>
                        <a:prstGeom prst="rect"/>
                        <a:ln/>
                      </pic:spPr>
                    </pic:pic>
                  </a:graphicData>
                </a:graphic>
              </wp:anchor>
            </w:drawing>
          </mc:Fallback>
        </mc:AlternateContent>
      </w: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orden de ideas, es importante citar que el Manual General de Organización del Instituto de Seguridad Social del Estado de México y Municipios establece que de la Coordinación de Prestaciones y Seguridad Social depende el Departamento de Cuentas Individuales, tal como se visualiza en la imagen siguiente: </w:t>
      </w:r>
    </w:p>
    <w:p w:rsidR="00767C4D" w:rsidRDefault="00767C4D">
      <w:pPr>
        <w:spacing w:after="0" w:line="360" w:lineRule="auto"/>
        <w:ind w:left="360"/>
        <w:jc w:val="both"/>
        <w:rPr>
          <w:rFonts w:ascii="Palatino Linotype" w:eastAsia="Palatino Linotype" w:hAnsi="Palatino Linotype" w:cs="Palatino Linotype"/>
        </w:rPr>
      </w:pPr>
    </w:p>
    <w:p w:rsidR="00767C4D" w:rsidRDefault="00767C4D">
      <w:pPr>
        <w:spacing w:after="0" w:line="360" w:lineRule="auto"/>
        <w:ind w:left="360"/>
        <w:jc w:val="both"/>
        <w:rPr>
          <w:rFonts w:ascii="Palatino Linotype" w:eastAsia="Palatino Linotype" w:hAnsi="Palatino Linotype" w:cs="Palatino Linotype"/>
        </w:rPr>
      </w:pPr>
    </w:p>
    <w:p w:rsidR="00767C4D" w:rsidRDefault="00A23C3A">
      <w:pPr>
        <w:spacing w:after="0" w:line="360" w:lineRule="auto"/>
        <w:ind w:left="360"/>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276850" cy="4838700"/>
            <wp:effectExtent l="12700" t="12700" r="12700" b="1270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276850" cy="4838700"/>
                    </a:xfrm>
                    <a:prstGeom prst="rect">
                      <a:avLst/>
                    </a:prstGeom>
                    <a:ln w="12700">
                      <a:solidFill>
                        <a:srgbClr val="000000"/>
                      </a:solidFill>
                      <a:prstDash val="solid"/>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2298700</wp:posOffset>
                </wp:positionH>
                <wp:positionV relativeFrom="paragraph">
                  <wp:posOffset>1346200</wp:posOffset>
                </wp:positionV>
                <wp:extent cx="781050" cy="523875"/>
                <wp:effectExtent l="0" t="0" r="0" b="0"/>
                <wp:wrapNone/>
                <wp:docPr id="61" name="Rectángulo 61"/>
                <wp:cNvGraphicFramePr/>
                <a:graphic xmlns:a="http://schemas.openxmlformats.org/drawingml/2006/main">
                  <a:graphicData uri="http://schemas.microsoft.com/office/word/2010/wordprocessingShape">
                    <wps:wsp>
                      <wps:cNvSpPr/>
                      <wps:spPr>
                        <a:xfrm>
                          <a:off x="4984050" y="3546638"/>
                          <a:ext cx="723900" cy="466725"/>
                        </a:xfrm>
                        <a:prstGeom prst="rect">
                          <a:avLst/>
                        </a:prstGeom>
                        <a:noFill/>
                        <a:ln w="28575" cap="flat" cmpd="sng">
                          <a:solidFill>
                            <a:srgbClr val="FF0000"/>
                          </a:solidFill>
                          <a:prstDash val="solid"/>
                          <a:miter lim="800000"/>
                          <a:headEnd type="none" w="sm" len="sm"/>
                          <a:tailEnd type="none" w="sm" len="sm"/>
                        </a:ln>
                      </wps:spPr>
                      <wps:txbx>
                        <w:txbxContent>
                          <w:p w:rsidR="00767C4D" w:rsidRDefault="00767C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1346200</wp:posOffset>
                </wp:positionV>
                <wp:extent cx="781050" cy="523875"/>
                <wp:effectExtent b="0" l="0" r="0" t="0"/>
                <wp:wrapNone/>
                <wp:docPr id="6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781050" cy="52387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1879600</wp:posOffset>
                </wp:positionH>
                <wp:positionV relativeFrom="paragraph">
                  <wp:posOffset>3975100</wp:posOffset>
                </wp:positionV>
                <wp:extent cx="781050" cy="523875"/>
                <wp:effectExtent l="0" t="0" r="0" b="0"/>
                <wp:wrapNone/>
                <wp:docPr id="63" name="Rectángulo 63"/>
                <wp:cNvGraphicFramePr/>
                <a:graphic xmlns:a="http://schemas.openxmlformats.org/drawingml/2006/main">
                  <a:graphicData uri="http://schemas.microsoft.com/office/word/2010/wordprocessingShape">
                    <wps:wsp>
                      <wps:cNvSpPr/>
                      <wps:spPr>
                        <a:xfrm>
                          <a:off x="4984050" y="3546638"/>
                          <a:ext cx="723900" cy="466725"/>
                        </a:xfrm>
                        <a:prstGeom prst="rect">
                          <a:avLst/>
                        </a:prstGeom>
                        <a:noFill/>
                        <a:ln w="28575" cap="flat" cmpd="sng">
                          <a:solidFill>
                            <a:srgbClr val="FF0000"/>
                          </a:solidFill>
                          <a:prstDash val="solid"/>
                          <a:miter lim="800000"/>
                          <a:headEnd type="none" w="sm" len="sm"/>
                          <a:tailEnd type="none" w="sm" len="sm"/>
                        </a:ln>
                      </wps:spPr>
                      <wps:txbx>
                        <w:txbxContent>
                          <w:p w:rsidR="00767C4D" w:rsidRDefault="00767C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3975100</wp:posOffset>
                </wp:positionV>
                <wp:extent cx="781050" cy="523875"/>
                <wp:effectExtent b="0" l="0" r="0" t="0"/>
                <wp:wrapNone/>
                <wp:docPr id="6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781050" cy="523875"/>
                        </a:xfrm>
                        <a:prstGeom prst="rect"/>
                        <a:ln/>
                      </pic:spPr>
                    </pic:pic>
                  </a:graphicData>
                </a:graphic>
              </wp:anchor>
            </w:drawing>
          </mc:Fallback>
        </mc:AlternateConten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el Manual General de Organización de referencia establece como objetivo y funciones de la Coordinación de Prestaciones de Seguridad Social y del Departamento de Control de Cuentas Individuales las siguientes: </w:t>
      </w:r>
    </w:p>
    <w:p w:rsidR="00767C4D" w:rsidRDefault="00767C4D">
      <w:pPr>
        <w:spacing w:after="0" w:line="360" w:lineRule="auto"/>
        <w:ind w:left="360"/>
        <w:jc w:val="both"/>
        <w:rPr>
          <w:rFonts w:ascii="Palatino Linotype" w:eastAsia="Palatino Linotype" w:hAnsi="Palatino Linotype" w:cs="Palatino Linotype"/>
        </w:rPr>
      </w:pPr>
    </w:p>
    <w:p w:rsidR="00767C4D" w:rsidRDefault="00767C4D">
      <w:pPr>
        <w:spacing w:after="0" w:line="360" w:lineRule="auto"/>
        <w:ind w:left="360"/>
        <w:jc w:val="both"/>
        <w:rPr>
          <w:rFonts w:ascii="Palatino Linotype" w:eastAsia="Palatino Linotype" w:hAnsi="Palatino Linotype" w:cs="Palatino Linotype"/>
        </w:rPr>
      </w:pPr>
    </w:p>
    <w:p w:rsidR="00767C4D" w:rsidRDefault="00767C4D">
      <w:pPr>
        <w:spacing w:after="0" w:line="360" w:lineRule="auto"/>
        <w:ind w:left="360"/>
        <w:jc w:val="both"/>
        <w:rPr>
          <w:rFonts w:ascii="Palatino Linotype" w:eastAsia="Palatino Linotype" w:hAnsi="Palatino Linotype" w:cs="Palatino Linotype"/>
        </w:rPr>
      </w:pPr>
    </w:p>
    <w:p w:rsidR="00767C4D" w:rsidRDefault="00A23C3A">
      <w:pPr>
        <w:tabs>
          <w:tab w:val="left" w:pos="8222"/>
        </w:tabs>
        <w:spacing w:after="0" w:line="276" w:lineRule="auto"/>
        <w:ind w:left="851" w:right="616"/>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“203F40000 COORDINACIÓN DE PRESTACIONES DE SEGURIDAD SOCIAL</w:t>
      </w:r>
    </w:p>
    <w:p w:rsidR="00767C4D" w:rsidRDefault="00A23C3A">
      <w:pPr>
        <w:tabs>
          <w:tab w:val="left" w:pos="8222"/>
        </w:tabs>
        <w:spacing w:after="0" w:line="276" w:lineRule="auto"/>
        <w:ind w:left="851" w:right="61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OBJETIVO: </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Planear, organizar y dirigir las acciones que permitan a los derechohabientes el acceso al régimen de seguridad social y a las prestaciones de tipo económico, social y cultural que establece la Ley de Seguridad Social para los Servidores Públicos del Estado de México y Municipios.</w:t>
      </w:r>
    </w:p>
    <w:p w:rsidR="00767C4D" w:rsidRDefault="00A23C3A">
      <w:pPr>
        <w:tabs>
          <w:tab w:val="left" w:pos="8222"/>
        </w:tabs>
        <w:spacing w:after="0" w:line="276" w:lineRule="auto"/>
        <w:ind w:left="851" w:right="616"/>
        <w:jc w:val="both"/>
        <w:rPr>
          <w:rFonts w:ascii="Palatino Linotype" w:eastAsia="Palatino Linotype" w:hAnsi="Palatino Linotype" w:cs="Palatino Linotype"/>
          <w:b/>
          <w:i/>
        </w:rPr>
      </w:pPr>
      <w:r>
        <w:rPr>
          <w:rFonts w:ascii="Palatino Linotype" w:eastAsia="Palatino Linotype" w:hAnsi="Palatino Linotype" w:cs="Palatino Linotype"/>
          <w:b/>
          <w:i/>
        </w:rPr>
        <w:t>FUNCIONES:</w:t>
      </w:r>
    </w:p>
    <w:p w:rsidR="00767C4D" w:rsidRDefault="00A23C3A">
      <w:pPr>
        <w:tabs>
          <w:tab w:val="left" w:pos="8222"/>
        </w:tabs>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numPr>
          <w:ilvl w:val="0"/>
          <w:numId w:val="4"/>
        </w:numPr>
        <w:pBdr>
          <w:top w:val="nil"/>
          <w:left w:val="nil"/>
          <w:bottom w:val="nil"/>
          <w:right w:val="nil"/>
          <w:between w:val="nil"/>
        </w:pBdr>
        <w:tabs>
          <w:tab w:val="left" w:pos="8222"/>
        </w:tabs>
        <w:spacing w:after="0" w:line="276" w:lineRule="auto"/>
        <w:ind w:left="851" w:right="616" w:firstLine="0"/>
        <w:jc w:val="both"/>
        <w:rPr>
          <w:rFonts w:ascii="Palatino Linotype" w:eastAsia="Palatino Linotype" w:hAnsi="Palatino Linotype" w:cs="Palatino Linotype"/>
          <w:b/>
          <w:i/>
          <w:color w:val="000000"/>
          <w:sz w:val="24"/>
          <w:szCs w:val="24"/>
        </w:rPr>
      </w:pPr>
      <w:proofErr w:type="spellStart"/>
      <w:r>
        <w:rPr>
          <w:rFonts w:ascii="Palatino Linotype" w:eastAsia="Palatino Linotype" w:hAnsi="Palatino Linotype" w:cs="Palatino Linotype"/>
          <w:b/>
          <w:i/>
          <w:color w:val="000000"/>
          <w:sz w:val="24"/>
          <w:szCs w:val="24"/>
        </w:rPr>
        <w:t>Vverificar</w:t>
      </w:r>
      <w:proofErr w:type="spellEnd"/>
      <w:r>
        <w:rPr>
          <w:rFonts w:ascii="Palatino Linotype" w:eastAsia="Palatino Linotype" w:hAnsi="Palatino Linotype" w:cs="Palatino Linotype"/>
          <w:b/>
          <w:i/>
          <w:color w:val="000000"/>
          <w:sz w:val="24"/>
          <w:szCs w:val="24"/>
        </w:rPr>
        <w:t xml:space="preserve"> que se realicen los traspasos de las cuotas y aportaciones del Sistema de Capitalización Individual a la administradora de las cuentas individuales.</w:t>
      </w:r>
    </w:p>
    <w:p w:rsidR="00767C4D" w:rsidRDefault="00A23C3A">
      <w:pPr>
        <w:tabs>
          <w:tab w:val="left" w:pos="8222"/>
        </w:tabs>
        <w:spacing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767C4D" w:rsidRDefault="00A23C3A">
      <w:pPr>
        <w:numPr>
          <w:ilvl w:val="0"/>
          <w:numId w:val="4"/>
        </w:numPr>
        <w:pBdr>
          <w:top w:val="nil"/>
          <w:left w:val="nil"/>
          <w:bottom w:val="nil"/>
          <w:right w:val="nil"/>
          <w:between w:val="nil"/>
        </w:pBdr>
        <w:tabs>
          <w:tab w:val="left" w:pos="8222"/>
        </w:tabs>
        <w:spacing w:after="0" w:line="276"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Integrar y actualizar la información pública de oficio de su competencia, en el sistema electrónico IPOMEX, así como </w:t>
      </w:r>
      <w:r>
        <w:rPr>
          <w:rFonts w:ascii="Palatino Linotype" w:eastAsia="Palatino Linotype" w:hAnsi="Palatino Linotype" w:cs="Palatino Linotype"/>
          <w:b/>
          <w:i/>
          <w:color w:val="000000"/>
        </w:rPr>
        <w:t>atender los requerimientos de la Unidad de Información</w:t>
      </w:r>
      <w:r>
        <w:rPr>
          <w:rFonts w:ascii="Palatino Linotype" w:eastAsia="Palatino Linotype" w:hAnsi="Palatino Linotype" w:cs="Palatino Linotype"/>
          <w:i/>
          <w:color w:val="000000"/>
        </w:rPr>
        <w:t>, Planeación, Programación y Evaluación, derivados de las solicitudes de información presentadas por los particulares, que esté bajo su resguardo y no se encuentre clasificada como reservada.</w:t>
      </w:r>
    </w:p>
    <w:p w:rsidR="00767C4D" w:rsidRDefault="00A23C3A">
      <w:pPr>
        <w:numPr>
          <w:ilvl w:val="0"/>
          <w:numId w:val="4"/>
        </w:numPr>
        <w:pBdr>
          <w:top w:val="nil"/>
          <w:left w:val="nil"/>
          <w:bottom w:val="nil"/>
          <w:right w:val="nil"/>
          <w:between w:val="nil"/>
        </w:pBdr>
        <w:tabs>
          <w:tab w:val="left" w:pos="8222"/>
        </w:tabs>
        <w:spacing w:after="0" w:line="276"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767C4D" w:rsidRDefault="00A23C3A">
      <w:pPr>
        <w:tabs>
          <w:tab w:val="left" w:pos="8222"/>
        </w:tabs>
        <w:spacing w:after="0" w:line="276" w:lineRule="auto"/>
        <w:ind w:left="851" w:right="616"/>
        <w:jc w:val="both"/>
        <w:rPr>
          <w:rFonts w:ascii="Palatino Linotype" w:eastAsia="Palatino Linotype" w:hAnsi="Palatino Linotype" w:cs="Palatino Linotype"/>
          <w:b/>
          <w:i/>
        </w:rPr>
      </w:pPr>
      <w:r>
        <w:rPr>
          <w:rFonts w:ascii="Palatino Linotype" w:eastAsia="Palatino Linotype" w:hAnsi="Palatino Linotype" w:cs="Palatino Linotype"/>
          <w:b/>
          <w:i/>
        </w:rPr>
        <w:t>03F42202 DEPARTAMENTO DE CONTROL DE CUENTAS INDIVIDUALES</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b/>
          <w:i/>
        </w:rPr>
        <w:t>OBJETIVO</w:t>
      </w:r>
      <w:r>
        <w:rPr>
          <w:rFonts w:ascii="Palatino Linotype" w:eastAsia="Palatino Linotype" w:hAnsi="Palatino Linotype" w:cs="Palatino Linotype"/>
          <w:i/>
        </w:rPr>
        <w:t>:</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Administrar y supervisar la correcta operación del Sistema de Capitalización Individual para garantizar el otorgamiento de sus beneficios a los derechohabientes.</w:t>
      </w:r>
    </w:p>
    <w:p w:rsidR="00767C4D" w:rsidRDefault="00A23C3A">
      <w:pPr>
        <w:tabs>
          <w:tab w:val="left" w:pos="8222"/>
        </w:tabs>
        <w:spacing w:after="0" w:line="276" w:lineRule="auto"/>
        <w:ind w:left="851" w:right="616"/>
        <w:jc w:val="both"/>
        <w:rPr>
          <w:rFonts w:ascii="Palatino Linotype" w:eastAsia="Palatino Linotype" w:hAnsi="Palatino Linotype" w:cs="Palatino Linotype"/>
          <w:b/>
          <w:i/>
        </w:rPr>
      </w:pPr>
      <w:r>
        <w:rPr>
          <w:rFonts w:ascii="Palatino Linotype" w:eastAsia="Palatino Linotype" w:hAnsi="Palatino Linotype" w:cs="Palatino Linotype"/>
          <w:b/>
          <w:i/>
        </w:rPr>
        <w:t>FUNCIONES:</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Integrar y actualizar la base de datos del Sistema de Capitalización Individual, con base en la información institucional recibida, a fin de mantenerla actualizada</w:t>
      </w:r>
      <w:r>
        <w:rPr>
          <w:rFonts w:ascii="Palatino Linotype" w:eastAsia="Palatino Linotype" w:hAnsi="Palatino Linotype" w:cs="Palatino Linotype"/>
          <w:i/>
        </w:rPr>
        <w:t>.</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Establecer y mantener coordinación con la administradora del sistema que opera el </w:t>
      </w:r>
      <w:r>
        <w:rPr>
          <w:rFonts w:ascii="Palatino Linotype" w:eastAsia="Palatino Linotype" w:hAnsi="Palatino Linotype" w:cs="Palatino Linotype"/>
          <w:b/>
          <w:i/>
          <w:u w:val="single"/>
        </w:rPr>
        <w:t>histórico de movimientos del Sistema de Capitalización Individual</w:t>
      </w:r>
      <w:r>
        <w:rPr>
          <w:rFonts w:ascii="Palatino Linotype" w:eastAsia="Palatino Linotype" w:hAnsi="Palatino Linotype" w:cs="Palatino Linotype"/>
          <w:b/>
          <w:i/>
        </w:rPr>
        <w:t xml:space="preserve">, </w:t>
      </w:r>
      <w:r>
        <w:rPr>
          <w:rFonts w:ascii="Palatino Linotype" w:eastAsia="Palatino Linotype" w:hAnsi="Palatino Linotype" w:cs="Palatino Linotype"/>
          <w:b/>
          <w:i/>
        </w:rPr>
        <w:lastRenderedPageBreak/>
        <w:t>para la actualización de las cuentas individuales y disponibilidad de los estados de cuenta</w:t>
      </w:r>
      <w:r>
        <w:rPr>
          <w:rFonts w:ascii="Palatino Linotype" w:eastAsia="Palatino Linotype" w:hAnsi="Palatino Linotype" w:cs="Palatino Linotype"/>
          <w:i/>
        </w:rPr>
        <w:t>.</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Elaborar propuestas para modificar la comisión por gastos de administración al Sistema de Capitalización Individual, para su aplicación una vez autorizada por el Consejo Directivo.</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Gestionar y verificar, en coordinación con las instancias competentes del Instituto, el traspaso de las cuotas y aportaciones del Sistema de Capitalización Individual a la administradora del sistema para su individualización.</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Tramitar y verificar el cálculo y pago de rendimientos pendientes de enterar, con el propósito de que la administradora del sistema los integre a las cuentas individuales.</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Realizar o solicitar los reportes e informes necesarios, relacionados con el Sistema de Capitalización Individual, que permitan la toma de decisiones.</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Revisar que la administradora del sistema aplique las bases y porcentaje autorizado por el Consejo Directivo para los gastos de administración del Sistema de Capitalización Individual.</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Realizar los trámites necesarios para modificar, conforme a la normatividad, los datos del servidor público y, en su caso, el alta, baja o modificación de la subcuenta voluntaria.</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Verificar que los criterios de integración de la información de la base de datos, sean aplicados y ejecutados por la administradora del sistema.</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Verificar que la administradora del sistema realice el envío de los estados de cuenta a los participantes del mismo, a fin de dar a conocer el saldo de su cuenta individual</w:t>
      </w:r>
      <w:r>
        <w:rPr>
          <w:rFonts w:ascii="Palatino Linotype" w:eastAsia="Palatino Linotype" w:hAnsi="Palatino Linotype" w:cs="Palatino Linotype"/>
          <w:i/>
        </w:rPr>
        <w:t>.</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Verificar la aplicación del estímulo por permanencia en el servicio, determinado por el Departamento de Pensiones para el pago correspondiente.</w:t>
      </w:r>
    </w:p>
    <w:p w:rsidR="00767C4D" w:rsidRDefault="00A23C3A">
      <w:pPr>
        <w:tabs>
          <w:tab w:val="left" w:pos="8222"/>
        </w:tabs>
        <w:spacing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 Desarrollar las demás funciones inherentes al área de su competencia.</w:t>
      </w:r>
    </w:p>
    <w:p w:rsidR="00767C4D" w:rsidRDefault="00767C4D">
      <w:pPr>
        <w:tabs>
          <w:tab w:val="left" w:pos="8222"/>
        </w:tabs>
        <w:spacing w:after="0" w:line="276" w:lineRule="auto"/>
        <w:ind w:left="851" w:right="616"/>
        <w:jc w:val="both"/>
        <w:rPr>
          <w:rFonts w:ascii="Palatino Linotype" w:eastAsia="Palatino Linotype" w:hAnsi="Palatino Linotype" w:cs="Palatino Linotype"/>
          <w:i/>
        </w:rPr>
      </w:pPr>
    </w:p>
    <w:p w:rsidR="00767C4D" w:rsidRDefault="00A23C3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Por consiguiente, de los preceptos jurídicos citados se colige, que el Servidor Público Habilitado, del Coordinador de Prestaciones de Seguridad Social, de quien depende el Departamento de Control de Cuentas Individuales, es el Servidor Público facultado para atender el requerimiento formulado por el titular de los datos personales, quien respondió que</w:t>
      </w:r>
      <w:r>
        <w:rPr>
          <w:rFonts w:ascii="Palatino Linotype" w:eastAsia="Palatino Linotype" w:hAnsi="Palatino Linotype" w:cs="Palatino Linotype"/>
          <w:b/>
          <w:sz w:val="24"/>
          <w:szCs w:val="24"/>
        </w:rPr>
        <w:t xml:space="preserve"> no existe trámite de retiro de aportaciones</w:t>
      </w:r>
      <w:r>
        <w:rPr>
          <w:rFonts w:ascii="Palatino Linotype" w:eastAsia="Palatino Linotype" w:hAnsi="Palatino Linotype" w:cs="Palatino Linotype"/>
          <w:sz w:val="24"/>
          <w:szCs w:val="24"/>
        </w:rPr>
        <w:t xml:space="preserve">. </w:t>
      </w:r>
    </w:p>
    <w:p w:rsidR="00767C4D" w:rsidRDefault="00767C4D">
      <w:pPr>
        <w:spacing w:after="0" w:line="360" w:lineRule="auto"/>
        <w:ind w:left="360"/>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en su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manifestó que el particular no participa en el Sistema de Capitalización Individual por lo que no es posible proporcionar la información solicitada por no obrar en sus archivos. </w: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Por otro lado, cabe señalar, que una vez interpuesto el recurso de revisión y posterior al cierre de la etapa de conciliación,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en uso de su derecho, a través del informe justificado, manifestó que: </w:t>
      </w:r>
      <w:r>
        <w:rPr>
          <w:rFonts w:ascii="Palatino Linotype" w:eastAsia="Palatino Linotype" w:hAnsi="Palatino Linotype" w:cs="Palatino Linotype"/>
          <w:i/>
          <w:sz w:val="24"/>
          <w:szCs w:val="24"/>
        </w:rPr>
        <w:t>“En fecha 19 de enero de 2022,mediante oficio número 207C0401500000/049/2022, el Servidor Público Habilitado de la Coordinación de Prestaciones y Seguridad Social, informó que se localizaron dos claves de ISSEMYM, por lo que se sugiere al particular realice el trámite de la unificación de claves…”</w:t>
      </w:r>
    </w:p>
    <w:p w:rsidR="00767C4D" w:rsidRDefault="00767C4D">
      <w:pPr>
        <w:spacing w:after="0" w:line="360" w:lineRule="auto"/>
        <w:jc w:val="both"/>
        <w:rPr>
          <w:rFonts w:ascii="Palatino Linotype" w:eastAsia="Palatino Linotype" w:hAnsi="Palatino Linotype" w:cs="Palatino Linotype"/>
          <w:i/>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refirió que el Sistema de Capitalización Individual es el mecanismo de ahorro mediante el cual el servidor público y la institución pública en la que labora acumulan recursos para la etapa de retiro, adicional a la pensión y es entregado conforme a lo establecido en la Ley de Seguridad Social para los Servidores Públicos del Estado de México y Municipios. </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igual forma enfatizó que a partir de la entrada en vigor de la Ley en comento del 1 de julio de 2002, la participación de los servidores públicos en el sistema de capitalización individual es obligatoria se podrá retirar siempre y cuando se encuentre en los siguientes supuestos: </w:t>
      </w:r>
    </w:p>
    <w:p w:rsidR="008D654D" w:rsidRDefault="008D654D">
      <w:pPr>
        <w:spacing w:after="0" w:line="360" w:lineRule="auto"/>
        <w:jc w:val="both"/>
        <w:rPr>
          <w:rFonts w:ascii="Palatino Linotype" w:eastAsia="Palatino Linotype" w:hAnsi="Palatino Linotype" w:cs="Palatino Linotype"/>
          <w:sz w:val="24"/>
          <w:szCs w:val="24"/>
        </w:rPr>
      </w:pP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Retiro del sistema de capitalización individual por baja, </w:t>
      </w:r>
    </w:p>
    <w:p w:rsidR="00767C4D" w:rsidRDefault="00A23C3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Retiro del sistema de capitalización individual por pensión,</w:t>
      </w:r>
    </w:p>
    <w:p w:rsidR="00767C4D" w:rsidRDefault="00A23C3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Retiro de la cuenta individual por fallecimiento sin derecho a pensión, </w:t>
      </w:r>
    </w:p>
    <w:p w:rsidR="00767C4D" w:rsidRDefault="00A23C3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Retiro de la cuenta individual por fallecimiento del servidor público o pensionado y sus familiares tengan derecho a pensión</w: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preciso lo anterior reiteró que </w:t>
      </w:r>
      <w:r>
        <w:rPr>
          <w:rFonts w:ascii="Palatino Linotype" w:eastAsia="Palatino Linotype" w:hAnsi="Palatino Linotype" w:cs="Palatino Linotype"/>
          <w:b/>
          <w:i/>
          <w:sz w:val="24"/>
          <w:szCs w:val="24"/>
          <w:u w:val="single"/>
        </w:rPr>
        <w:t>no existe registro alguno del trámite referido por el particular, por lo que no es posible brindar acceso al documento solicitado, por no obrar en los archivos del Instituto</w:t>
      </w:r>
      <w:r>
        <w:rPr>
          <w:rFonts w:ascii="Palatino Linotype" w:eastAsia="Palatino Linotype" w:hAnsi="Palatino Linotype" w:cs="Palatino Linotype"/>
          <w:sz w:val="24"/>
          <w:szCs w:val="24"/>
        </w:rPr>
        <w:t xml:space="preserve">. </w: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sz w:val="24"/>
          <w:szCs w:val="24"/>
        </w:rPr>
      </w:pPr>
      <w:r>
        <w:rPr>
          <w:rFonts w:ascii="Palatino Linotype" w:eastAsia="Palatino Linotype" w:hAnsi="Palatino Linotype" w:cs="Palatino Linotype"/>
          <w:sz w:val="24"/>
          <w:szCs w:val="24"/>
        </w:rPr>
        <w:t xml:space="preserve">En consecuencia, de los preceptos jurídicos citados se colige que si bien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cuenta con las facultades competencias y funciones para generar y administrar los datos personales a los cuales el titular de los mismos pretende acceder, también lo es que los registros del Instituto no existen registros de retiro de aportaciones al ISSEMYM que se hayan realizado por parte del particular.  </w:t>
      </w:r>
    </w:p>
    <w:p w:rsidR="00767C4D" w:rsidRDefault="00A23C3A">
      <w:p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w:t>
      </w:r>
      <w:r>
        <w:rPr>
          <w:rFonts w:ascii="Palatino Linotype" w:eastAsia="Palatino Linotype" w:hAnsi="Palatino Linotype" w:cs="Palatino Linotype"/>
          <w:sz w:val="24"/>
          <w:szCs w:val="24"/>
        </w:rPr>
        <w:t>i</w:t>
      </w:r>
      <w:r>
        <w:rPr>
          <w:rFonts w:ascii="Palatino Linotype" w:eastAsia="Palatino Linotype" w:hAnsi="Palatino Linotype" w:cs="Palatino Linotype"/>
          <w:color w:val="000000"/>
          <w:sz w:val="24"/>
          <w:szCs w:val="24"/>
        </w:rPr>
        <w:t xml:space="preserve">mismo, es necesario señalar que éste </w:t>
      </w:r>
      <w:r>
        <w:rPr>
          <w:rFonts w:ascii="Palatino Linotype" w:eastAsia="Palatino Linotype" w:hAnsi="Palatino Linotype" w:cs="Palatino Linotype"/>
          <w:sz w:val="24"/>
          <w:szCs w:val="24"/>
        </w:rPr>
        <w:t>Organismo</w:t>
      </w:r>
      <w:r>
        <w:rPr>
          <w:rFonts w:ascii="Palatino Linotype" w:eastAsia="Palatino Linotype" w:hAnsi="Palatino Linotype" w:cs="Palatino Linotype"/>
          <w:color w:val="000000"/>
          <w:sz w:val="24"/>
          <w:szCs w:val="24"/>
        </w:rPr>
        <w:t xml:space="preserve">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767C4D" w:rsidRDefault="00767C4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67C4D" w:rsidRDefault="00A23C3A">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Sirviendo de apoyo a lo anterior por analogía, el criterio 31-10 emitido por el ahora Instituto Nacional de Transparencia, Acceso a la Información y Protección de Datos Personales, que a la letra dice:</w:t>
      </w:r>
    </w:p>
    <w:p w:rsidR="00767C4D" w:rsidRDefault="00A23C3A">
      <w:pPr>
        <w:spacing w:before="240" w:after="360" w:line="276" w:lineRule="auto"/>
        <w:ind w:left="567" w:right="616"/>
        <w:jc w:val="both"/>
        <w:rPr>
          <w:rFonts w:ascii="Palatino Linotype" w:eastAsia="Palatino Linotype" w:hAnsi="Palatino Linotype" w:cs="Palatino Linotype"/>
        </w:rPr>
      </w:pPr>
      <w:r>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Conforme a lo anterior, se concluye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al no poseer, generar o administrar la información requerida por no haberse generado hasta el momento de la solicitud, y siendo aplicable de manera supletoria de acuerdo a lo dispuesto en el artículo 11 de la Ley de Protección de Datos Personales en Posesión de Sujetos Obligados del Estado de México y Municipios, no se actualizan los supuestos jurídicos, previstos en los artículos 12 y 24 de la </w:t>
      </w:r>
      <w:r>
        <w:rPr>
          <w:rFonts w:ascii="Palatino Linotype" w:eastAsia="Palatino Linotype" w:hAnsi="Palatino Linotype" w:cs="Palatino Linotype"/>
          <w:b/>
          <w:sz w:val="24"/>
          <w:szCs w:val="24"/>
        </w:rPr>
        <w:t>Ley de Transparencia y Acceso a la Información Pública del Estado de México y Municipios</w:t>
      </w:r>
      <w:r>
        <w:rPr>
          <w:rFonts w:ascii="Palatino Linotype" w:eastAsia="Palatino Linotype" w:hAnsi="Palatino Linotype" w:cs="Palatino Linotype"/>
          <w:sz w:val="24"/>
          <w:szCs w:val="24"/>
        </w:rPr>
        <w:t>, que a la letra dicen:</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7C4D" w:rsidRDefault="00A23C3A">
      <w:pPr>
        <w:tabs>
          <w:tab w:val="left" w:pos="3750"/>
        </w:tabs>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tab/>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24.</w:t>
      </w:r>
      <w:r>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b/>
          <w:i/>
        </w:rPr>
        <w:t>…</w:t>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solo proporcionarán la información pública que generen, administren o posean en el ejercicio de sus atribuciones.” </w:t>
      </w:r>
    </w:p>
    <w:p w:rsidR="00767C4D" w:rsidRDefault="00767C4D">
      <w:pPr>
        <w:spacing w:after="0" w:line="360" w:lineRule="auto"/>
        <w:jc w:val="both"/>
        <w:rPr>
          <w:rFonts w:ascii="Palatino Linotype" w:eastAsia="Palatino Linotype" w:hAnsi="Palatino Linotype" w:cs="Palatino Linotype"/>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toda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no posee ni administra los datos personales requeridos por el particular, se insiste por no haberse generado a la fecha de la presentación de la solicitud de acceso a datos, constituye un hecho negativo; entonces, si se considera el hecho negativo, es obvio que éste no puede fácticamente obrar en sus archivos, ya que no puede probarse por ser lógica y materialmente imposible.</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trata de un caso por el cual la negación del hecho implique la afirmación del mismo, simplemente se está ante una notoria y evidente inexistencia fáctica de la información solicitada.</w:t>
      </w:r>
    </w:p>
    <w:p w:rsidR="00767C4D" w:rsidRDefault="00767C4D">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Encontrándonos ante un hecho negativo, destacando entonces que el Pleno de este Organismo Garante, ha sostenido que ante la presencia de un hecho negativo, </w:t>
      </w:r>
      <w:r>
        <w:rPr>
          <w:rFonts w:ascii="Palatino Linotype" w:eastAsia="Palatino Linotype" w:hAnsi="Palatino Linotype" w:cs="Palatino Linotype"/>
          <w:sz w:val="24"/>
          <w:szCs w:val="24"/>
        </w:rPr>
        <w:lastRenderedPageBreak/>
        <w:t>resultaría innecesaria una declaratoria de inexistencia de manera supletoria y en términos de los artículos 19, 169 y 170 de la Ley de Transparencia y Acceso a la Información Pública del Estado de México y Municipios, y ante una hecho negativo resulta aplicable la siguiente tesis:</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line="276" w:lineRule="auto"/>
        <w:ind w:left="851"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HECHOS NEGATIVOS, NO SON SUSCEPTIBLES DE DEMOSTRACIÓN. </w:t>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Tratándose de un hecho negativo, el Juez no tiene </w:t>
      </w:r>
      <w:proofErr w:type="spellStart"/>
      <w:r>
        <w:rPr>
          <w:rFonts w:ascii="Palatino Linotype" w:eastAsia="Palatino Linotype" w:hAnsi="Palatino Linotype" w:cs="Palatino Linotype"/>
          <w:i/>
        </w:rPr>
        <w:t>por que</w:t>
      </w:r>
      <w:proofErr w:type="spellEnd"/>
      <w:r>
        <w:rPr>
          <w:rFonts w:ascii="Palatino Linotype" w:eastAsia="Palatino Linotype" w:hAnsi="Palatino Linotype" w:cs="Palatino Linotype"/>
          <w:i/>
        </w:rPr>
        <w:t xml:space="preserve"> invocar prueba alguna de la que se desprenda, ya que es bien sabido que esta clase de hechos no son susceptibles de demostración.</w:t>
      </w:r>
    </w:p>
    <w:p w:rsidR="00767C4D" w:rsidRDefault="00A23C3A">
      <w:pPr>
        <w:spacing w:line="276" w:lineRule="auto"/>
        <w:ind w:left="851" w:right="567"/>
        <w:jc w:val="both"/>
        <w:rPr>
          <w:rFonts w:ascii="Palatino Linotype" w:eastAsia="Palatino Linotype" w:hAnsi="Palatino Linotype" w:cs="Palatino Linotype"/>
          <w:i/>
        </w:rPr>
      </w:pPr>
      <w:r>
        <w:rPr>
          <w:rFonts w:ascii="Palatino Linotype" w:eastAsia="Palatino Linotype" w:hAnsi="Palatino Linotype" w:cs="Palatino Linotype"/>
          <w:i/>
        </w:rPr>
        <w:t>Amparo en revisión 2022/61. José García Florín (Menor). 9 de octubre de 1961. Cinco votos. Ponente: José Rivera Pérez Campos.”</w:t>
      </w:r>
    </w:p>
    <w:p w:rsidR="00767C4D" w:rsidRDefault="00767C4D">
      <w:pPr>
        <w:spacing w:line="360" w:lineRule="auto"/>
        <w:ind w:left="709" w:right="758"/>
        <w:jc w:val="both"/>
        <w:rPr>
          <w:rFonts w:ascii="Palatino Linotype" w:eastAsia="Palatino Linotype" w:hAnsi="Palatino Linotype" w:cs="Palatino Linotype"/>
          <w:i/>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y de conformidad con lo establecido en el artículo 12 de la </w:t>
      </w:r>
      <w:r>
        <w:rPr>
          <w:rFonts w:ascii="Palatino Linotype" w:eastAsia="Palatino Linotype" w:hAnsi="Palatino Linotype" w:cs="Palatino Linotype"/>
          <w:b/>
          <w:sz w:val="24"/>
          <w:szCs w:val="24"/>
        </w:rPr>
        <w:t>Ley de Transparencia y Acceso a la Información Pública del Estado de México y Municipios</w:t>
      </w:r>
      <w:r>
        <w:rPr>
          <w:rFonts w:ascii="Palatino Linotype" w:eastAsia="Palatino Linotype" w:hAnsi="Palatino Linotype" w:cs="Palatino Linotype"/>
          <w:sz w:val="24"/>
          <w:szCs w:val="24"/>
        </w:rPr>
        <w:t xml:space="preserve">, anteriormente invocado,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únicamente proporcionará la información que obra en sus archivos, lo que a</w:t>
      </w:r>
      <w:r>
        <w:rPr>
          <w:rFonts w:ascii="Palatino Linotype" w:eastAsia="Palatino Linotype" w:hAnsi="Palatino Linotype" w:cs="Palatino Linotype"/>
          <w:i/>
          <w:sz w:val="24"/>
          <w:szCs w:val="24"/>
        </w:rPr>
        <w:t xml:space="preserve"> contrario sensu</w:t>
      </w:r>
      <w:r>
        <w:rPr>
          <w:rFonts w:ascii="Palatino Linotype" w:eastAsia="Palatino Linotype" w:hAnsi="Palatino Linotype" w:cs="Palatino Linotype"/>
          <w:sz w:val="24"/>
          <w:szCs w:val="24"/>
        </w:rPr>
        <w:t xml:space="preserve"> significa que no se está obligado a proporcionar lo que no obre en sus archivos.</w:t>
      </w:r>
    </w:p>
    <w:p w:rsidR="00767C4D" w:rsidRDefault="00767C4D">
      <w:pPr>
        <w:spacing w:after="0" w:line="360" w:lineRule="auto"/>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con 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rsidR="00767C4D" w:rsidRDefault="00A23C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atención a las consideraciones señaladas, este Organismo Garante determina, con fundamento en el artículo 137, fracción II, de la Ley de Protección de Datos Personales en Posesión de los Sujetos Obligados del Estado de México y Municipios, </w:t>
      </w:r>
      <w:r>
        <w:rPr>
          <w:rFonts w:ascii="Palatino Linotype" w:eastAsia="Palatino Linotype" w:hAnsi="Palatino Linotype" w:cs="Palatino Linotype"/>
          <w:b/>
          <w:sz w:val="24"/>
          <w:szCs w:val="24"/>
        </w:rPr>
        <w:t>CONFIRMAR</w:t>
      </w:r>
      <w:r>
        <w:rPr>
          <w:rFonts w:ascii="Palatino Linotype" w:eastAsia="Palatino Linotype" w:hAnsi="Palatino Linotype" w:cs="Palatino Linotype"/>
          <w:sz w:val="24"/>
          <w:szCs w:val="24"/>
        </w:rPr>
        <w:t xml:space="preserve"> la respuesta otorgada por el Sujeto Obligado. </w:t>
      </w:r>
    </w:p>
    <w:p w:rsidR="008D654D" w:rsidRPr="008D654D" w:rsidRDefault="008D654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por  cuanto hace al informe realizado por el Servidor Público Habilitado de la Coordinación de Prestaciones de Seguridad Social relativo a que se localizaron dos claves de ISSEMYM, cabe referir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orientó al particular para que realice el trámite de la unificación de claves ante su Unidad de Atención al Derechohabiente correspondiente; trámite para el cual deberá presentar un escrito dirigido al Titular del Departamento de Control de Cuentas individuales, en el que solicite la unificación de clave,</w:t>
      </w:r>
      <w:r w:rsidR="0043017B">
        <w:rPr>
          <w:rFonts w:ascii="Palatino Linotype" w:eastAsia="Palatino Linotype" w:hAnsi="Palatino Linotype" w:cs="Palatino Linotype"/>
          <w:sz w:val="24"/>
          <w:szCs w:val="24"/>
        </w:rPr>
        <w:t xml:space="preserve"> copia de su</w:t>
      </w:r>
      <w:r>
        <w:rPr>
          <w:rFonts w:ascii="Palatino Linotype" w:eastAsia="Palatino Linotype" w:hAnsi="Palatino Linotype" w:cs="Palatino Linotype"/>
          <w:sz w:val="24"/>
          <w:szCs w:val="24"/>
        </w:rPr>
        <w:t xml:space="preserve"> identificación oficial vigente</w:t>
      </w:r>
      <w:r w:rsidR="0043017B">
        <w:rPr>
          <w:rFonts w:ascii="Palatino Linotype" w:eastAsia="Palatino Linotype" w:hAnsi="Palatino Linotype" w:cs="Palatino Linotype"/>
          <w:sz w:val="24"/>
          <w:szCs w:val="24"/>
        </w:rPr>
        <w:t xml:space="preserve">, copia de la Clave Única de Registro de Población (CURP) y  copia del comprobante de pago con clave ISSEMYM correcta; por lo que se dejan a salvo los derechos del particular para que realice lo conducente. </w:t>
      </w:r>
    </w:p>
    <w:p w:rsidR="0043017B" w:rsidRDefault="00A23C3A">
      <w:pPr>
        <w:widowControl w:val="0"/>
        <w:tabs>
          <w:tab w:val="left" w:pos="426"/>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222222"/>
          <w:sz w:val="24"/>
          <w:szCs w:val="24"/>
        </w:rPr>
        <w:t xml:space="preserve">Por lo anteriormente expuesto y fundado, este </w:t>
      </w:r>
      <w:r>
        <w:rPr>
          <w:rFonts w:ascii="Palatino Linotype" w:eastAsia="Palatino Linotype" w:hAnsi="Palatino Linotype" w:cs="Palatino Linotype"/>
          <w:b/>
          <w:color w:val="222222"/>
          <w:sz w:val="24"/>
          <w:szCs w:val="24"/>
        </w:rPr>
        <w:t>ÓRGANO GARANTE</w:t>
      </w:r>
      <w:r>
        <w:rPr>
          <w:rFonts w:ascii="Palatino Linotype" w:eastAsia="Palatino Linotype" w:hAnsi="Palatino Linotype" w:cs="Palatino Linotype"/>
          <w:color w:val="222222"/>
          <w:sz w:val="24"/>
          <w:szCs w:val="24"/>
        </w:rPr>
        <w:t xml:space="preserve"> emite los siguientes:</w:t>
      </w:r>
    </w:p>
    <w:p w:rsidR="00767C4D" w:rsidRDefault="00A23C3A">
      <w:pPr>
        <w:pStyle w:val="Ttulo1"/>
        <w:jc w:val="center"/>
        <w:rPr>
          <w:rFonts w:ascii="Palatino Linotype" w:eastAsia="Palatino Linotype" w:hAnsi="Palatino Linotype" w:cs="Palatino Linotype"/>
          <w:b w:val="0"/>
        </w:rPr>
      </w:pPr>
      <w:bookmarkStart w:id="1" w:name="_heading=h.1fob9te" w:colFirst="0" w:colLast="0"/>
      <w:bookmarkEnd w:id="1"/>
      <w:r>
        <w:rPr>
          <w:rFonts w:ascii="Palatino Linotype" w:eastAsia="Palatino Linotype" w:hAnsi="Palatino Linotype" w:cs="Palatino Linotype"/>
        </w:rPr>
        <w:t>R E S O L U T I V O S</w:t>
      </w:r>
    </w:p>
    <w:p w:rsidR="00767C4D" w:rsidRDefault="00767C4D">
      <w:pPr>
        <w:keepNext/>
        <w:keepLines/>
        <w:spacing w:line="360" w:lineRule="auto"/>
        <w:jc w:val="center"/>
        <w:rPr>
          <w:rFonts w:ascii="Palatino Linotype" w:eastAsia="Palatino Linotype" w:hAnsi="Palatino Linotype" w:cs="Palatino Linotype"/>
          <w:b/>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CONFIRMA</w:t>
      </w:r>
      <w:r>
        <w:rPr>
          <w:rFonts w:ascii="Palatino Linotype" w:eastAsia="Palatino Linotype" w:hAnsi="Palatino Linotype" w:cs="Palatino Linotype"/>
          <w:sz w:val="24"/>
          <w:szCs w:val="24"/>
        </w:rPr>
        <w:t xml:space="preserv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la solicitud de acceso a la información </w:t>
      </w:r>
      <w:r w:rsidR="00F209C9">
        <w:rPr>
          <w:rFonts w:ascii="Palatino Linotype" w:eastAsia="Palatino Linotype" w:hAnsi="Palatino Linotype" w:cs="Palatino Linotype"/>
          <w:b/>
          <w:sz w:val="24"/>
          <w:szCs w:val="24"/>
        </w:rPr>
        <w:t>00575/ISSEMYM/AD/2021</w:t>
      </w:r>
      <w:r>
        <w:rPr>
          <w:rFonts w:ascii="Palatino Linotype" w:eastAsia="Palatino Linotype" w:hAnsi="Palatino Linotype" w:cs="Palatino Linotype"/>
          <w:sz w:val="24"/>
          <w:szCs w:val="24"/>
        </w:rPr>
        <w:t xml:space="preserve">, por resultar infundadas las razones o motivos de inconformidad hechos valer por el Recurrente, en términos del Considerando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de esta Resolución.</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NOTIFÍQUESE</w:t>
      </w:r>
      <w:r>
        <w:rPr>
          <w:rFonts w:ascii="Palatino Linotype" w:eastAsia="Palatino Linotype" w:hAnsi="Palatino Linotype" w:cs="Palatino Linotype"/>
          <w:sz w:val="24"/>
          <w:szCs w:val="24"/>
        </w:rPr>
        <w:t xml:space="preserve"> vía SARCOEM la presente resolución al Titular de la Unidad de Transparencia del </w:t>
      </w:r>
      <w:r>
        <w:rPr>
          <w:rFonts w:ascii="Palatino Linotype" w:eastAsia="Palatino Linotype" w:hAnsi="Palatino Linotype" w:cs="Palatino Linotype"/>
          <w:b/>
          <w:sz w:val="24"/>
          <w:szCs w:val="24"/>
        </w:rPr>
        <w:t>SUJETO OBLIGADO.</w:t>
      </w:r>
    </w:p>
    <w:p w:rsidR="00767C4D" w:rsidRDefault="00767C4D">
      <w:pPr>
        <w:spacing w:after="0" w:line="360" w:lineRule="auto"/>
        <w:jc w:val="both"/>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 vía SARCOEM,</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asimismo, se hace de su conocimiento que de conformidad con lo establecido en el artículo 142 de la Ley de Protección de Datos Personales en Posesión de los Sujetos Obligados del Estado de México y Municipios, podrá promover el Juicio de Amparo en los términos de las leyes aplicables.</w:t>
      </w:r>
    </w:p>
    <w:p w:rsidR="0043017B" w:rsidRDefault="0043017B">
      <w:pPr>
        <w:spacing w:after="0" w:line="360" w:lineRule="auto"/>
        <w:jc w:val="both"/>
        <w:rPr>
          <w:rFonts w:ascii="Palatino Linotype" w:eastAsia="Palatino Linotype" w:hAnsi="Palatino Linotype" w:cs="Palatino Linotype"/>
          <w:sz w:val="24"/>
          <w:szCs w:val="24"/>
        </w:rPr>
      </w:pPr>
    </w:p>
    <w:p w:rsidR="00767C4D" w:rsidRDefault="00A23C3A">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sz w:val="24"/>
          <w:szCs w:val="24"/>
        </w:rPr>
        <w:t xml:space="preserve">ASÍ LO RESUELVE, POR </w:t>
      </w:r>
      <w:r>
        <w:rPr>
          <w:rFonts w:ascii="Palatino Linotype" w:eastAsia="Palatino Linotype" w:hAnsi="Palatino Linotype" w:cs="Palatino Linotype"/>
          <w:b/>
          <w:sz w:val="24"/>
          <w:szCs w:val="24"/>
        </w:rPr>
        <w:t>UNANIMIDAD</w:t>
      </w:r>
      <w:r>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767C4D" w:rsidRDefault="00A23C3A">
      <w:pPr>
        <w:jc w:val="both"/>
        <w:rPr>
          <w:rFonts w:ascii="Palatino Linotype" w:eastAsia="Palatino Linotype" w:hAnsi="Palatino Linotype" w:cs="Palatino Linotype"/>
          <w:b/>
          <w:sz w:val="24"/>
          <w:szCs w:val="24"/>
        </w:rPr>
      </w:pPr>
      <w:r>
        <w:br w:type="page"/>
      </w: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p w:rsidR="00767C4D" w:rsidRDefault="00767C4D">
      <w:pPr>
        <w:spacing w:line="360" w:lineRule="auto"/>
        <w:ind w:right="333"/>
        <w:jc w:val="both"/>
        <w:rPr>
          <w:rFonts w:ascii="Palatino Linotype" w:eastAsia="Palatino Linotype" w:hAnsi="Palatino Linotype" w:cs="Palatino Linotype"/>
          <w:sz w:val="24"/>
          <w:szCs w:val="24"/>
        </w:rPr>
      </w:pPr>
    </w:p>
    <w:sectPr w:rsidR="00767C4D">
      <w:headerReference w:type="default" r:id="rId15"/>
      <w:footerReference w:type="default" r:id="rId16"/>
      <w:headerReference w:type="first" r:id="rId17"/>
      <w:footerReference w:type="first" r:id="rId18"/>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F83" w:rsidRDefault="00841F83">
      <w:pPr>
        <w:spacing w:after="0" w:line="240" w:lineRule="auto"/>
      </w:pPr>
      <w:r>
        <w:separator/>
      </w:r>
    </w:p>
  </w:endnote>
  <w:endnote w:type="continuationSeparator" w:id="0">
    <w:p w:rsidR="00841F83" w:rsidRDefault="0084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C4D" w:rsidRDefault="00A23C3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77E">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77E">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C4D" w:rsidRDefault="00A23C3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77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77E">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F83" w:rsidRDefault="00841F83">
      <w:pPr>
        <w:spacing w:after="0" w:line="240" w:lineRule="auto"/>
      </w:pPr>
      <w:r>
        <w:separator/>
      </w:r>
    </w:p>
  </w:footnote>
  <w:footnote w:type="continuationSeparator" w:id="0">
    <w:p w:rsidR="00841F83" w:rsidRDefault="00841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C4D" w:rsidRDefault="00A23C3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posOffset>-472386</wp:posOffset>
          </wp:positionH>
          <wp:positionV relativeFrom="page">
            <wp:posOffset>23808</wp:posOffset>
          </wp:positionV>
          <wp:extent cx="7705725" cy="10048875"/>
          <wp:effectExtent l="0" t="0" r="0" b="0"/>
          <wp:wrapNone/>
          <wp:docPr id="6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4"/>
      <w:tblW w:w="10190" w:type="dxa"/>
      <w:tblInd w:w="-1401" w:type="dxa"/>
      <w:tblLayout w:type="fixed"/>
      <w:tblLook w:val="0400" w:firstRow="0" w:lastRow="0" w:firstColumn="0" w:lastColumn="0" w:noHBand="0" w:noVBand="1"/>
    </w:tblPr>
    <w:tblGrid>
      <w:gridCol w:w="6096"/>
      <w:gridCol w:w="4094"/>
    </w:tblGrid>
    <w:tr w:rsidR="00767C4D">
      <w:trPr>
        <w:trHeight w:val="227"/>
      </w:trPr>
      <w:tc>
        <w:tcPr>
          <w:tcW w:w="6096" w:type="dxa"/>
        </w:tcPr>
        <w:p w:rsidR="00767C4D" w:rsidRDefault="00A23C3A">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094" w:type="dxa"/>
        </w:tcPr>
        <w:p w:rsidR="00767C4D" w:rsidRDefault="00A23C3A">
          <w:pPr>
            <w:spacing w:after="120" w:line="256" w:lineRule="auto"/>
            <w:ind w:left="-486" w:right="214" w:firstLine="700"/>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00124/INFOEM/AD/RR/2022</w:t>
          </w:r>
        </w:p>
      </w:tc>
    </w:tr>
    <w:tr w:rsidR="00767C4D">
      <w:trPr>
        <w:trHeight w:val="242"/>
      </w:trPr>
      <w:tc>
        <w:tcPr>
          <w:tcW w:w="6096" w:type="dxa"/>
        </w:tcPr>
        <w:p w:rsidR="00767C4D" w:rsidRDefault="00A23C3A">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094" w:type="dxa"/>
        </w:tcPr>
        <w:p w:rsidR="00767C4D" w:rsidRDefault="00A23C3A">
          <w:pPr>
            <w:spacing w:after="0" w:line="240" w:lineRule="auto"/>
            <w:ind w:left="-495" w:right="215" w:firstLine="567"/>
            <w:jc w:val="right"/>
            <w:rPr>
              <w:rFonts w:ascii="Palatino Linotype" w:eastAsia="Palatino Linotype" w:hAnsi="Palatino Linotype" w:cs="Palatino Linotype"/>
              <w:b/>
            </w:rPr>
          </w:pPr>
          <w:r>
            <w:rPr>
              <w:rFonts w:ascii="Palatino Linotype" w:eastAsia="Palatino Linotype" w:hAnsi="Palatino Linotype" w:cs="Palatino Linotype"/>
              <w:b/>
            </w:rPr>
            <w:t xml:space="preserve">Instituto de Seguridad Social del </w:t>
          </w:r>
        </w:p>
        <w:p w:rsidR="00767C4D" w:rsidRDefault="00A23C3A">
          <w:pPr>
            <w:spacing w:after="0" w:line="240" w:lineRule="auto"/>
            <w:ind w:left="-486" w:right="215" w:firstLine="284"/>
            <w:jc w:val="right"/>
            <w:rPr>
              <w:rFonts w:ascii="Palatino Linotype" w:eastAsia="Palatino Linotype" w:hAnsi="Palatino Linotype" w:cs="Palatino Linotype"/>
              <w:b/>
            </w:rPr>
          </w:pPr>
          <w:r>
            <w:rPr>
              <w:rFonts w:ascii="Palatino Linotype" w:eastAsia="Palatino Linotype" w:hAnsi="Palatino Linotype" w:cs="Palatino Linotype"/>
              <w:b/>
            </w:rPr>
            <w:t>Estado de México y Municipios</w:t>
          </w:r>
        </w:p>
      </w:tc>
    </w:tr>
    <w:tr w:rsidR="00767C4D">
      <w:trPr>
        <w:trHeight w:val="342"/>
      </w:trPr>
      <w:tc>
        <w:tcPr>
          <w:tcW w:w="6096" w:type="dxa"/>
        </w:tcPr>
        <w:p w:rsidR="00767C4D" w:rsidRDefault="00A23C3A">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094" w:type="dxa"/>
        </w:tcPr>
        <w:p w:rsidR="00767C4D" w:rsidRDefault="00A23C3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67C4D" w:rsidRDefault="00767C4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C4D" w:rsidRDefault="00767C4D">
    <w:pPr>
      <w:widowControl w:val="0"/>
      <w:pBdr>
        <w:top w:val="nil"/>
        <w:left w:val="nil"/>
        <w:bottom w:val="nil"/>
        <w:right w:val="nil"/>
        <w:between w:val="nil"/>
      </w:pBdr>
      <w:spacing w:after="0" w:line="276" w:lineRule="auto"/>
    </w:pPr>
  </w:p>
  <w:tbl>
    <w:tblPr>
      <w:tblStyle w:val="a3"/>
      <w:tblW w:w="10065" w:type="dxa"/>
      <w:tblInd w:w="-851" w:type="dxa"/>
      <w:tblLayout w:type="fixed"/>
      <w:tblLook w:val="0400" w:firstRow="0" w:lastRow="0" w:firstColumn="0" w:lastColumn="0" w:noHBand="0" w:noVBand="1"/>
    </w:tblPr>
    <w:tblGrid>
      <w:gridCol w:w="4679"/>
      <w:gridCol w:w="5386"/>
    </w:tblGrid>
    <w:tr w:rsidR="00767C4D">
      <w:trPr>
        <w:trHeight w:val="227"/>
      </w:trPr>
      <w:tc>
        <w:tcPr>
          <w:tcW w:w="4679" w:type="dxa"/>
        </w:tcPr>
        <w:p w:rsidR="00767C4D" w:rsidRDefault="00A23C3A">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5386" w:type="dxa"/>
        </w:tcPr>
        <w:p w:rsidR="00767C4D" w:rsidRDefault="00A23C3A">
          <w:pPr>
            <w:spacing w:after="120" w:line="256" w:lineRule="auto"/>
            <w:ind w:left="-486" w:right="214" w:firstLine="1408"/>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00124/INFOEM/AD/RR/2022</w:t>
          </w:r>
        </w:p>
      </w:tc>
    </w:tr>
    <w:tr w:rsidR="00767C4D">
      <w:trPr>
        <w:trHeight w:val="196"/>
      </w:trPr>
      <w:tc>
        <w:tcPr>
          <w:tcW w:w="4679" w:type="dxa"/>
        </w:tcPr>
        <w:p w:rsidR="00767C4D" w:rsidRDefault="00A23C3A">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5386" w:type="dxa"/>
        </w:tcPr>
        <w:p w:rsidR="00767C4D" w:rsidRDefault="0064777E" w:rsidP="0064777E">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w:t>
          </w:r>
          <w:proofErr w:type="spellEnd"/>
          <w:r w:rsidR="00A23C3A">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w:t>
          </w:r>
          <w:proofErr w:type="spellEnd"/>
          <w:r w:rsidR="00A23C3A">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r w:rsidR="00A23C3A">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w:t>
          </w:r>
          <w:proofErr w:type="spellEnd"/>
          <w:r w:rsidR="00A23C3A">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w:t>
          </w:r>
          <w:proofErr w:type="spellEnd"/>
          <w:r w:rsidR="00A23C3A">
            <w:rPr>
              <w:rFonts w:ascii="Palatino Linotype" w:eastAsia="Palatino Linotype" w:hAnsi="Palatino Linotype" w:cs="Palatino Linotype"/>
              <w:b/>
            </w:rPr>
            <w:t xml:space="preserve"> </w:t>
          </w:r>
          <w:r>
            <w:rPr>
              <w:rFonts w:ascii="Palatino Linotype" w:eastAsia="Palatino Linotype" w:hAnsi="Palatino Linotype" w:cs="Palatino Linotype"/>
              <w:b/>
            </w:rPr>
            <w:t>xx</w:t>
          </w:r>
          <w:r w:rsidR="00A23C3A">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w:t>
          </w:r>
          <w:proofErr w:type="spellEnd"/>
          <w:r w:rsidR="00A23C3A">
            <w:rPr>
              <w:rFonts w:ascii="Palatino Linotype" w:eastAsia="Palatino Linotype" w:hAnsi="Palatino Linotype" w:cs="Palatino Linotype"/>
              <w:b/>
            </w:rPr>
            <w:t xml:space="preserve">   </w:t>
          </w:r>
        </w:p>
      </w:tc>
    </w:tr>
    <w:tr w:rsidR="00767C4D">
      <w:trPr>
        <w:trHeight w:val="242"/>
      </w:trPr>
      <w:tc>
        <w:tcPr>
          <w:tcW w:w="4679" w:type="dxa"/>
        </w:tcPr>
        <w:p w:rsidR="00767C4D" w:rsidRDefault="00A23C3A">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5386" w:type="dxa"/>
        </w:tcPr>
        <w:p w:rsidR="00767C4D" w:rsidRDefault="00A23C3A">
          <w:pPr>
            <w:spacing w:after="0" w:line="240" w:lineRule="auto"/>
            <w:ind w:left="-493" w:right="215" w:firstLine="567"/>
            <w:jc w:val="right"/>
            <w:rPr>
              <w:rFonts w:ascii="Palatino Linotype" w:eastAsia="Palatino Linotype" w:hAnsi="Palatino Linotype" w:cs="Palatino Linotype"/>
              <w:b/>
            </w:rPr>
          </w:pPr>
          <w:r>
            <w:rPr>
              <w:rFonts w:ascii="Palatino Linotype" w:eastAsia="Palatino Linotype" w:hAnsi="Palatino Linotype" w:cs="Palatino Linotype"/>
              <w:b/>
            </w:rPr>
            <w:t xml:space="preserve">Instituto de Seguridad Social del </w:t>
          </w:r>
        </w:p>
        <w:p w:rsidR="00767C4D" w:rsidRDefault="00A23C3A">
          <w:pPr>
            <w:spacing w:after="0" w:line="240" w:lineRule="auto"/>
            <w:ind w:left="-493" w:right="215" w:firstLine="567"/>
            <w:jc w:val="right"/>
            <w:rPr>
              <w:rFonts w:ascii="Palatino Linotype" w:eastAsia="Palatino Linotype" w:hAnsi="Palatino Linotype" w:cs="Palatino Linotype"/>
              <w:b/>
            </w:rPr>
          </w:pPr>
          <w:r>
            <w:rPr>
              <w:rFonts w:ascii="Palatino Linotype" w:eastAsia="Palatino Linotype" w:hAnsi="Palatino Linotype" w:cs="Palatino Linotype"/>
              <w:b/>
            </w:rPr>
            <w:t>Estado de México y Municipios</w:t>
          </w:r>
        </w:p>
      </w:tc>
    </w:tr>
    <w:tr w:rsidR="00767C4D">
      <w:trPr>
        <w:trHeight w:val="342"/>
      </w:trPr>
      <w:tc>
        <w:tcPr>
          <w:tcW w:w="4679" w:type="dxa"/>
        </w:tcPr>
        <w:p w:rsidR="00767C4D" w:rsidRDefault="00A23C3A">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5386" w:type="dxa"/>
        </w:tcPr>
        <w:p w:rsidR="00767C4D" w:rsidRDefault="00A23C3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67C4D" w:rsidRDefault="00A23C3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b/>
        <w:noProof/>
        <w:color w:val="000000"/>
        <w:sz w:val="24"/>
        <w:szCs w:val="24"/>
        <w:lang w:val="es-MX"/>
      </w:rPr>
      <w:drawing>
        <wp:anchor distT="0" distB="0" distL="0" distR="0" simplePos="0" relativeHeight="251659264" behindDoc="1" locked="0" layoutInCell="1" hidden="0" allowOverlap="1">
          <wp:simplePos x="0" y="0"/>
          <wp:positionH relativeFrom="page">
            <wp:posOffset>-431443</wp:posOffset>
          </wp:positionH>
          <wp:positionV relativeFrom="page">
            <wp:posOffset>60145</wp:posOffset>
          </wp:positionV>
          <wp:extent cx="7705725" cy="10048875"/>
          <wp:effectExtent l="0" t="0" r="0" b="0"/>
          <wp:wrapNone/>
          <wp:docPr id="6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4CA"/>
    <w:multiLevelType w:val="multilevel"/>
    <w:tmpl w:val="B98CBD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CA038F"/>
    <w:multiLevelType w:val="multilevel"/>
    <w:tmpl w:val="47BA0EAE"/>
    <w:lvl w:ilvl="0">
      <w:start w:val="2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1F3C33"/>
    <w:multiLevelType w:val="multilevel"/>
    <w:tmpl w:val="3BCEBDDA"/>
    <w:lvl w:ilvl="0">
      <w:start w:val="1"/>
      <w:numFmt w:val="upp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7E08530D"/>
    <w:multiLevelType w:val="multilevel"/>
    <w:tmpl w:val="C082E4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4D"/>
    <w:rsid w:val="0043017B"/>
    <w:rsid w:val="005671E2"/>
    <w:rsid w:val="00572BC0"/>
    <w:rsid w:val="00617EF7"/>
    <w:rsid w:val="0064777E"/>
    <w:rsid w:val="00711CE0"/>
    <w:rsid w:val="007656EE"/>
    <w:rsid w:val="00767C4D"/>
    <w:rsid w:val="00841F83"/>
    <w:rsid w:val="008D654D"/>
    <w:rsid w:val="00A23C3A"/>
    <w:rsid w:val="00B25F30"/>
    <w:rsid w:val="00D74421"/>
    <w:rsid w:val="00F20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B0866-3496-45DD-9442-CD425565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54"/>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table" w:customStyle="1" w:styleId="8">
    <w:name w:val="8"/>
    <w:basedOn w:val="TableNormal10"/>
    <w:tblPr>
      <w:tblStyleRowBandSize w:val="1"/>
      <w:tblStyleColBandSize w:val="1"/>
    </w:tblPr>
  </w:style>
  <w:style w:type="table" w:customStyle="1" w:styleId="7">
    <w:name w:val="7"/>
    <w:basedOn w:val="TableNormal10"/>
    <w:tblPr>
      <w:tblStyleRowBandSize w:val="1"/>
      <w:tblStyleColBandSize w:val="1"/>
    </w:tblPr>
  </w:style>
  <w:style w:type="table" w:customStyle="1" w:styleId="6">
    <w:name w:val="6"/>
    <w:basedOn w:val="TableNormal10"/>
    <w:tblPr>
      <w:tblStyleRowBandSize w:val="1"/>
      <w:tblStyleColBandSize w:val="1"/>
      <w:tblCellMar>
        <w:left w:w="70" w:type="dxa"/>
        <w:right w:w="70" w:type="dxa"/>
      </w:tblCellMar>
    </w:tblPr>
  </w:style>
  <w:style w:type="table" w:customStyle="1" w:styleId="5">
    <w:name w:val="5"/>
    <w:basedOn w:val="TableNormal10"/>
    <w:tblPr>
      <w:tblStyleRowBandSize w:val="1"/>
      <w:tblStyleColBandSize w:val="1"/>
      <w:tblCellMar>
        <w:left w:w="70" w:type="dxa"/>
        <w:right w:w="70" w:type="dxa"/>
      </w:tblCellMar>
    </w:tblPr>
  </w:style>
  <w:style w:type="table" w:customStyle="1" w:styleId="4">
    <w:name w:val="4"/>
    <w:basedOn w:val="TableNormal10"/>
    <w:tblPr>
      <w:tblStyleRowBandSize w:val="1"/>
      <w:tblStyleColBandSize w:val="1"/>
      <w:tblCellMar>
        <w:left w:w="70" w:type="dxa"/>
        <w:right w:w="70" w:type="dxa"/>
      </w:tblCellMar>
    </w:tblPr>
  </w:style>
  <w:style w:type="table" w:customStyle="1" w:styleId="3">
    <w:name w:val="3"/>
    <w:basedOn w:val="TableNormal10"/>
    <w:tblPr>
      <w:tblStyleRowBandSize w:val="1"/>
      <w:tblStyleColBandSize w:val="1"/>
      <w:tblCellMar>
        <w:left w:w="70" w:type="dxa"/>
        <w:right w:w="70" w:type="dxa"/>
      </w:tblCellMar>
    </w:tblPr>
  </w:style>
  <w:style w:type="table" w:customStyle="1" w:styleId="2">
    <w:name w:val="2"/>
    <w:basedOn w:val="TableNormal10"/>
    <w:tblPr>
      <w:tblStyleRowBandSize w:val="1"/>
      <w:tblStyleColBandSize w:val="1"/>
      <w:tblCellMar>
        <w:left w:w="70" w:type="dxa"/>
        <w:right w:w="70" w:type="dxa"/>
      </w:tblCellMar>
    </w:tblPr>
  </w:style>
  <w:style w:type="table" w:customStyle="1" w:styleId="1">
    <w:name w:val="1"/>
    <w:basedOn w:val="TableNormal10"/>
    <w:tblPr>
      <w:tblStyleRowBandSize w:val="1"/>
      <w:tblStyleColBandSize w:val="1"/>
      <w:tblCellMar>
        <w:left w:w="70" w:type="dxa"/>
        <w:right w:w="70" w:type="dxa"/>
      </w:tblCellMar>
    </w:tblPr>
  </w:style>
  <w:style w:type="paragraph" w:customStyle="1" w:styleId="m-698976158124685028gmail-msolistparagraph">
    <w:name w:val="m_-698976158124685028gmail-msolistparagraph"/>
    <w:basedOn w:val="Normal"/>
    <w:rsid w:val="001134A0"/>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m-698976158124685028gmail-m483811427706604298gmail-msolistparagraph">
    <w:name w:val="m_-698976158124685028gmail-m483811427706604298gmail-msolistparagraph"/>
    <w:basedOn w:val="Normal"/>
    <w:rsid w:val="001134A0"/>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m-698976158124685028gmail-msonormal">
    <w:name w:val="m_-698976158124685028gmail-msonormal"/>
    <w:basedOn w:val="Normal"/>
    <w:rsid w:val="001134A0"/>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m-698976158124685028gmail-apple-converted-space">
    <w:name w:val="m_-698976158124685028gmail-apple-converted-space"/>
    <w:basedOn w:val="Fuentedeprrafopredeter"/>
    <w:rsid w:val="001134A0"/>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237393/004712021014135512003/401590.page" TargetMode="External"/><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IH0BTdRm/6PyXxGx8fAq7l7Eg==">AMUW2mWgZj0BkzB0pgY8/63EPpAWsqKBj/QphAjQSxFyBEtA8fgAhNrnG5pCKnpcgw7+LrazmjOQy1WZnSPxOrMeHyX9GA/fFp8HAHx2kxHfcaNX4x+hqjx21WZwG/UrhXuv7t5GPQf3gRqVZBM85ZlqRWewFWic+g==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5618</Words>
  <Characters>30900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2022-05-09T15:51:00Z</cp:lastPrinted>
  <dcterms:created xsi:type="dcterms:W3CDTF">2022-06-07T23:37:00Z</dcterms:created>
  <dcterms:modified xsi:type="dcterms:W3CDTF">2022-06-07T23:47:00Z</dcterms:modified>
</cp:coreProperties>
</file>