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veintiuno de junio del dos mil veintidós</w:t>
      </w:r>
      <w:r>
        <w:rPr>
          <w:rFonts w:ascii="Palatino Linotype" w:eastAsia="Palatino Linotype" w:hAnsi="Palatino Linotype" w:cs="Palatino Linotype"/>
        </w:rPr>
        <w:t>.</w:t>
      </w: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05249/INFOEM/</w:t>
      </w:r>
      <w:r w:rsidR="007E11C4">
        <w:rPr>
          <w:rFonts w:ascii="Palatino Linotype" w:eastAsia="Palatino Linotype" w:hAnsi="Palatino Linotype" w:cs="Palatino Linotype"/>
          <w:b/>
        </w:rPr>
        <w:t>AD</w:t>
      </w:r>
      <w:r>
        <w:rPr>
          <w:rFonts w:ascii="Palatino Linotype" w:eastAsia="Palatino Linotype" w:hAnsi="Palatino Linotype" w:cs="Palatino Linotype"/>
          <w:b/>
        </w:rPr>
        <w:t>/RR/2022</w:t>
      </w:r>
      <w:r w:rsidR="009379E1">
        <w:rPr>
          <w:rFonts w:ascii="Palatino Linotype" w:eastAsia="Palatino Linotype" w:hAnsi="Palatino Linotype" w:cs="Palatino Linotype"/>
        </w:rPr>
        <w:t xml:space="preserve">, interpuesto por la C. </w:t>
      </w:r>
      <w:r w:rsidR="0074443F">
        <w:rPr>
          <w:rFonts w:ascii="Palatino Linotype" w:eastAsia="Palatino Linotype" w:hAnsi="Palatino Linotype" w:cs="Palatino Linotype"/>
          <w:b/>
          <w:sz w:val="22"/>
          <w:szCs w:val="22"/>
        </w:rPr>
        <w:t>XXXX XXXXX XXXX</w:t>
      </w:r>
      <w:r w:rsidRPr="007E11C4">
        <w:rPr>
          <w:rFonts w:ascii="Palatino Linotype" w:eastAsia="Palatino Linotype" w:hAnsi="Palatino Linotype" w:cs="Palatino Linotype"/>
          <w:b/>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w:t>
      </w:r>
      <w:r w:rsidRPr="007E11C4">
        <w:rPr>
          <w:rFonts w:ascii="Palatino Linotype" w:eastAsia="Palatino Linotype" w:hAnsi="Palatino Linotype" w:cs="Palatino Linotype"/>
          <w:b/>
        </w:rPr>
        <w:t xml:space="preserve">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en contra de la respuesta a su solicitud de acceso a datos con número de folio</w:t>
      </w:r>
      <w:r>
        <w:rPr>
          <w:rFonts w:ascii="Verdana" w:eastAsia="Verdana" w:hAnsi="Verdana" w:cs="Verdana"/>
          <w:b/>
          <w:color w:val="FF0000"/>
        </w:rPr>
        <w:t> </w:t>
      </w:r>
      <w:r>
        <w:rPr>
          <w:rFonts w:ascii="Palatino Linotype" w:eastAsia="Palatino Linotype" w:hAnsi="Palatino Linotype" w:cs="Palatino Linotype"/>
          <w:b/>
        </w:rPr>
        <w:t>00006/VABRAVO/AD/2022</w:t>
      </w:r>
      <w:r>
        <w:rPr>
          <w:rFonts w:ascii="Palatino Linotype" w:eastAsia="Palatino Linotype" w:hAnsi="Palatino Linotype" w:cs="Palatino Linotype"/>
        </w:rPr>
        <w:t xml:space="preserve">, del </w:t>
      </w:r>
      <w:r>
        <w:rPr>
          <w:rFonts w:ascii="Palatino Linotype" w:eastAsia="Palatino Linotype" w:hAnsi="Palatino Linotype" w:cs="Palatino Linotype"/>
          <w:b/>
        </w:rPr>
        <w:t>Ayuntamiento de Valle de Bravo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285C00" w:rsidRDefault="00AD5FAD">
      <w:pPr>
        <w:numPr>
          <w:ilvl w:val="0"/>
          <w:numId w:val="2"/>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w:t>
      </w:r>
      <w:r w:rsidRPr="00E807CC">
        <w:rPr>
          <w:rFonts w:ascii="Palatino Linotype" w:eastAsia="Palatino Linotype" w:hAnsi="Palatino Linotype" w:cs="Palatino Linotype"/>
          <w:b/>
        </w:rPr>
        <w:t xml:space="preserve">a </w:t>
      </w:r>
      <w:r w:rsidR="007E11C4" w:rsidRPr="00E807CC">
        <w:rPr>
          <w:rFonts w:ascii="Palatino Linotype" w:eastAsia="Palatino Linotype" w:hAnsi="Palatino Linotype" w:cs="Palatino Linotype"/>
          <w:b/>
        </w:rPr>
        <w:t>Datos</w:t>
      </w:r>
      <w:r w:rsidR="00E807CC">
        <w:rPr>
          <w:rFonts w:ascii="Palatino Linotype" w:eastAsia="Palatino Linotype" w:hAnsi="Palatino Linotype" w:cs="Palatino Linotype"/>
          <w:b/>
        </w:rPr>
        <w:t>.</w:t>
      </w:r>
      <w:r w:rsidR="007E11C4" w:rsidRPr="00E807CC">
        <w:rPr>
          <w:rFonts w:ascii="Palatino Linotype" w:eastAsia="Palatino Linotype" w:hAnsi="Palatino Linotype" w:cs="Palatino Linotype"/>
          <w:b/>
        </w:rPr>
        <w:t xml:space="preserve"> </w:t>
      </w:r>
      <w:r w:rsidRPr="00E807CC">
        <w:rPr>
          <w:rFonts w:ascii="Palatino Linotype" w:eastAsia="Palatino Linotype" w:hAnsi="Palatino Linotype" w:cs="Palatino Linotype"/>
          <w:b/>
        </w:rPr>
        <w:t xml:space="preserve"> </w:t>
      </w:r>
      <w:r w:rsidRPr="00E807CC">
        <w:rPr>
          <w:rFonts w:ascii="Palatino Linotype" w:eastAsia="Palatino Linotype" w:hAnsi="Palatino Linotype" w:cs="Palatino Linotype"/>
        </w:rPr>
        <w:t>Con</w:t>
      </w:r>
      <w:r>
        <w:rPr>
          <w:rFonts w:ascii="Palatino Linotype" w:eastAsia="Palatino Linotype" w:hAnsi="Palatino Linotype" w:cs="Palatino Linotype"/>
        </w:rPr>
        <w:t xml:space="preserve"> fecha </w:t>
      </w:r>
      <w:r>
        <w:rPr>
          <w:rFonts w:ascii="Palatino Linotype" w:eastAsia="Palatino Linotype" w:hAnsi="Palatino Linotype" w:cs="Palatino Linotype"/>
          <w:b/>
        </w:rPr>
        <w:t xml:space="preserve">dieciséis de marzo de dos mil </w:t>
      </w:r>
      <w:r w:rsidRPr="00E807CC">
        <w:rPr>
          <w:rFonts w:ascii="Palatino Linotype" w:eastAsia="Palatino Linotype" w:hAnsi="Palatino Linotype" w:cs="Palatino Linotype"/>
          <w:b/>
        </w:rPr>
        <w:t>veintidós</w:t>
      </w:r>
      <w:r w:rsidRPr="00E807CC">
        <w:rPr>
          <w:rFonts w:ascii="Palatino Linotype" w:eastAsia="Palatino Linotype" w:hAnsi="Palatino Linotype" w:cs="Palatino Linotype"/>
        </w:rPr>
        <w:t xml:space="preserve">, la </w:t>
      </w:r>
      <w:r w:rsidRPr="00E807CC">
        <w:rPr>
          <w:rFonts w:ascii="Palatino Linotype" w:eastAsia="Palatino Linotype" w:hAnsi="Palatino Linotype" w:cs="Palatino Linotype"/>
          <w:b/>
        </w:rPr>
        <w:t>Recurrente</w:t>
      </w:r>
      <w:r w:rsidRPr="00E807CC">
        <w:rPr>
          <w:rFonts w:ascii="Palatino Linotype" w:eastAsia="Palatino Linotype" w:hAnsi="Palatino Linotype" w:cs="Palatino Linotype"/>
        </w:rPr>
        <w:t xml:space="preserve"> formuló solicitud de acceso a </w:t>
      </w:r>
      <w:r w:rsidR="00E807CC" w:rsidRPr="00E807CC">
        <w:rPr>
          <w:rFonts w:ascii="Palatino Linotype" w:eastAsia="Palatino Linotype" w:hAnsi="Palatino Linotype" w:cs="Palatino Linotype"/>
        </w:rPr>
        <w:t>datos</w:t>
      </w:r>
      <w:r w:rsidRPr="00E807CC">
        <w:rPr>
          <w:rFonts w:ascii="Palatino Linotype" w:eastAsia="Palatino Linotype" w:hAnsi="Palatino Linotype" w:cs="Palatino Linotype"/>
        </w:rPr>
        <w:t xml:space="preserve"> al </w:t>
      </w:r>
      <w:r w:rsidRPr="00E807CC">
        <w:rPr>
          <w:rFonts w:ascii="Palatino Linotype" w:eastAsia="Palatino Linotype" w:hAnsi="Palatino Linotype" w:cs="Palatino Linotype"/>
          <w:b/>
        </w:rPr>
        <w:t>Sujeto Obligado</w:t>
      </w:r>
      <w:r w:rsidRPr="00E807CC">
        <w:rPr>
          <w:rFonts w:ascii="Palatino Linotype" w:eastAsia="Palatino Linotype" w:hAnsi="Palatino Linotype" w:cs="Palatino Linotype"/>
        </w:rPr>
        <w:t xml:space="preserve"> a tr</w:t>
      </w:r>
      <w:r>
        <w:rPr>
          <w:rFonts w:ascii="Palatino Linotype" w:eastAsia="Palatino Linotype" w:hAnsi="Palatino Linotype" w:cs="Palatino Linotype"/>
        </w:rPr>
        <w:t xml:space="preserve">avés del Sistema de Acceso, Rectificación, Cancelación y Oposición de Datos Personales del Estado de México, en lo subsecuente </w:t>
      </w:r>
      <w:r>
        <w:rPr>
          <w:rFonts w:ascii="Palatino Linotype" w:eastAsia="Palatino Linotype" w:hAnsi="Palatino Linotype" w:cs="Palatino Linotype"/>
          <w:b/>
        </w:rPr>
        <w:t>SARCOEM,</w:t>
      </w:r>
      <w:r>
        <w:rPr>
          <w:rFonts w:ascii="Palatino Linotype" w:eastAsia="Palatino Linotype" w:hAnsi="Palatino Linotype" w:cs="Palatino Linotype"/>
        </w:rPr>
        <w:t xml:space="preserve"> requiriéndole lo siguiente:</w:t>
      </w:r>
    </w:p>
    <w:p w:rsidR="00285C00" w:rsidRDefault="00AD5FAD">
      <w:pPr>
        <w:spacing w:before="24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que suscribe la C. </w:t>
      </w:r>
      <w:r w:rsidR="0074443F">
        <w:rPr>
          <w:rFonts w:ascii="Palatino Linotype" w:eastAsia="Palatino Linotype" w:hAnsi="Palatino Linotype" w:cs="Palatino Linotype"/>
          <w:b/>
          <w:sz w:val="22"/>
          <w:szCs w:val="22"/>
        </w:rPr>
        <w:t>XXXX XXXXX XXXX</w:t>
      </w:r>
      <w:r>
        <w:rPr>
          <w:rFonts w:ascii="Palatino Linotype" w:eastAsia="Palatino Linotype" w:hAnsi="Palatino Linotype" w:cs="Palatino Linotype"/>
          <w:i/>
          <w:color w:val="000000"/>
          <w:sz w:val="22"/>
          <w:szCs w:val="22"/>
        </w:rPr>
        <w:t xml:space="preserve">, ex servidor público adscrita a la Dirección de Ecología y Conservación Ambiental del Ayuntamiento de Valle de Bravo, México, quien tenía como número de empleado el </w:t>
      </w:r>
      <w:r w:rsidR="0074443F">
        <w:rPr>
          <w:rFonts w:ascii="Palatino Linotype" w:eastAsia="Palatino Linotype" w:hAnsi="Palatino Linotype" w:cs="Palatino Linotype"/>
          <w:b/>
          <w:sz w:val="22"/>
          <w:szCs w:val="22"/>
        </w:rPr>
        <w:t>XXXX</w:t>
      </w:r>
      <w:r>
        <w:rPr>
          <w:rFonts w:ascii="Palatino Linotype" w:eastAsia="Palatino Linotype" w:hAnsi="Palatino Linotype" w:cs="Palatino Linotype"/>
          <w:i/>
          <w:color w:val="000000"/>
          <w:sz w:val="22"/>
          <w:szCs w:val="22"/>
        </w:rPr>
        <w:t xml:space="preserve">, así como clave de ISSEMYM número </w:t>
      </w:r>
      <w:r w:rsidR="0074443F">
        <w:rPr>
          <w:rFonts w:ascii="Palatino Linotype" w:eastAsia="Palatino Linotype" w:hAnsi="Palatino Linotype" w:cs="Palatino Linotype"/>
          <w:b/>
          <w:sz w:val="22"/>
          <w:szCs w:val="22"/>
        </w:rPr>
        <w:t>XXXX</w:t>
      </w:r>
      <w:r>
        <w:rPr>
          <w:rFonts w:ascii="Palatino Linotype" w:eastAsia="Palatino Linotype" w:hAnsi="Palatino Linotype" w:cs="Palatino Linotype"/>
          <w:i/>
          <w:color w:val="000000"/>
          <w:sz w:val="22"/>
          <w:szCs w:val="22"/>
        </w:rPr>
        <w:t xml:space="preserve">, al respecto, me permito exponer: Que con fundamento en el artículo 8° de la Constitución Política de los Estados Unidos Mexicanos, me permito solicitar de la manera más atenta se me haga entrega por este medio copia del documento FORMATO ÚNICO DE MOVIMIENTOS DE PERSONAL, a través del cual se hace constar la fecha de mi baja laboral como servidor público del Ayuntamiento de Valle de Bravo, así como el documento correspondiente al AVISO hecho respecto de la baja laboral que tuvo a bien realizar ante el Instituto de Seguridad Social del Estado de México y Municipios “ISSEMYM” por lo que </w:t>
      </w:r>
      <w:r>
        <w:rPr>
          <w:rFonts w:ascii="Palatino Linotype" w:eastAsia="Palatino Linotype" w:hAnsi="Palatino Linotype" w:cs="Palatino Linotype"/>
          <w:i/>
          <w:color w:val="000000"/>
          <w:sz w:val="22"/>
          <w:szCs w:val="22"/>
        </w:rPr>
        <w:lastRenderedPageBreak/>
        <w:t>a la suscrita se refiere. Lo anterior, por ser documentales a que tengo derecho que es la empleadora la única obligada y responsable de entregar las citadas documentales a la suscrita, ya que los multicitados documentos son necesarios para diversos trámites que la suscrita debe realizar ante la Institución de Seguridad Social. Para el caso del Ayuntamiento a través de sus representantes se nieguen a proporcionarme las documentales en cita, solicito brinde respuesta a mi petición debidamente fundada y motivada.”(Sic)</w:t>
      </w:r>
    </w:p>
    <w:p w:rsidR="00285C00" w:rsidRDefault="00285C00">
      <w:pPr>
        <w:spacing w:line="276" w:lineRule="auto"/>
        <w:ind w:left="851" w:right="902"/>
        <w:jc w:val="both"/>
        <w:rPr>
          <w:rFonts w:ascii="Palatino Linotype" w:eastAsia="Palatino Linotype" w:hAnsi="Palatino Linotype" w:cs="Palatino Linotype"/>
          <w:i/>
          <w:color w:val="000000"/>
          <w:sz w:val="22"/>
          <w:szCs w:val="22"/>
        </w:rPr>
      </w:pPr>
    </w:p>
    <w:p w:rsidR="00285C00" w:rsidRDefault="00AD5FA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Copias Simples (con costo)</w:t>
      </w: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veinticuatro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w:t>
      </w:r>
      <w:r w:rsidR="00D812DB">
        <w:rPr>
          <w:rFonts w:ascii="Palatino Linotype" w:eastAsia="Palatino Linotype" w:hAnsi="Palatino Linotype" w:cs="Palatino Linotype"/>
        </w:rPr>
        <w:t>SARCOEM</w:t>
      </w:r>
      <w:r>
        <w:rPr>
          <w:rFonts w:ascii="Palatino Linotype" w:eastAsia="Palatino Linotype" w:hAnsi="Palatino Linotype" w:cs="Palatino Linotype"/>
        </w:rPr>
        <w:t>, la cual versa como sigue:</w:t>
      </w:r>
    </w:p>
    <w:p w:rsidR="00285C00" w:rsidRDefault="00AD5FAD">
      <w:pPr>
        <w:spacing w:before="240"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85C00" w:rsidRDefault="00AD5FAD">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 la intención de dar respuesta a su solicitud con número 00006/VABRAVO/AD/2022, se envía adjunta la presente documentación, la cual fue turnada a la Unidad de Transparencia y Acceso a la Información Pública del Municipio de Valle de Bravo.</w:t>
      </w:r>
    </w:p>
    <w:p w:rsidR="00285C00" w:rsidRDefault="00AD5FAD">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285C00" w:rsidRDefault="00AD5FAD">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M.A. KARLA MARYSOL GARCIA DELGADO” (Sic)</w:t>
      </w:r>
    </w:p>
    <w:p w:rsidR="00285C00" w:rsidRDefault="00285C00">
      <w:pPr>
        <w:ind w:left="851" w:right="902"/>
        <w:jc w:val="both"/>
        <w:rPr>
          <w:rFonts w:ascii="Palatino Linotype" w:eastAsia="Palatino Linotype" w:hAnsi="Palatino Linotype" w:cs="Palatino Linotype"/>
          <w:i/>
        </w:rPr>
      </w:pPr>
    </w:p>
    <w:p w:rsidR="00285C00" w:rsidRDefault="00AD5FAD">
      <w:pPr>
        <w:spacing w:after="240" w:line="360" w:lineRule="auto"/>
        <w:ind w:left="567" w:right="142"/>
        <w:jc w:val="both"/>
        <w:rPr>
          <w:rFonts w:ascii="Palatino Linotype" w:eastAsia="Palatino Linotype" w:hAnsi="Palatino Linotype" w:cs="Palatino Linotype"/>
          <w:color w:val="404040"/>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i/>
          <w:color w:val="404040"/>
        </w:rPr>
        <w:t>“</w:t>
      </w:r>
      <w:r>
        <w:rPr>
          <w:rFonts w:ascii="Palatino Linotype" w:eastAsia="Palatino Linotype" w:hAnsi="Palatino Linotype" w:cs="Palatino Linotype"/>
          <w:b/>
          <w:i/>
          <w:color w:val="404040"/>
        </w:rPr>
        <w:t>2 - 8 - SARCOEM - admon.pdf</w:t>
      </w:r>
      <w:r>
        <w:rPr>
          <w:rFonts w:ascii="Palatino Linotype" w:eastAsia="Palatino Linotype" w:hAnsi="Palatino Linotype" w:cs="Palatino Linotype"/>
          <w:i/>
          <w:color w:val="404040"/>
        </w:rPr>
        <w:t xml:space="preserve">” </w:t>
      </w:r>
      <w:r>
        <w:rPr>
          <w:rFonts w:ascii="Palatino Linotype" w:eastAsia="Palatino Linotype" w:hAnsi="Palatino Linotype" w:cs="Palatino Linotype"/>
          <w:color w:val="404040"/>
        </w:rPr>
        <w:t>oficio número CA/0182/MARZO/2022, de fecha veintitrés de marzo del dos mil veintidós, suscrito y firmado por el Jefe del Departamento de Recursos Humanos, el cual se muestra a continuación:</w:t>
      </w:r>
    </w:p>
    <w:p w:rsidR="00285C00" w:rsidRDefault="00AD5FAD">
      <w:pPr>
        <w:spacing w:before="240" w:after="240" w:line="360" w:lineRule="auto"/>
        <w:ind w:left="567" w:right="142"/>
        <w:jc w:val="center"/>
        <w:rPr>
          <w:rFonts w:ascii="Palatino Linotype" w:eastAsia="Palatino Linotype" w:hAnsi="Palatino Linotype" w:cs="Palatino Linotype"/>
          <w:color w:val="404040"/>
        </w:rPr>
      </w:pPr>
      <w:r>
        <w:rPr>
          <w:noProof/>
          <w:lang w:val="es-MX" w:eastAsia="es-MX"/>
        </w:rPr>
        <w:lastRenderedPageBreak/>
        <w:drawing>
          <wp:inline distT="0" distB="0" distL="0" distR="0">
            <wp:extent cx="4645534" cy="6091865"/>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67866" t="21711" r="5699" b="16669"/>
                    <a:stretch>
                      <a:fillRect/>
                    </a:stretch>
                  </pic:blipFill>
                  <pic:spPr>
                    <a:xfrm>
                      <a:off x="0" y="0"/>
                      <a:ext cx="4645534" cy="6091865"/>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758825</wp:posOffset>
                </wp:positionH>
                <wp:positionV relativeFrom="paragraph">
                  <wp:posOffset>3324225</wp:posOffset>
                </wp:positionV>
                <wp:extent cx="4345394" cy="857914"/>
                <wp:effectExtent l="0" t="0" r="0" b="0"/>
                <wp:wrapNone/>
                <wp:docPr id="66" name="Rectángulo 66"/>
                <wp:cNvGraphicFramePr/>
                <a:graphic xmlns:a="http://schemas.openxmlformats.org/drawingml/2006/main">
                  <a:graphicData uri="http://schemas.microsoft.com/office/word/2010/wordprocessingShape">
                    <wps:wsp>
                      <wps:cNvSpPr/>
                      <wps:spPr>
                        <a:xfrm>
                          <a:off x="3187591" y="3365331"/>
                          <a:ext cx="4316819" cy="829339"/>
                        </a:xfrm>
                        <a:prstGeom prst="rect">
                          <a:avLst/>
                        </a:prstGeom>
                        <a:noFill/>
                        <a:ln w="28575" cap="flat" cmpd="sng">
                          <a:solidFill>
                            <a:srgbClr val="FF0000"/>
                          </a:solidFill>
                          <a:prstDash val="solid"/>
                          <a:miter lim="800000"/>
                          <a:headEnd type="none" w="sm" len="sm"/>
                          <a:tailEnd type="none" w="sm" len="sm"/>
                        </a:ln>
                      </wps:spPr>
                      <wps:txbx>
                        <w:txbxContent>
                          <w:p w:rsidR="00285C00" w:rsidRDefault="00285C00">
                            <w:pPr>
                              <w:textDirection w:val="btLr"/>
                            </w:pPr>
                          </w:p>
                        </w:txbxContent>
                      </wps:txbx>
                      <wps:bodyPr spcFirstLastPara="1" wrap="square" lIns="91425" tIns="91425" rIns="91425" bIns="91425" anchor="ctr" anchorCtr="0">
                        <a:noAutofit/>
                      </wps:bodyPr>
                    </wps:wsp>
                  </a:graphicData>
                </a:graphic>
              </wp:anchor>
            </w:drawing>
          </mc:Choice>
          <mc:Fallback>
            <w:pict>
              <v:rect id="Rectángulo 66" o:spid="_x0000_s1026" style="position:absolute;left:0;text-align:left;margin-left:59.75pt;margin-top:261.75pt;width:342.15pt;height:67.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" filled="f" strokecolor="red" strokeweight="2.25pt">
                <v:stroke startarrowwidth="narrow" startarrowlength="short" endarrowwidth="narrow" endarrowlength="short"/>
                <v:textbox inset="2.53958mm,2.53958mm,2.53958mm,2.53958mm">
                  <w:txbxContent>
                    <w:p w:rsidR="00285C00" w:rsidRDefault="00285C00">
                      <w:pPr>
                        <w:textDirection w:val="btLr"/>
                      </w:pPr>
                    </w:p>
                  </w:txbxContent>
                </v:textbox>
              </v:rect>
            </w:pict>
          </mc:Fallback>
        </mc:AlternateContent>
      </w: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SARCOEM en fecha </w:t>
      </w:r>
      <w:r>
        <w:rPr>
          <w:rFonts w:ascii="Palatino Linotype" w:eastAsia="Palatino Linotype" w:hAnsi="Palatino Linotype" w:cs="Palatino Linotype"/>
          <w:b/>
        </w:rPr>
        <w:t>treinta de marzo del dos mil veintidós</w:t>
      </w:r>
      <w:r>
        <w:rPr>
          <w:rFonts w:ascii="Palatino Linotype" w:eastAsia="Palatino Linotype" w:hAnsi="Palatino Linotype" w:cs="Palatino Linotype"/>
        </w:rPr>
        <w:t>, a través del cual expresó lo siguiente:</w:t>
      </w:r>
    </w:p>
    <w:p w:rsidR="00285C00" w:rsidRDefault="00AD5FAD">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rsidR="00285C00" w:rsidRDefault="00AD5FAD">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“Negativa a la solicitud de un documento personal, el cual está fundado de acuerdo a mis derechos como único propietario de los datos personales, así como de las virtudes que la misma Institución de Seguridad Social ISSEMYM, me proporciona al haber sido servidor público dado de alta ante dicha institución. Lo antes mencionado, está sustentado </w:t>
      </w:r>
      <w:proofErr w:type="spellStart"/>
      <w:r>
        <w:rPr>
          <w:rFonts w:ascii="Palatino Linotype" w:eastAsia="Palatino Linotype" w:hAnsi="Palatino Linotype" w:cs="Palatino Linotype"/>
          <w:i/>
          <w:color w:val="000000"/>
          <w:sz w:val="22"/>
          <w:szCs w:val="22"/>
        </w:rPr>
        <w:t>publicamente</w:t>
      </w:r>
      <w:proofErr w:type="spellEnd"/>
      <w:r>
        <w:rPr>
          <w:rFonts w:ascii="Palatino Linotype" w:eastAsia="Palatino Linotype" w:hAnsi="Palatino Linotype" w:cs="Palatino Linotype"/>
          <w:i/>
          <w:color w:val="000000"/>
          <w:sz w:val="22"/>
          <w:szCs w:val="22"/>
        </w:rPr>
        <w:t xml:space="preserve"> en la información proporcionada por el Instituto antes mencionado, en donde sugiere es una manera como derecho que tenemos a obtener el documento solicitado que a mi persona compete.” (Sic)</w:t>
      </w:r>
    </w:p>
    <w:p w:rsidR="00285C00" w:rsidRDefault="00AD5FA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285C00" w:rsidRDefault="00AD5FAD">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“Negativa a la solicitud de un documento personal, el cual está fundado de acuerdo a mis derechos como único propietario de los datos personales, así como de las virtudes que la misma Institución de Seguridad Social ISSEMYM, me proporciona al haber sido servidor público dado de alta ante dicha institución. Lo antes mencionado, está sustentado </w:t>
      </w:r>
      <w:proofErr w:type="spellStart"/>
      <w:r>
        <w:rPr>
          <w:rFonts w:ascii="Palatino Linotype" w:eastAsia="Palatino Linotype" w:hAnsi="Palatino Linotype" w:cs="Palatino Linotype"/>
          <w:i/>
          <w:color w:val="000000"/>
          <w:sz w:val="22"/>
          <w:szCs w:val="22"/>
        </w:rPr>
        <w:t>publicamente</w:t>
      </w:r>
      <w:proofErr w:type="spellEnd"/>
      <w:r>
        <w:rPr>
          <w:rFonts w:ascii="Palatino Linotype" w:eastAsia="Palatino Linotype" w:hAnsi="Palatino Linotype" w:cs="Palatino Linotype"/>
          <w:i/>
          <w:color w:val="000000"/>
          <w:sz w:val="22"/>
          <w:szCs w:val="22"/>
        </w:rPr>
        <w:t xml:space="preserve"> en la información proporcionada por el Instituto antes mencionado, en donde sugiere es una manera como derecho que tenemos a obtener el documento solicitado que a mi persona compete.” (Sic)</w:t>
      </w:r>
    </w:p>
    <w:p w:rsidR="0069451D" w:rsidRDefault="0069451D">
      <w:pPr>
        <w:spacing w:after="240"/>
        <w:ind w:left="851" w:right="900"/>
        <w:jc w:val="both"/>
        <w:rPr>
          <w:rFonts w:ascii="Palatino Linotype" w:eastAsia="Palatino Linotype" w:hAnsi="Palatino Linotype" w:cs="Palatino Linotype"/>
          <w:i/>
          <w:color w:val="000000"/>
          <w:sz w:val="22"/>
          <w:szCs w:val="22"/>
        </w:rPr>
      </w:pPr>
    </w:p>
    <w:p w:rsidR="00285C00" w:rsidRDefault="00AD5FAD">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05249/INFOEM/</w:t>
      </w:r>
      <w:r w:rsidR="00E807CC" w:rsidRPr="00E807CC">
        <w:rPr>
          <w:rFonts w:ascii="Palatino Linotype" w:eastAsia="Palatino Linotype" w:hAnsi="Palatino Linotype" w:cs="Palatino Linotype"/>
          <w:b/>
        </w:rPr>
        <w:t>AD</w:t>
      </w:r>
      <w:r w:rsidRPr="00E807CC">
        <w:rPr>
          <w:rFonts w:ascii="Palatino Linotype" w:eastAsia="Palatino Linotype" w:hAnsi="Palatino Linotype" w:cs="Palatino Linotype"/>
          <w:b/>
        </w:rPr>
        <w:t>/RR</w:t>
      </w:r>
      <w:r>
        <w:rPr>
          <w:rFonts w:ascii="Palatino Linotype" w:eastAsia="Palatino Linotype" w:hAnsi="Palatino Linotype" w:cs="Palatino Linotype"/>
          <w:b/>
        </w:rPr>
        <w:t xml:space="preserve">/2022,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285C00" w:rsidRDefault="00285C00">
      <w:pPr>
        <w:spacing w:line="360" w:lineRule="auto"/>
        <w:jc w:val="both"/>
        <w:rPr>
          <w:rFonts w:ascii="Palatino Linotype" w:eastAsia="Palatino Linotype" w:hAnsi="Palatino Linotype" w:cs="Palatino Linotype"/>
        </w:rPr>
      </w:pPr>
    </w:p>
    <w:p w:rsidR="00285C00" w:rsidRDefault="00AD5F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cuatro de abril de dos mil veintidós</w:t>
      </w:r>
      <w:r>
        <w:rPr>
          <w:rFonts w:ascii="Palatino Linotype" w:eastAsia="Palatino Linotype" w:hAnsi="Palatino Linotype" w:cs="Palatino Linotype"/>
        </w:rPr>
        <w:t xml:space="preserve">, atento a lo dispuesto en los artículos 11, 127 y 131 de la Ley de Protección de Datos Personales en Posesión de Sujetos Obligados del Estado de México y Municipios, y el artículo 185, fracciones I, II y IV de la Ley de Transparencia y Acceso a la </w:t>
      </w:r>
      <w:r>
        <w:rPr>
          <w:rFonts w:ascii="Palatino Linotype" w:eastAsia="Palatino Linotype" w:hAnsi="Palatino Linotype" w:cs="Palatino Linotype"/>
        </w:rPr>
        <w:lastRenderedPageBreak/>
        <w:t>Información Pública del Estado de México y Municipios de aplicación supletoria, se admitió el presente recurso de revisión a través del acuerdo de admisión respectivo.</w:t>
      </w:r>
    </w:p>
    <w:p w:rsidR="00285C00" w:rsidRDefault="00285C00">
      <w:pPr>
        <w:spacing w:line="360" w:lineRule="auto"/>
        <w:jc w:val="both"/>
        <w:rPr>
          <w:rFonts w:ascii="Palatino Linotype" w:eastAsia="Palatino Linotype" w:hAnsi="Palatino Linotype" w:cs="Palatino Linotype"/>
        </w:rPr>
      </w:pPr>
    </w:p>
    <w:p w:rsidR="00285C00" w:rsidRDefault="00AD5FAD">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Desistimiento del Recurso de Revisión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diez de abril de dos mil veintidós</w:t>
      </w:r>
      <w:r w:rsidRPr="00D812DB">
        <w:rPr>
          <w:rFonts w:ascii="Palatino Linotype" w:eastAsia="Palatino Linotype" w:hAnsi="Palatino Linotype" w:cs="Palatino Linotype"/>
        </w:rPr>
        <w:t xml:space="preserve">, la </w:t>
      </w:r>
      <w:r w:rsidRPr="00D812DB">
        <w:rPr>
          <w:rFonts w:ascii="Palatino Linotype" w:eastAsia="Palatino Linotype" w:hAnsi="Palatino Linotype" w:cs="Palatino Linotype"/>
          <w:b/>
        </w:rPr>
        <w:t>Recurrente</w:t>
      </w:r>
      <w:r>
        <w:rPr>
          <w:rFonts w:ascii="Palatino Linotype" w:eastAsia="Palatino Linotype" w:hAnsi="Palatino Linotype" w:cs="Palatino Linotype"/>
        </w:rPr>
        <w:t xml:space="preserve"> se desistió vía el SARCOEM del presente medio de impugnación, como se muestra enseguida:  </w:t>
      </w:r>
    </w:p>
    <w:p w:rsidR="00285C00" w:rsidRDefault="00AD5FA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color w:val="000000"/>
          <w:sz w:val="22"/>
          <w:szCs w:val="22"/>
        </w:rPr>
        <w:t xml:space="preserve"> </w:t>
      </w:r>
      <w:bookmarkStart w:id="0" w:name="_GoBack"/>
      <w:r w:rsidR="0074443F">
        <w:rPr>
          <w:noProof/>
          <w:lang w:val="es-MX" w:eastAsia="es-MX"/>
        </w:rPr>
        <w:drawing>
          <wp:inline distT="0" distB="0" distL="0" distR="0" wp14:anchorId="7EC1EA24" wp14:editId="0F7F51B1">
            <wp:extent cx="5153025" cy="4571629"/>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790" t="30154" r="31744" b="21796"/>
                    <a:stretch/>
                  </pic:blipFill>
                  <pic:spPr bwMode="auto">
                    <a:xfrm>
                      <a:off x="0" y="0"/>
                      <a:ext cx="5174524" cy="459070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85C00" w:rsidRDefault="00285C00">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color w:val="000000"/>
          <w:sz w:val="28"/>
          <w:szCs w:val="28"/>
        </w:rPr>
      </w:pPr>
    </w:p>
    <w:p w:rsidR="00285C00" w:rsidRPr="00E807CC" w:rsidRDefault="00E807C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Manifestaciones.</w:t>
      </w:r>
      <w:r w:rsidRPr="00E807CC">
        <w:t xml:space="preserve"> </w:t>
      </w:r>
      <w:r w:rsidRPr="00E807CC">
        <w:rPr>
          <w:rFonts w:ascii="Palatino Linotype" w:eastAsia="Palatino Linotype" w:hAnsi="Palatino Linotype" w:cs="Palatino Linotype"/>
        </w:rPr>
        <w:t>De las constancias que obran en el expediente electrónico del SA</w:t>
      </w:r>
      <w:r>
        <w:rPr>
          <w:rFonts w:ascii="Palatino Linotype" w:eastAsia="Palatino Linotype" w:hAnsi="Palatino Linotype" w:cs="Palatino Linotype"/>
        </w:rPr>
        <w:t>RCOEM</w:t>
      </w:r>
      <w:r w:rsidRPr="00E807CC">
        <w:rPr>
          <w:rFonts w:ascii="Palatino Linotype" w:eastAsia="Palatino Linotype" w:hAnsi="Palatino Linotype" w:cs="Palatino Linotype"/>
        </w:rPr>
        <w:t xml:space="preserve"> se desprende que el </w:t>
      </w:r>
      <w:r w:rsidRPr="00E807CC">
        <w:rPr>
          <w:rFonts w:ascii="Palatino Linotype" w:eastAsia="Palatino Linotype" w:hAnsi="Palatino Linotype" w:cs="Palatino Linotype"/>
          <w:b/>
        </w:rPr>
        <w:t xml:space="preserve">Sujeto Obligado </w:t>
      </w:r>
      <w:r w:rsidRPr="00E807CC">
        <w:rPr>
          <w:rFonts w:ascii="Palatino Linotype" w:eastAsia="Palatino Linotype" w:hAnsi="Palatino Linotype" w:cs="Palatino Linotype"/>
        </w:rPr>
        <w:t xml:space="preserve">no rindió su informe justificado, del mismo modo la </w:t>
      </w:r>
      <w:r w:rsidRPr="00E807CC">
        <w:rPr>
          <w:rFonts w:ascii="Palatino Linotype" w:eastAsia="Palatino Linotype" w:hAnsi="Palatino Linotype" w:cs="Palatino Linotype"/>
          <w:b/>
        </w:rPr>
        <w:t xml:space="preserve">Recurrente </w:t>
      </w:r>
      <w:r w:rsidRPr="00E807CC">
        <w:rPr>
          <w:rFonts w:ascii="Palatino Linotype" w:eastAsia="Palatino Linotype" w:hAnsi="Palatino Linotype" w:cs="Palatino Linotype"/>
        </w:rPr>
        <w:t>omitió realizar manifestaciones, como se observa a continuación:</w:t>
      </w:r>
    </w:p>
    <w:p w:rsidR="00E807CC" w:rsidRDefault="00E807C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rPr>
      </w:pPr>
      <w:r>
        <w:rPr>
          <w:noProof/>
          <w:lang w:val="es-MX" w:eastAsia="es-MX"/>
        </w:rPr>
        <w:drawing>
          <wp:inline distT="0" distB="0" distL="0" distR="0" wp14:anchorId="72398687" wp14:editId="43E515CA">
            <wp:extent cx="5476539" cy="1724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87" t="25378" r="51796" b="54319"/>
                    <a:stretch/>
                  </pic:blipFill>
                  <pic:spPr bwMode="auto">
                    <a:xfrm>
                      <a:off x="0" y="0"/>
                      <a:ext cx="5548505" cy="1746680"/>
                    </a:xfrm>
                    <a:prstGeom prst="rect">
                      <a:avLst/>
                    </a:prstGeom>
                    <a:ln>
                      <a:noFill/>
                    </a:ln>
                    <a:extLst>
                      <a:ext uri="{53640926-AAD7-44D8-BBD7-CCE9431645EC}">
                        <a14:shadowObscured xmlns:a14="http://schemas.microsoft.com/office/drawing/2010/main"/>
                      </a:ext>
                    </a:extLst>
                  </pic:spPr>
                </pic:pic>
              </a:graphicData>
            </a:graphic>
          </wp:inline>
        </w:drawing>
      </w:r>
    </w:p>
    <w:p w:rsidR="00285C00" w:rsidRDefault="00E807C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8.</w:t>
      </w:r>
      <w:r w:rsidR="00AD5FAD">
        <w:rPr>
          <w:rFonts w:ascii="Palatino Linotype" w:eastAsia="Palatino Linotype" w:hAnsi="Palatino Linotype" w:cs="Palatino Linotype"/>
          <w:b/>
          <w:color w:val="000000"/>
        </w:rPr>
        <w:t xml:space="preserve"> Cierre de instrucción</w:t>
      </w:r>
      <w:r w:rsidR="00AD5FAD">
        <w:rPr>
          <w:rFonts w:ascii="Palatino Linotype" w:eastAsia="Palatino Linotype" w:hAnsi="Palatino Linotype" w:cs="Palatino Linotype"/>
          <w:color w:val="000000"/>
        </w:rPr>
        <w:t xml:space="preserve">. En fecha </w:t>
      </w:r>
      <w:r w:rsidR="00AD5FAD">
        <w:rPr>
          <w:rFonts w:ascii="Palatino Linotype" w:eastAsia="Palatino Linotype" w:hAnsi="Palatino Linotype" w:cs="Palatino Linotype"/>
          <w:b/>
          <w:color w:val="000000"/>
        </w:rPr>
        <w:t>catorce de junio del dos mil veintidós</w:t>
      </w:r>
      <w:r>
        <w:rPr>
          <w:rFonts w:ascii="Palatino Linotype" w:eastAsia="Palatino Linotype" w:hAnsi="Palatino Linotype" w:cs="Palatino Linotype"/>
          <w:b/>
          <w:color w:val="000000"/>
        </w:rPr>
        <w:t>,</w:t>
      </w:r>
      <w:r w:rsidR="00AD5FAD">
        <w:rPr>
          <w:rFonts w:ascii="Palatino Linotype" w:eastAsia="Palatino Linotype" w:hAnsi="Palatino Linotype" w:cs="Palatino Linotype"/>
          <w:color w:val="000000"/>
        </w:rPr>
        <w:t xml:space="preserve"> la Comisionada ponente determinó el cierre de instrucción en términos de la fracción VI del artículo 185 de la </w:t>
      </w:r>
      <w:r w:rsidR="00AD5FAD" w:rsidRPr="00E807CC">
        <w:rPr>
          <w:rFonts w:ascii="Palatino Linotype" w:eastAsia="Palatino Linotype" w:hAnsi="Palatino Linotype" w:cs="Palatino Linotype"/>
          <w:color w:val="000000"/>
        </w:rPr>
        <w:t>Ley de Transparencia y</w:t>
      </w:r>
      <w:r w:rsidR="00AD5FAD">
        <w:rPr>
          <w:rFonts w:ascii="Palatino Linotype" w:eastAsia="Palatino Linotype" w:hAnsi="Palatino Linotype" w:cs="Palatino Linotype"/>
          <w:color w:val="000000"/>
        </w:rPr>
        <w:t xml:space="preserve"> Acceso a la Información Pública del Estado de México y Municipios.</w:t>
      </w:r>
    </w:p>
    <w:p w:rsidR="00E807CC" w:rsidRPr="00E807CC" w:rsidRDefault="00E807C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807CC">
        <w:rPr>
          <w:rFonts w:ascii="Palatino Linotype" w:hAnsi="Palatino Linotype"/>
          <w:b/>
          <w:bCs/>
          <w:color w:val="000000"/>
        </w:rPr>
        <w:t xml:space="preserve">9. Ampliación del plazo. </w:t>
      </w:r>
      <w:r w:rsidRPr="00E807CC">
        <w:rPr>
          <w:rFonts w:ascii="Palatino Linotype" w:hAnsi="Palatino Linotype"/>
          <w:color w:val="000000"/>
        </w:rPr>
        <w:t xml:space="preserve">En fecha </w:t>
      </w:r>
      <w:r w:rsidRPr="00E807CC">
        <w:rPr>
          <w:rFonts w:ascii="Palatino Linotype" w:hAnsi="Palatino Linotype"/>
          <w:b/>
          <w:color w:val="000000"/>
        </w:rPr>
        <w:t>dieciséis de junio de dos mil veintidós</w:t>
      </w:r>
      <w:r w:rsidRPr="00E807CC">
        <w:rPr>
          <w:rFonts w:ascii="Palatino Linotype" w:hAnsi="Palatino Linotype"/>
          <w:color w:val="000000"/>
        </w:rPr>
        <w:t>, con fundamento en el artículo 181, párrafo tercero de la Ley de Transparencia y Acceso a la Información Pública de</w:t>
      </w:r>
      <w:r w:rsidR="009379E1">
        <w:rPr>
          <w:rFonts w:ascii="Palatino Linotype" w:hAnsi="Palatino Linotype"/>
          <w:color w:val="000000"/>
        </w:rPr>
        <w:t>l Estado de México y Municipios</w:t>
      </w:r>
      <w:r w:rsidR="00EB76BB">
        <w:rPr>
          <w:rFonts w:ascii="Palatino Linotype" w:eastAsia="Palatino Linotype" w:hAnsi="Palatino Linotype" w:cs="Palatino Linotype"/>
          <w:color w:val="222222"/>
        </w:rPr>
        <w:t>,</w:t>
      </w:r>
      <w:r w:rsidRPr="00E807CC">
        <w:rPr>
          <w:rFonts w:ascii="Palatino Linotype" w:hAnsi="Palatino Linotype"/>
          <w:color w:val="000000"/>
        </w:rPr>
        <w:t xml:space="preserve"> se acordó la ampliación del plazo para su resolución.</w:t>
      </w:r>
    </w:p>
    <w:p w:rsidR="00285C00" w:rsidRDefault="00AD5FAD">
      <w:pPr>
        <w:numPr>
          <w:ilvl w:val="0"/>
          <w:numId w:val="2"/>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285C00" w:rsidRDefault="00AD5FAD">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conforme a lo dispuesto en </w:t>
      </w:r>
      <w:r>
        <w:rPr>
          <w:rFonts w:ascii="Palatino Linotype" w:eastAsia="Palatino Linotype" w:hAnsi="Palatino Linotype" w:cs="Palatino Linotype"/>
          <w:highlight w:val="white"/>
        </w:rPr>
        <w:lastRenderedPageBreak/>
        <w:t>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A02732" w:rsidRDefault="00AD5FAD" w:rsidP="00A02732">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rPr>
        <w:t xml:space="preserve">Segundo. </w:t>
      </w:r>
      <w:r w:rsidR="00A02732">
        <w:rPr>
          <w:rFonts w:ascii="Palatino Linotype" w:eastAsia="Palatino Linotype" w:hAnsi="Palatino Linotype" w:cs="Palatino Linotype"/>
          <w:b/>
        </w:rPr>
        <w:t>Oportunidad</w:t>
      </w:r>
      <w:r w:rsidR="00A02732">
        <w:rPr>
          <w:rFonts w:ascii="Palatino Linotype" w:eastAsia="Palatino Linotype" w:hAnsi="Palatino Linotype" w:cs="Palatino Linotype"/>
        </w:rPr>
        <w:t xml:space="preserve">. </w:t>
      </w:r>
      <w:r w:rsidR="00A02732">
        <w:rPr>
          <w:rFonts w:ascii="Palatino Linotype" w:eastAsia="Palatino Linotype" w:hAnsi="Palatino Linotype" w:cs="Palatino Linotype"/>
          <w:color w:val="222222"/>
          <w:highlight w:val="white"/>
        </w:rPr>
        <w:t>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A02732" w:rsidRDefault="00A02732" w:rsidP="00A02732">
      <w:pPr>
        <w:spacing w:line="276"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w:t>
      </w:r>
      <w:r>
        <w:rPr>
          <w:rFonts w:ascii="Palatino Linotype" w:eastAsia="Palatino Linotype" w:hAnsi="Palatino Linotype" w:cs="Palatino Linotype"/>
          <w:b/>
          <w:i/>
          <w:color w:val="222222"/>
          <w:highlight w:val="white"/>
        </w:rPr>
        <w:t>Artículo 128.</w:t>
      </w:r>
      <w:r>
        <w:rPr>
          <w:rFonts w:ascii="Palatino Linotype" w:eastAsia="Palatino Linotype" w:hAnsi="Palatino Linotype" w:cs="Palatino Linotype"/>
          <w:i/>
          <w:color w:val="222222"/>
          <w:highlight w:val="white"/>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que </w:t>
      </w:r>
      <w:r>
        <w:rPr>
          <w:rFonts w:ascii="Palatino Linotype" w:eastAsia="Palatino Linotype" w:hAnsi="Palatino Linotype" w:cs="Palatino Linotype"/>
          <w:b/>
          <w:i/>
          <w:color w:val="222222"/>
          <w:highlight w:val="white"/>
        </w:rPr>
        <w:t>no podrá exceder de quince días contados a partir del siguiente a la fecha de la notificación de la respuesta</w:t>
      </w:r>
      <w:r>
        <w:rPr>
          <w:rFonts w:ascii="Palatino Linotype" w:eastAsia="Palatino Linotype" w:hAnsi="Palatino Linotype" w:cs="Palatino Linotype"/>
          <w:i/>
          <w:color w:val="222222"/>
          <w:highlight w:val="white"/>
        </w:rPr>
        <w:t xml:space="preserve">. </w:t>
      </w:r>
    </w:p>
    <w:p w:rsidR="00A02732" w:rsidRDefault="00A02732" w:rsidP="00A02732">
      <w:pPr>
        <w:tabs>
          <w:tab w:val="left" w:pos="2460"/>
        </w:tabs>
        <w:spacing w:line="276"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ab/>
      </w:r>
    </w:p>
    <w:p w:rsidR="00A02732" w:rsidRDefault="00A02732" w:rsidP="00A02732">
      <w:pPr>
        <w:spacing w:line="276" w:lineRule="auto"/>
        <w:ind w:left="709" w:right="1134"/>
        <w:jc w:val="both"/>
        <w:rPr>
          <w:rFonts w:ascii="Palatino Linotype" w:eastAsia="Palatino Linotype" w:hAnsi="Palatino Linotype" w:cs="Palatino Linotype"/>
          <w:i/>
          <w:color w:val="222222"/>
          <w:highlight w:val="white"/>
        </w:rPr>
      </w:pPr>
      <w:r>
        <w:rPr>
          <w:rFonts w:ascii="Palatino Linotype" w:eastAsia="Palatino Linotype" w:hAnsi="Palatino Linotype" w:cs="Palatino Linotype"/>
          <w:i/>
          <w:color w:val="222222"/>
          <w:highlight w:val="white"/>
        </w:rPr>
        <w:t xml:space="preserve">Transcurrido el plazo previsto para dar respuesta a una solicitud para el ejercicio de los derechos ARCO sin que se haya emitido ésta, el titular o en su caso, su representante podrán interponer el recurso de revisión dentro </w:t>
      </w:r>
      <w:r>
        <w:rPr>
          <w:rFonts w:ascii="Palatino Linotype" w:eastAsia="Palatino Linotype" w:hAnsi="Palatino Linotype" w:cs="Palatino Linotype"/>
          <w:i/>
          <w:color w:val="222222"/>
          <w:highlight w:val="white"/>
        </w:rPr>
        <w:lastRenderedPageBreak/>
        <w:t>de los quince días siguientes al que haya vencido el plazo para dar respuesta.” (Sic)</w:t>
      </w:r>
    </w:p>
    <w:p w:rsidR="00A02732" w:rsidRDefault="00A02732" w:rsidP="00A02732">
      <w:pPr>
        <w:ind w:left="709"/>
        <w:jc w:val="both"/>
        <w:rPr>
          <w:rFonts w:ascii="Palatino Linotype" w:eastAsia="Palatino Linotype" w:hAnsi="Palatino Linotype" w:cs="Palatino Linotype"/>
          <w:i/>
          <w:color w:val="222222"/>
          <w:highlight w:val="white"/>
        </w:rPr>
      </w:pPr>
    </w:p>
    <w:p w:rsidR="00A02732" w:rsidRDefault="00A02732" w:rsidP="00A02732">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En esa tesitura, atendiendo a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color w:val="222222"/>
          <w:highlight w:val="white"/>
        </w:rPr>
        <w:t xml:space="preserve"> notificó la respuesta a la solicitud de acceso a datos personales el día </w:t>
      </w:r>
      <w:r>
        <w:rPr>
          <w:rFonts w:ascii="Palatino Linotype" w:eastAsia="Palatino Linotype" w:hAnsi="Palatino Linotype" w:cs="Palatino Linotype"/>
          <w:b/>
          <w:color w:val="222222"/>
          <w:highlight w:val="white"/>
        </w:rPr>
        <w:t>veinticuatro de marzo de dos mil veintidós</w:t>
      </w:r>
      <w:r>
        <w:rPr>
          <w:rFonts w:ascii="Palatino Linotype" w:eastAsia="Palatino Linotype" w:hAnsi="Palatino Linotype" w:cs="Palatino Linotype"/>
          <w:color w:val="222222"/>
          <w:highlight w:val="white"/>
        </w:rPr>
        <w:t>; así, el plazo de quince días hábiles que el artículo 128 de la Ley de Protección de Datos Personales en Posesión de Sujetos Obligados del Estado de México y Municipios otorgó a</w:t>
      </w:r>
      <w:r w:rsidRPr="00A02732">
        <w:rPr>
          <w:rFonts w:ascii="Palatino Linotype" w:eastAsia="Palatino Linotype" w:hAnsi="Palatino Linotype" w:cs="Palatino Linotype"/>
          <w:color w:val="222222"/>
        </w:rPr>
        <w:t xml:space="preserve"> la </w:t>
      </w:r>
      <w:r>
        <w:rPr>
          <w:rFonts w:ascii="Palatino Linotype" w:eastAsia="Palatino Linotype" w:hAnsi="Palatino Linotype" w:cs="Palatino Linotype"/>
          <w:b/>
          <w:color w:val="222222"/>
          <w:highlight w:val="white"/>
        </w:rPr>
        <w:t>Recurrente</w:t>
      </w:r>
      <w:r>
        <w:rPr>
          <w:rFonts w:ascii="Palatino Linotype" w:eastAsia="Palatino Linotype" w:hAnsi="Palatino Linotype" w:cs="Palatino Linotype"/>
          <w:color w:val="222222"/>
          <w:highlight w:val="white"/>
        </w:rPr>
        <w:t xml:space="preserve"> para presentar el recurso de revisión, transcurrió del veinticinco de marzo al veintiuno de abril de dos mil veintidós, ejerciéndolo al cuarto día hábil,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w:t>
      </w:r>
    </w:p>
    <w:p w:rsidR="00285C00" w:rsidRPr="00A02732" w:rsidRDefault="00A02732">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color w:val="222222"/>
          <w:highlight w:val="white"/>
        </w:rPr>
        <w:t xml:space="preserve">En ese tenor, si el recurso de revisión que nos ocupa, se interpuso el día </w:t>
      </w:r>
      <w:r>
        <w:rPr>
          <w:rFonts w:ascii="Palatino Linotype" w:eastAsia="Palatino Linotype" w:hAnsi="Palatino Linotype" w:cs="Palatino Linotype"/>
          <w:b/>
          <w:color w:val="222222"/>
          <w:highlight w:val="white"/>
        </w:rPr>
        <w:t>treinta de marzo de dos mil veintidós</w:t>
      </w:r>
      <w:r>
        <w:rPr>
          <w:rFonts w:ascii="Palatino Linotype" w:eastAsia="Palatino Linotype" w:hAnsi="Palatino Linotype" w:cs="Palatino Linotype"/>
          <w:color w:val="222222"/>
          <w:highlight w:val="white"/>
        </w:rPr>
        <w:t>, éste se encuentra dentro de los márgenes temporales previstos en el artículo 128 de la Ley de Protección de Datos Personales en Posesión de Sujetos Obligados del Estado de México y Municipios y, por tanto, su interposición se considera oportuna.</w:t>
      </w:r>
    </w:p>
    <w:p w:rsidR="00285C00" w:rsidRPr="00A02732" w:rsidRDefault="00AD5FAD" w:rsidP="00A02732">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222222"/>
          <w:highlight w:val="white"/>
        </w:rPr>
        <w:t>Análisis de la causal de sobreseimiento.</w:t>
      </w:r>
      <w:r>
        <w:rPr>
          <w:rFonts w:ascii="Palatino Linotype" w:eastAsia="Palatino Linotype" w:hAnsi="Palatino Linotype" w:cs="Palatino Linotype"/>
        </w:rPr>
        <w:t xml:space="preserve"> E</w:t>
      </w:r>
      <w:r>
        <w:rPr>
          <w:rFonts w:ascii="Palatino Linotype" w:eastAsia="Palatino Linotype" w:hAnsi="Palatino Linotype" w:cs="Palatino Linotype"/>
          <w:color w:val="000000"/>
        </w:rPr>
        <w:t xml:space="preserve">l artículo 139, fracción I de la Ley de Protección de Datos Personales en Posesión de Sujetos Obligados del Estado de México y Municipios </w:t>
      </w:r>
      <w:r>
        <w:rPr>
          <w:rFonts w:ascii="Palatino Linotype" w:eastAsia="Palatino Linotype" w:hAnsi="Palatino Linotype" w:cs="Palatino Linotype"/>
        </w:rPr>
        <w:t>señala que el recurso de revisión será sobreseído cuando</w:t>
      </w:r>
      <w:r>
        <w:rPr>
          <w:rFonts w:ascii="Palatino Linotype" w:eastAsia="Palatino Linotype" w:hAnsi="Palatino Linotype" w:cs="Palatino Linotype"/>
          <w:color w:val="000000"/>
        </w:rPr>
        <w:t>: </w:t>
      </w:r>
    </w:p>
    <w:p w:rsidR="00285C00" w:rsidRDefault="00285C00">
      <w:pPr>
        <w:pBdr>
          <w:top w:val="nil"/>
          <w:left w:val="nil"/>
          <w:bottom w:val="nil"/>
          <w:right w:val="nil"/>
          <w:between w:val="nil"/>
        </w:pBdr>
        <w:ind w:right="51"/>
        <w:jc w:val="both"/>
        <w:rPr>
          <w:color w:val="000000"/>
        </w:rPr>
      </w:pPr>
    </w:p>
    <w:p w:rsidR="00285C00" w:rsidRDefault="00AD5FAD">
      <w:pPr>
        <w:pBdr>
          <w:top w:val="nil"/>
          <w:left w:val="nil"/>
          <w:bottom w:val="nil"/>
          <w:right w:val="nil"/>
          <w:between w:val="nil"/>
        </w:pBdr>
        <w:spacing w:line="276" w:lineRule="auto"/>
        <w:ind w:left="1134" w:right="51"/>
        <w:jc w:val="both"/>
        <w:rPr>
          <w:color w:val="000000"/>
        </w:rPr>
      </w:pPr>
      <w:r>
        <w:rPr>
          <w:rFonts w:ascii="Palatino Linotype" w:eastAsia="Palatino Linotype" w:hAnsi="Palatino Linotype" w:cs="Palatino Linotype"/>
          <w:b/>
          <w:i/>
          <w:color w:val="000000"/>
          <w:sz w:val="22"/>
          <w:szCs w:val="22"/>
        </w:rPr>
        <w:t xml:space="preserve">“Artículo 139. </w:t>
      </w:r>
      <w:r>
        <w:rPr>
          <w:rFonts w:ascii="Palatino Linotype" w:eastAsia="Palatino Linotype" w:hAnsi="Palatino Linotype" w:cs="Palatino Linotype"/>
          <w:i/>
          <w:color w:val="000000"/>
          <w:sz w:val="22"/>
          <w:szCs w:val="22"/>
        </w:rPr>
        <w:t>El recurso de revisión sólo podrá ser sobreseído cuando:</w:t>
      </w:r>
    </w:p>
    <w:p w:rsidR="00285C00" w:rsidRPr="00A02732" w:rsidRDefault="00AD5FAD" w:rsidP="00A02732">
      <w:pPr>
        <w:pStyle w:val="Prrafodelista"/>
        <w:numPr>
          <w:ilvl w:val="0"/>
          <w:numId w:val="3"/>
        </w:numPr>
        <w:pBdr>
          <w:top w:val="nil"/>
          <w:left w:val="nil"/>
          <w:bottom w:val="nil"/>
          <w:right w:val="nil"/>
          <w:between w:val="nil"/>
        </w:pBdr>
        <w:spacing w:line="276" w:lineRule="auto"/>
        <w:ind w:right="51" w:firstLine="196"/>
        <w:jc w:val="both"/>
        <w:rPr>
          <w:rFonts w:ascii="Palatino Linotype" w:eastAsia="Palatino Linotype" w:hAnsi="Palatino Linotype" w:cs="Palatino Linotype"/>
          <w:i/>
          <w:color w:val="000000"/>
        </w:rPr>
      </w:pPr>
      <w:r w:rsidRPr="00A02732">
        <w:rPr>
          <w:rFonts w:ascii="Palatino Linotype" w:eastAsia="Palatino Linotype" w:hAnsi="Palatino Linotype" w:cs="Palatino Linotype"/>
          <w:i/>
          <w:color w:val="000000"/>
        </w:rPr>
        <w:t>El recurrente se desista expresamente.”</w:t>
      </w:r>
    </w:p>
    <w:p w:rsidR="00285C00" w:rsidRDefault="00285C00">
      <w:pPr>
        <w:pBdr>
          <w:top w:val="nil"/>
          <w:left w:val="nil"/>
          <w:bottom w:val="nil"/>
          <w:right w:val="nil"/>
          <w:between w:val="nil"/>
        </w:pBdr>
        <w:spacing w:line="276" w:lineRule="auto"/>
        <w:ind w:right="51"/>
        <w:jc w:val="both"/>
        <w:rPr>
          <w:rFonts w:ascii="Palatino Linotype" w:eastAsia="Palatino Linotype" w:hAnsi="Palatino Linotype" w:cs="Palatino Linotype"/>
          <w:i/>
          <w:color w:val="000000"/>
          <w:sz w:val="22"/>
          <w:szCs w:val="22"/>
        </w:rPr>
      </w:pP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susceptible de análisis la actualización del supuesto jurídico previsto en la </w:t>
      </w:r>
      <w:r w:rsidRPr="00EB76BB">
        <w:rPr>
          <w:rFonts w:ascii="Palatino Linotype" w:eastAsia="Palatino Linotype" w:hAnsi="Palatino Linotype" w:cs="Palatino Linotype"/>
        </w:rPr>
        <w:t>fracción I</w:t>
      </w:r>
      <w:r w:rsidR="00EB76BB" w:rsidRPr="00EB76BB">
        <w:rPr>
          <w:rFonts w:ascii="Palatino Linotype" w:eastAsia="Palatino Linotype" w:hAnsi="Palatino Linotype" w:cs="Palatino Linotype"/>
        </w:rPr>
        <w:t>, del artículo 139</w:t>
      </w:r>
      <w:r w:rsidRPr="00EB76BB">
        <w:rPr>
          <w:rFonts w:ascii="Palatino Linotype" w:eastAsia="Palatino Linotype" w:hAnsi="Palatino Linotype" w:cs="Palatino Linotype"/>
        </w:rPr>
        <w:t xml:space="preserve">, de la Ley en cita, mismo que dispone que el Recurso de Revisión será sobreseído cuando </w:t>
      </w:r>
      <w:r w:rsidRPr="00EB76BB">
        <w:rPr>
          <w:rFonts w:ascii="Palatino Linotype" w:eastAsia="Palatino Linotype" w:hAnsi="Palatino Linotype" w:cs="Palatino Linotype"/>
          <w:b/>
        </w:rPr>
        <w:t>el Recurrente se desista expresamente</w:t>
      </w:r>
      <w:r w:rsidRPr="00EB76BB">
        <w:rPr>
          <w:rFonts w:ascii="Palatino Linotype" w:eastAsia="Palatino Linotype" w:hAnsi="Palatino Linotype" w:cs="Palatino Linotype"/>
        </w:rPr>
        <w:t xml:space="preserve">. Ello, toda vez que </w:t>
      </w:r>
      <w:r w:rsidR="006B15C0" w:rsidRPr="006B15C0">
        <w:rPr>
          <w:rFonts w:ascii="Palatino Linotype" w:eastAsia="Palatino Linotype" w:hAnsi="Palatino Linotype" w:cs="Palatino Linotype"/>
        </w:rPr>
        <w:t xml:space="preserve">la parte </w:t>
      </w:r>
      <w:r w:rsidR="006B15C0" w:rsidRPr="00EB76BB">
        <w:rPr>
          <w:rFonts w:ascii="Palatino Linotype" w:eastAsia="Palatino Linotype" w:hAnsi="Palatino Linotype" w:cs="Palatino Linotype"/>
          <w:b/>
        </w:rPr>
        <w:t>Recurrente</w:t>
      </w:r>
      <w:r w:rsidR="006B15C0" w:rsidRPr="00EB76BB">
        <w:rPr>
          <w:rFonts w:ascii="Palatino Linotype" w:eastAsia="Palatino Linotype" w:hAnsi="Palatino Linotype" w:cs="Palatino Linotype"/>
        </w:rPr>
        <w:t xml:space="preserve"> </w:t>
      </w:r>
      <w:r w:rsidRPr="00EB76BB">
        <w:rPr>
          <w:rFonts w:ascii="Palatino Linotype" w:eastAsia="Palatino Linotype" w:hAnsi="Palatino Linotype" w:cs="Palatino Linotype"/>
        </w:rPr>
        <w:t xml:space="preserve">en fecha </w:t>
      </w:r>
      <w:r w:rsidR="00EB76BB" w:rsidRPr="00EB76BB">
        <w:rPr>
          <w:rFonts w:ascii="Palatino Linotype" w:eastAsia="Palatino Linotype" w:hAnsi="Palatino Linotype" w:cs="Palatino Linotype"/>
        </w:rPr>
        <w:t>diez</w:t>
      </w:r>
      <w:r w:rsidRPr="00EB76BB">
        <w:rPr>
          <w:rFonts w:ascii="Palatino Linotype" w:eastAsia="Palatino Linotype" w:hAnsi="Palatino Linotype" w:cs="Palatino Linotype"/>
        </w:rPr>
        <w:t xml:space="preserve"> de </w:t>
      </w:r>
      <w:r w:rsidR="00EB76BB" w:rsidRPr="00EB76BB">
        <w:rPr>
          <w:rFonts w:ascii="Palatino Linotype" w:eastAsia="Palatino Linotype" w:hAnsi="Palatino Linotype" w:cs="Palatino Linotype"/>
        </w:rPr>
        <w:t>abril</w:t>
      </w:r>
      <w:r w:rsidRPr="00EB76BB">
        <w:rPr>
          <w:rFonts w:ascii="Palatino Linotype" w:eastAsia="Palatino Linotype" w:hAnsi="Palatino Linotype" w:cs="Palatino Linotype"/>
        </w:rPr>
        <w:t xml:space="preserve"> de dos mil veintidós, a través del </w:t>
      </w:r>
      <w:r w:rsidR="00EB76BB" w:rsidRPr="00EB76BB">
        <w:rPr>
          <w:rFonts w:ascii="Palatino Linotype" w:eastAsia="Palatino Linotype" w:hAnsi="Palatino Linotype" w:cs="Palatino Linotype"/>
        </w:rPr>
        <w:t>SARCOEM</w:t>
      </w:r>
      <w:r w:rsidRPr="00EB76BB">
        <w:rPr>
          <w:rFonts w:ascii="Palatino Linotype" w:eastAsia="Palatino Linotype" w:hAnsi="Palatino Linotype" w:cs="Palatino Linotype"/>
        </w:rPr>
        <w:t xml:space="preserve"> se desistió expresamente del presente</w:t>
      </w:r>
      <w:r>
        <w:rPr>
          <w:rFonts w:ascii="Palatino Linotype" w:eastAsia="Palatino Linotype" w:hAnsi="Palatino Linotype" w:cs="Palatino Linotype"/>
        </w:rPr>
        <w:t xml:space="preserve"> Recurso de Revisión.</w:t>
      </w:r>
    </w:p>
    <w:p w:rsidR="00285C00" w:rsidRDefault="00AD5FAD">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efecto, se aprecia que el Particular </w:t>
      </w:r>
      <w:r>
        <w:rPr>
          <w:rFonts w:ascii="Palatino Linotype" w:eastAsia="Palatino Linotype" w:hAnsi="Palatino Linotype" w:cs="Palatino Linotype"/>
          <w:b/>
        </w:rPr>
        <w:t>manifestó expresamente su voluntad de desistirse del Recurso de Revisión</w:t>
      </w:r>
      <w:r>
        <w:rPr>
          <w:rFonts w:ascii="Palatino Linotype" w:eastAsia="Palatino Linotype" w:hAnsi="Palatino Linotype" w:cs="Palatino Linotype"/>
        </w:rPr>
        <w:t xml:space="preserve"> al rubro anotado. </w:t>
      </w: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se estima que se actualiza el supuesto previsto en el </w:t>
      </w:r>
      <w:r w:rsidRPr="00EB76BB">
        <w:rPr>
          <w:rFonts w:ascii="Palatino Linotype" w:eastAsia="Palatino Linotype" w:hAnsi="Palatino Linotype" w:cs="Palatino Linotype"/>
        </w:rPr>
        <w:t xml:space="preserve">artículo </w:t>
      </w:r>
      <w:r w:rsidR="00EB76BB" w:rsidRPr="00EB76BB">
        <w:rPr>
          <w:rFonts w:ascii="Palatino Linotype" w:eastAsia="Palatino Linotype" w:hAnsi="Palatino Linotype" w:cs="Palatino Linotype"/>
        </w:rPr>
        <w:t>139</w:t>
      </w:r>
      <w:r w:rsidRPr="00EB76BB">
        <w:rPr>
          <w:rFonts w:ascii="Palatino Linotype" w:eastAsia="Palatino Linotype" w:hAnsi="Palatino Linotype" w:cs="Palatino Linotype"/>
        </w:rPr>
        <w:t xml:space="preserve"> fracción I, de la Ley de </w:t>
      </w:r>
      <w:r w:rsidR="00EB76BB" w:rsidRPr="00EB76BB">
        <w:rPr>
          <w:rFonts w:ascii="Palatino Linotype" w:eastAsia="Palatino Linotype" w:hAnsi="Palatino Linotype" w:cs="Palatino Linotype"/>
        </w:rPr>
        <w:t>Protección de Datos Personales en Posesión d</w:t>
      </w:r>
      <w:r w:rsidR="00EB76BB">
        <w:rPr>
          <w:rFonts w:ascii="Palatino Linotype" w:eastAsia="Palatino Linotype" w:hAnsi="Palatino Linotype" w:cs="Palatino Linotype"/>
        </w:rPr>
        <w:t>e Sujetos Obligados</w:t>
      </w:r>
      <w:r>
        <w:rPr>
          <w:rFonts w:ascii="Palatino Linotype" w:eastAsia="Palatino Linotype" w:hAnsi="Palatino Linotype" w:cs="Palatino Linotype"/>
        </w:rPr>
        <w:t xml:space="preserve"> del Estado de México y Municipios.</w:t>
      </w:r>
    </w:p>
    <w:p w:rsidR="00285C00" w:rsidRDefault="00AD5FAD">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Discernimiento de esta Ponencia que encuentra apoyo en la tesis aislada 1a. III/2013 (10a.), Décima Época, sustentada por la Primera Sala de la Suprema Corte de Justicia de la Nación, visible en la página 629, Tomo 1, Libro XVI, del Semanario Judicial de la Federación, del mes de enero de 2013, cuyo rubro y texto dispone:   </w:t>
      </w:r>
    </w:p>
    <w:p w:rsidR="00285C00" w:rsidRDefault="00AD5FAD" w:rsidP="00D812DB">
      <w:pPr>
        <w:pBdr>
          <w:top w:val="nil"/>
          <w:left w:val="nil"/>
          <w:bottom w:val="nil"/>
          <w:right w:val="nil"/>
          <w:between w:val="nil"/>
        </w:pBdr>
        <w:spacing w:before="240" w:after="240" w:line="276" w:lineRule="auto"/>
        <w:ind w:left="851" w:right="993"/>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DESISTIMIENTO EN EL JUICIO DE AMPARO Y EN EL RECURSO DE REVISIÓN. SUS EFECTOS</w:t>
      </w:r>
      <w:r>
        <w:rPr>
          <w:rFonts w:ascii="Palatino Linotype" w:eastAsia="Palatino Linotype" w:hAnsi="Palatino Linotype" w:cs="Palatino Linotype"/>
          <w:i/>
          <w:color w:val="000000"/>
          <w:sz w:val="22"/>
          <w:szCs w:val="22"/>
        </w:rPr>
        <w:t>.</w:t>
      </w:r>
    </w:p>
    <w:p w:rsidR="00285C00" w:rsidRDefault="00AD5FAD" w:rsidP="00D812DB">
      <w:pPr>
        <w:pBdr>
          <w:top w:val="nil"/>
          <w:left w:val="nil"/>
          <w:bottom w:val="nil"/>
          <w:right w:val="nil"/>
          <w:between w:val="nil"/>
        </w:pBdr>
        <w:spacing w:before="240" w:after="240" w:line="276" w:lineRule="auto"/>
        <w:ind w:left="851" w:right="993"/>
        <w:jc w:val="both"/>
        <w:rPr>
          <w:color w:val="000000"/>
        </w:rPr>
      </w:pPr>
      <w:r>
        <w:rPr>
          <w:rFonts w:ascii="Palatino Linotype" w:eastAsia="Palatino Linotype" w:hAnsi="Palatino Linotype" w:cs="Palatino Linotype"/>
          <w:i/>
          <w:color w:val="000000"/>
          <w:sz w:val="22"/>
          <w:szCs w:val="22"/>
        </w:rPr>
        <w:t xml:space="preserve">Si un quejoso puede desistirse de la acción constitucional, también tiene dicha facultad tratándose del recurso de revisión que haya intentado respecto de la sentencia recurrida. En ese sentido, cuando solamente se desiste del recurso de revisión debe dejarse firme la sentencia recurrida, y si lo hace simultáneamente respecto de la demanda de amparo y del señalado recurso, entonces debe atenderse al desistimiento de la acción de amparo por ser preferente y decretar el sobreseimiento en el juicio. Lo mismo sucede cuando el quejoso únicamente se </w:t>
      </w:r>
      <w:r>
        <w:rPr>
          <w:rFonts w:ascii="Palatino Linotype" w:eastAsia="Palatino Linotype" w:hAnsi="Palatino Linotype" w:cs="Palatino Linotype"/>
          <w:i/>
          <w:color w:val="000000"/>
          <w:sz w:val="22"/>
          <w:szCs w:val="22"/>
        </w:rPr>
        <w:lastRenderedPageBreak/>
        <w:t>desiste respecto de la demanda de amparo, aun cuando el recurso de revisión hubiera sido promovido por el tercero perjudicado, toda vez que dicho recurso queda sin materia al desaparecer el motivo que lo genera, a saber, la sentencia recurrida.</w:t>
      </w:r>
    </w:p>
    <w:p w:rsidR="00285C00" w:rsidRDefault="00AD5FAD">
      <w:pPr>
        <w:pBdr>
          <w:top w:val="nil"/>
          <w:left w:val="nil"/>
          <w:bottom w:val="nil"/>
          <w:right w:val="nil"/>
          <w:between w:val="nil"/>
        </w:pBdr>
        <w:spacing w:before="240" w:after="240" w:line="276" w:lineRule="auto"/>
        <w:ind w:left="851" w:right="993"/>
        <w:jc w:val="both"/>
        <w:rPr>
          <w:color w:val="000000"/>
        </w:rPr>
      </w:pPr>
      <w:r>
        <w:rPr>
          <w:rFonts w:ascii="Palatino Linotype" w:eastAsia="Palatino Linotype" w:hAnsi="Palatino Linotype" w:cs="Palatino Linotype"/>
          <w:i/>
          <w:color w:val="000000"/>
          <w:sz w:val="22"/>
          <w:szCs w:val="22"/>
        </w:rPr>
        <w:t>Amparo en revisión 388/2012. María Irene Fernández Molina. 10 de octubre de 2012. Cinco votos. Ponente: José Ramón Cossío Díaz. Secretaria: Dolores Rueda Aguilar.”</w:t>
      </w:r>
    </w:p>
    <w:p w:rsidR="00285C00" w:rsidRDefault="00AD5FAD">
      <w:pPr>
        <w:pBdr>
          <w:top w:val="nil"/>
          <w:left w:val="nil"/>
          <w:bottom w:val="nil"/>
          <w:right w:val="nil"/>
          <w:between w:val="nil"/>
        </w:pBdr>
        <w:spacing w:before="240" w:after="240" w:line="360" w:lineRule="auto"/>
        <w:ind w:right="49"/>
        <w:jc w:val="both"/>
        <w:rPr>
          <w:color w:val="000000"/>
        </w:rPr>
      </w:pPr>
      <w:bookmarkStart w:id="1" w:name="_heading=h.gjdgxs" w:colFirst="0" w:colLast="0"/>
      <w:bookmarkEnd w:id="1"/>
      <w:r>
        <w:rPr>
          <w:rFonts w:ascii="Palatino Linotype" w:eastAsia="Palatino Linotype" w:hAnsi="Palatino Linotype" w:cs="Palatino Linotype"/>
          <w:color w:val="000000"/>
        </w:rPr>
        <w:t xml:space="preserve">De esta forma, y atendiendo a que se ha declarado el sobreseimiento del presente medio de impugnación, este Órgano Garante se abstiene de analizar el  motivo de inconformidad que expresó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en atención a que el sobreseimiento impide el análisis de los motivos de inconformidad hechos valer en el recurso de revisión, discernimiento que encuentra apoyo en la Tesis de Jurisprudencia publicada en el Apéndice de 1995, Tomo III, Parte TCC, Octava Época, Instancia Tribunales Colegiados de Circuito, Materia Administrativa, página 566, registrada con el rubro: </w:t>
      </w: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SOBRESEIMIENTO DEL JUICIO CONTENCIOSO-ADMINISTRATIVO, NO PERMITE ENTRAR AL ESTUDIO DE LAS CUESTIONES DE FONDO</w:t>
      </w:r>
      <w:r>
        <w:rPr>
          <w:rFonts w:ascii="Palatino Linotype" w:eastAsia="Palatino Linotype" w:hAnsi="Palatino Linotype" w:cs="Palatino Linotype"/>
          <w:i/>
          <w:color w:val="000000"/>
          <w:sz w:val="22"/>
          <w:szCs w:val="22"/>
        </w:rPr>
        <w:t>.</w:t>
      </w:r>
    </w:p>
    <w:p w:rsidR="00285C00" w:rsidRDefault="00285C00">
      <w:pPr>
        <w:spacing w:line="276" w:lineRule="auto"/>
        <w:ind w:right="851"/>
      </w:pP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No causa agravio la sentencia que no se ocupa de los conceptos de anulación tendientes a demostrar las causales de nulidad de que adolece la resolución impugnada, que constituye el problema de fondo, si se declara el sobreseimiento del juicio contencioso-administrativo.</w:t>
      </w:r>
    </w:p>
    <w:p w:rsidR="00285C00" w:rsidRDefault="00285C00">
      <w:pPr>
        <w:spacing w:line="276" w:lineRule="auto"/>
        <w:ind w:right="851"/>
      </w:pP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SEGUNDO TRIBUNAL COLEGIADO DEL SEXTO CIRCUITO.</w:t>
      </w:r>
    </w:p>
    <w:p w:rsidR="00285C00" w:rsidRDefault="00285C00">
      <w:pPr>
        <w:spacing w:line="276" w:lineRule="auto"/>
        <w:ind w:right="851"/>
      </w:pP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Octava Época:</w:t>
      </w: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Amparo directo 412/90. Emilio Juárez Becerra. 23 de octubre de 1990. Unanimidad de votos.</w:t>
      </w: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lastRenderedPageBreak/>
        <w:t>Amparo directo 359/92. Grupo Naviero de Tuxpan, S. A. de C. V. 14 de octubre de 1992. Unanimidad de votos.</w:t>
      </w: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Amparo directo 154/93. Antonio Lima Flores. 6 de mayo de 1993. Unanimidad de votos.</w:t>
      </w: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 xml:space="preserve">Amparo directo 189/93. José Pedro </w:t>
      </w:r>
      <w:proofErr w:type="spellStart"/>
      <w:r>
        <w:rPr>
          <w:rFonts w:ascii="Palatino Linotype" w:eastAsia="Palatino Linotype" w:hAnsi="Palatino Linotype" w:cs="Palatino Linotype"/>
          <w:i/>
          <w:color w:val="000000"/>
          <w:sz w:val="22"/>
          <w:szCs w:val="22"/>
        </w:rPr>
        <w:t>Temolzin</w:t>
      </w:r>
      <w:proofErr w:type="spellEnd"/>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Brais</w:t>
      </w:r>
      <w:proofErr w:type="spellEnd"/>
      <w:r>
        <w:rPr>
          <w:rFonts w:ascii="Palatino Linotype" w:eastAsia="Palatino Linotype" w:hAnsi="Palatino Linotype" w:cs="Palatino Linotype"/>
          <w:i/>
          <w:color w:val="000000"/>
          <w:sz w:val="22"/>
          <w:szCs w:val="22"/>
        </w:rPr>
        <w:t>. 6 de mayo de 1993. Unanimidad de votos.</w:t>
      </w: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Amparo directo 349/93. José Jerónimo Cerezo Vélez. 29 de septiembre de 1993. Unanimidad de votos.</w:t>
      </w:r>
    </w:p>
    <w:p w:rsidR="00285C00" w:rsidRDefault="00285C00">
      <w:pPr>
        <w:spacing w:line="276" w:lineRule="auto"/>
        <w:ind w:right="851"/>
      </w:pP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NOTA: </w:t>
      </w:r>
    </w:p>
    <w:p w:rsidR="00285C00" w:rsidRDefault="00AD5FAD">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Tesis VI.2o.J/280, Gaceta número 77, pág. 77; véase ejecutoria en el Semanario Judicial de la Federación, tomo XIII-Mayo, pág. 348.”</w:t>
      </w: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Conforme a lo citado se pu</w:t>
      </w:r>
      <w:r w:rsidR="006B15C0">
        <w:rPr>
          <w:rFonts w:ascii="Palatino Linotype" w:eastAsia="Palatino Linotype" w:hAnsi="Palatino Linotype" w:cs="Palatino Linotype"/>
        </w:rPr>
        <w:t>e</w:t>
      </w:r>
      <w:r>
        <w:rPr>
          <w:rFonts w:ascii="Palatino Linotype" w:eastAsia="Palatino Linotype" w:hAnsi="Palatino Linotype" w:cs="Palatino Linotype"/>
        </w:rPr>
        <w:t xml:space="preserve">de colegir que cuando </w:t>
      </w:r>
      <w:r w:rsidR="006B15C0" w:rsidRPr="006B15C0">
        <w:rPr>
          <w:rFonts w:ascii="Palatino Linotype" w:eastAsia="Palatino Linotype" w:hAnsi="Palatino Linotype" w:cs="Palatino Linotype"/>
        </w:rPr>
        <w:t>el Recurrente</w:t>
      </w:r>
      <w:r w:rsidR="006B15C0" w:rsidRPr="006B15C0">
        <w:rPr>
          <w:rFonts w:ascii="Palatino Linotype" w:eastAsia="Palatino Linotype" w:hAnsi="Palatino Linotype" w:cs="Palatino Linotype"/>
          <w:b/>
        </w:rPr>
        <w:t xml:space="preserve"> </w:t>
      </w:r>
      <w:r>
        <w:rPr>
          <w:rFonts w:ascii="Palatino Linotype" w:eastAsia="Palatino Linotype" w:hAnsi="Palatino Linotype" w:cs="Palatino Linotype"/>
        </w:rPr>
        <w:t>presente un escrito de desistimiento, le hace saber a este Instituto la intención de cesar los efectos jurídicos generados con los Recursos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toda vez que este Instituto constató que </w:t>
      </w:r>
      <w:r w:rsidR="006B15C0">
        <w:rPr>
          <w:rFonts w:ascii="Palatino Linotype" w:eastAsia="Palatino Linotype" w:hAnsi="Palatino Linotype" w:cs="Palatino Linotype"/>
          <w:color w:val="000000"/>
        </w:rPr>
        <w:t xml:space="preserve">la </w:t>
      </w:r>
      <w:r w:rsidR="006B15C0">
        <w:rPr>
          <w:rFonts w:ascii="Palatino Linotype" w:eastAsia="Palatino Linotype" w:hAnsi="Palatino Linotype" w:cs="Palatino Linotype"/>
          <w:b/>
          <w:color w:val="000000"/>
        </w:rPr>
        <w:t>Recurrente</w:t>
      </w:r>
      <w:r w:rsidR="006B15C0">
        <w:rPr>
          <w:rFonts w:ascii="Palatino Linotype" w:eastAsia="Palatino Linotype" w:hAnsi="Palatino Linotype" w:cs="Palatino Linotype"/>
        </w:rPr>
        <w:t xml:space="preserve"> </w:t>
      </w:r>
      <w:r>
        <w:rPr>
          <w:rFonts w:ascii="Palatino Linotype" w:eastAsia="Palatino Linotype" w:hAnsi="Palatino Linotype" w:cs="Palatino Linotype"/>
        </w:rPr>
        <w:t xml:space="preserve">se desistió por la vía idónea para realizar dicha acción, a saber, por el </w:t>
      </w:r>
      <w:r w:rsidR="00EB76BB">
        <w:rPr>
          <w:rFonts w:ascii="Palatino Linotype" w:eastAsia="Palatino Linotype" w:hAnsi="Palatino Linotype" w:cs="Palatino Linotype"/>
        </w:rPr>
        <w:t>SARCOEM</w:t>
      </w:r>
      <w:r>
        <w:rPr>
          <w:rFonts w:ascii="Palatino Linotype" w:eastAsia="Palatino Linotype" w:hAnsi="Palatino Linotype" w:cs="Palatino Linotype"/>
        </w:rPr>
        <w:t xml:space="preserve">, resulta procedente </w:t>
      </w:r>
      <w:r>
        <w:rPr>
          <w:rFonts w:ascii="Palatino Linotype" w:eastAsia="Palatino Linotype" w:hAnsi="Palatino Linotype" w:cs="Palatino Linotype"/>
          <w:b/>
        </w:rPr>
        <w:t xml:space="preserve">SOBRESEER </w:t>
      </w:r>
      <w:r>
        <w:rPr>
          <w:rFonts w:ascii="Palatino Linotype" w:eastAsia="Palatino Linotype" w:hAnsi="Palatino Linotype" w:cs="Palatino Linotype"/>
        </w:rPr>
        <w:t>el Recurso de Revisión con númer</w:t>
      </w:r>
      <w:r w:rsidRPr="00EB76BB">
        <w:rPr>
          <w:rFonts w:ascii="Palatino Linotype" w:eastAsia="Palatino Linotype" w:hAnsi="Palatino Linotype" w:cs="Palatino Linotype"/>
        </w:rPr>
        <w:t xml:space="preserve">o </w:t>
      </w:r>
      <w:r w:rsidR="00EB76BB">
        <w:rPr>
          <w:rFonts w:ascii="Palatino Linotype" w:eastAsia="Palatino Linotype" w:hAnsi="Palatino Linotype" w:cs="Palatino Linotype"/>
          <w:b/>
        </w:rPr>
        <w:t>05249</w:t>
      </w:r>
      <w:r w:rsidR="00EB76BB" w:rsidRPr="00EB76BB">
        <w:rPr>
          <w:rFonts w:ascii="Palatino Linotype" w:eastAsia="Palatino Linotype" w:hAnsi="Palatino Linotype" w:cs="Palatino Linotype"/>
          <w:b/>
        </w:rPr>
        <w:t>/INFOEM/AD/RR/2022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al actualizarse el supuesto previsto en el artículo </w:t>
      </w:r>
      <w:r w:rsidR="00EB76BB">
        <w:rPr>
          <w:rFonts w:ascii="Palatino Linotype" w:eastAsia="Palatino Linotype" w:hAnsi="Palatino Linotype" w:cs="Palatino Linotype"/>
        </w:rPr>
        <w:t>139</w:t>
      </w:r>
      <w:r w:rsidRPr="006B15C0">
        <w:rPr>
          <w:rFonts w:ascii="Palatino Linotype" w:eastAsia="Palatino Linotype" w:hAnsi="Palatino Linotype" w:cs="Palatino Linotype"/>
        </w:rPr>
        <w:t xml:space="preserve"> fracción</w:t>
      </w:r>
      <w:r w:rsidRPr="00EB76BB">
        <w:rPr>
          <w:rFonts w:ascii="Palatino Linotype" w:eastAsia="Palatino Linotype" w:hAnsi="Palatino Linotype" w:cs="Palatino Linotype"/>
        </w:rPr>
        <w:t xml:space="preserve"> I, de </w:t>
      </w:r>
      <w:r w:rsidR="00EB76BB" w:rsidRPr="00EB76BB">
        <w:rPr>
          <w:rFonts w:ascii="Palatino Linotype" w:eastAsia="Palatino Linotype" w:hAnsi="Palatino Linotype" w:cs="Palatino Linotype"/>
        </w:rPr>
        <w:t>la</w:t>
      </w:r>
      <w:r w:rsidR="00EB76BB">
        <w:rPr>
          <w:rFonts w:ascii="Palatino Linotype" w:eastAsia="Palatino Linotype" w:hAnsi="Palatino Linotype" w:cs="Palatino Linotype"/>
        </w:rPr>
        <w:t xml:space="preserve"> </w:t>
      </w:r>
      <w:r w:rsidR="00EB76BB" w:rsidRPr="00EB76BB">
        <w:rPr>
          <w:rFonts w:ascii="Palatino Linotype" w:eastAsia="Palatino Linotype" w:hAnsi="Palatino Linotype" w:cs="Palatino Linotype"/>
        </w:rPr>
        <w:t>Ley de Protección de Datos Personales en Posesión de Sujetos Obligados del Estado de México y Municipios</w:t>
      </w:r>
      <w:r>
        <w:rPr>
          <w:rFonts w:ascii="Palatino Linotype" w:eastAsia="Palatino Linotype" w:hAnsi="Palatino Linotype" w:cs="Palatino Linotype"/>
        </w:rPr>
        <w:t>, en relación con el 186, fracción I de ese ordenamiento legal.</w:t>
      </w:r>
    </w:p>
    <w:p w:rsidR="00285C00" w:rsidRDefault="00AD5FAD">
      <w:pPr>
        <w:pBdr>
          <w:top w:val="nil"/>
          <w:left w:val="nil"/>
          <w:bottom w:val="nil"/>
          <w:right w:val="nil"/>
          <w:between w:val="nil"/>
        </w:pBdr>
        <w:spacing w:before="280" w:after="280" w:line="360" w:lineRule="auto"/>
        <w:ind w:right="49"/>
        <w:jc w:val="both"/>
        <w:rPr>
          <w:color w:val="000000"/>
          <w:highlight w:val="yellow"/>
        </w:rPr>
      </w:pPr>
      <w:r>
        <w:rPr>
          <w:rFonts w:ascii="Palatino Linotype" w:eastAsia="Palatino Linotype" w:hAnsi="Palatino Linotype" w:cs="Palatino Linotype"/>
          <w:color w:val="000000"/>
        </w:rPr>
        <w:lastRenderedPageBreak/>
        <w:t xml:space="preserve">Así, con fundamento en lo prescrito en los artículos 5 </w:t>
      </w:r>
      <w:r>
        <w:rPr>
          <w:rFonts w:ascii="Palatino Linotype" w:eastAsia="Palatino Linotype" w:hAnsi="Palatino Linotype" w:cs="Palatino Linotype"/>
          <w:color w:val="000000"/>
          <w:highlight w:val="white"/>
        </w:rPr>
        <w:t xml:space="preserve">párrafos </w:t>
      </w:r>
      <w:r>
        <w:rPr>
          <w:rFonts w:ascii="Palatino Linotype" w:eastAsia="Palatino Linotype" w:hAnsi="Palatino Linotype" w:cs="Palatino Linotype"/>
          <w:color w:val="000000"/>
        </w:rPr>
        <w:t>trigésimo, trigésimo primero y trigésimo segundo de la Constitución Política del Estado Libre y Soberano de México; 2, fracción II; 29, 36 fracciones I y II; 176, 178, 179, 181 y 185 d</w:t>
      </w:r>
      <w:r w:rsidRPr="00EB76BB">
        <w:rPr>
          <w:rFonts w:ascii="Palatino Linotype" w:eastAsia="Palatino Linotype" w:hAnsi="Palatino Linotype" w:cs="Palatino Linotype"/>
          <w:color w:val="000000"/>
        </w:rPr>
        <w:t xml:space="preserve">e la Ley de Transparencia y Acceso a la Información Pública del Estado de México y Municipios, </w:t>
      </w:r>
      <w:r w:rsidR="00EB76BB">
        <w:rPr>
          <w:rFonts w:ascii="Palatino Linotype" w:eastAsia="Palatino Linotype" w:hAnsi="Palatino Linotype" w:cs="Palatino Linotype"/>
          <w:color w:val="000000"/>
        </w:rPr>
        <w:t xml:space="preserve">de aplicación supletoria, y 137 fracción I de la </w:t>
      </w:r>
      <w:r w:rsidR="00EB76BB" w:rsidRPr="00EB76BB">
        <w:rPr>
          <w:rFonts w:ascii="Palatino Linotype" w:eastAsia="Palatino Linotype" w:hAnsi="Palatino Linotype" w:cs="Palatino Linotype"/>
        </w:rPr>
        <w:t>Ley de Protección de Datos Personales en Posesión d</w:t>
      </w:r>
      <w:r w:rsidR="00EB76BB">
        <w:rPr>
          <w:rFonts w:ascii="Palatino Linotype" w:eastAsia="Palatino Linotype" w:hAnsi="Palatino Linotype" w:cs="Palatino Linotype"/>
        </w:rPr>
        <w:t>e Sujetos Obligados del Estado de México y Municipios</w:t>
      </w:r>
      <w:r w:rsidR="00EB76BB" w:rsidRPr="00EB76BB">
        <w:rPr>
          <w:rFonts w:ascii="Palatino Linotype" w:eastAsia="Palatino Linotype" w:hAnsi="Palatino Linotype" w:cs="Palatino Linotype"/>
          <w:color w:val="000000"/>
        </w:rPr>
        <w:t xml:space="preserve"> </w:t>
      </w:r>
      <w:r w:rsidRPr="00EB76BB">
        <w:rPr>
          <w:rFonts w:ascii="Palatino Linotype" w:eastAsia="Palatino Linotype" w:hAnsi="Palatino Linotype" w:cs="Palatino Linotype"/>
          <w:color w:val="000000"/>
        </w:rPr>
        <w:t>este Pleno:</w:t>
      </w:r>
    </w:p>
    <w:p w:rsidR="00285C00" w:rsidRDefault="00AD5FAD">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color w:val="222222"/>
          <w:highlight w:val="white"/>
        </w:rPr>
        <w:t xml:space="preserve">III. </w:t>
      </w:r>
      <w:r>
        <w:rPr>
          <w:rFonts w:ascii="Palatino Linotype" w:eastAsia="Palatino Linotype" w:hAnsi="Palatino Linotype" w:cs="Palatino Linotype"/>
          <w:b/>
        </w:rPr>
        <w:t>R</w:t>
      </w:r>
      <w:r w:rsidR="00D552A5">
        <w:rPr>
          <w:rFonts w:ascii="Palatino Linotype" w:eastAsia="Palatino Linotype" w:hAnsi="Palatino Linotype" w:cs="Palatino Linotype"/>
          <w:b/>
        </w:rPr>
        <w:t xml:space="preserve"> </w:t>
      </w:r>
      <w:r>
        <w:rPr>
          <w:rFonts w:ascii="Palatino Linotype" w:eastAsia="Palatino Linotype" w:hAnsi="Palatino Linotype" w:cs="Palatino Linotype"/>
          <w:b/>
        </w:rPr>
        <w:t>E</w:t>
      </w:r>
      <w:r w:rsidR="00D552A5">
        <w:rPr>
          <w:rFonts w:ascii="Palatino Linotype" w:eastAsia="Palatino Linotype" w:hAnsi="Palatino Linotype" w:cs="Palatino Linotype"/>
          <w:b/>
        </w:rPr>
        <w:t xml:space="preserve"> </w:t>
      </w:r>
      <w:r>
        <w:rPr>
          <w:rFonts w:ascii="Palatino Linotype" w:eastAsia="Palatino Linotype" w:hAnsi="Palatino Linotype" w:cs="Palatino Linotype"/>
          <w:b/>
        </w:rPr>
        <w:t>S</w:t>
      </w:r>
      <w:r w:rsidR="00D552A5">
        <w:rPr>
          <w:rFonts w:ascii="Palatino Linotype" w:eastAsia="Palatino Linotype" w:hAnsi="Palatino Linotype" w:cs="Palatino Linotype"/>
          <w:b/>
        </w:rPr>
        <w:t xml:space="preserve"> </w:t>
      </w:r>
      <w:r>
        <w:rPr>
          <w:rFonts w:ascii="Palatino Linotype" w:eastAsia="Palatino Linotype" w:hAnsi="Palatino Linotype" w:cs="Palatino Linotype"/>
          <w:b/>
        </w:rPr>
        <w:t>U</w:t>
      </w:r>
      <w:r w:rsidR="00D552A5">
        <w:rPr>
          <w:rFonts w:ascii="Palatino Linotype" w:eastAsia="Palatino Linotype" w:hAnsi="Palatino Linotype" w:cs="Palatino Linotype"/>
          <w:b/>
        </w:rPr>
        <w:t xml:space="preserve"> </w:t>
      </w:r>
      <w:r>
        <w:rPr>
          <w:rFonts w:ascii="Palatino Linotype" w:eastAsia="Palatino Linotype" w:hAnsi="Palatino Linotype" w:cs="Palatino Linotype"/>
          <w:b/>
        </w:rPr>
        <w:t>E</w:t>
      </w:r>
      <w:r w:rsidR="00D552A5">
        <w:rPr>
          <w:rFonts w:ascii="Palatino Linotype" w:eastAsia="Palatino Linotype" w:hAnsi="Palatino Linotype" w:cs="Palatino Linotype"/>
          <w:b/>
        </w:rPr>
        <w:t xml:space="preserve"> </w:t>
      </w:r>
      <w:r>
        <w:rPr>
          <w:rFonts w:ascii="Palatino Linotype" w:eastAsia="Palatino Linotype" w:hAnsi="Palatino Linotype" w:cs="Palatino Linotype"/>
          <w:b/>
        </w:rPr>
        <w:t>L</w:t>
      </w:r>
      <w:r w:rsidR="00D552A5">
        <w:rPr>
          <w:rFonts w:ascii="Palatino Linotype" w:eastAsia="Palatino Linotype" w:hAnsi="Palatino Linotype" w:cs="Palatino Linotype"/>
          <w:b/>
        </w:rPr>
        <w:t xml:space="preserve"> </w:t>
      </w:r>
      <w:r>
        <w:rPr>
          <w:rFonts w:ascii="Palatino Linotype" w:eastAsia="Palatino Linotype" w:hAnsi="Palatino Linotype" w:cs="Palatino Linotype"/>
          <w:b/>
        </w:rPr>
        <w:t>V</w:t>
      </w:r>
      <w:r w:rsidR="00D552A5">
        <w:rPr>
          <w:rFonts w:ascii="Palatino Linotype" w:eastAsia="Palatino Linotype" w:hAnsi="Palatino Linotype" w:cs="Palatino Linotype"/>
          <w:b/>
        </w:rPr>
        <w:t xml:space="preserve"> </w:t>
      </w:r>
      <w:r>
        <w:rPr>
          <w:rFonts w:ascii="Palatino Linotype" w:eastAsia="Palatino Linotype" w:hAnsi="Palatino Linotype" w:cs="Palatino Linotype"/>
          <w:b/>
        </w:rPr>
        <w:t>E</w:t>
      </w:r>
    </w:p>
    <w:p w:rsidR="00285C00" w:rsidRDefault="00AD5FAD">
      <w:pPr>
        <w:spacing w:before="240" w:after="240" w:line="360" w:lineRule="auto"/>
        <w:jc w:val="both"/>
        <w:rPr>
          <w:rFonts w:ascii="Palatino Linotype" w:eastAsia="Palatino Linotype" w:hAnsi="Palatino Linotype" w:cs="Palatino Linotype"/>
          <w:shd w:val="clear" w:color="auto" w:fill="FF9900"/>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SOBRESEE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rPr>
        <w:t>05249</w:t>
      </w:r>
      <w:r w:rsidRPr="00EB76BB">
        <w:rPr>
          <w:rFonts w:ascii="Palatino Linotype" w:eastAsia="Palatino Linotype" w:hAnsi="Palatino Linotype" w:cs="Palatino Linotype"/>
          <w:b/>
        </w:rPr>
        <w:t>/INFOEM</w:t>
      </w:r>
      <w:r w:rsidR="00EB76BB" w:rsidRPr="00EB76BB">
        <w:rPr>
          <w:rFonts w:ascii="Palatino Linotype" w:eastAsia="Palatino Linotype" w:hAnsi="Palatino Linotype" w:cs="Palatino Linotype"/>
          <w:b/>
        </w:rPr>
        <w:t>/AD</w:t>
      </w:r>
      <w:r w:rsidRPr="00EB76BB">
        <w:rPr>
          <w:rFonts w:ascii="Palatino Linotype" w:eastAsia="Palatino Linotype" w:hAnsi="Palatino Linotype" w:cs="Palatino Linotype"/>
          <w:b/>
        </w:rPr>
        <w:t>/RR/2022</w:t>
      </w:r>
      <w:r>
        <w:rPr>
          <w:rFonts w:ascii="Palatino Linotype" w:eastAsia="Palatino Linotype" w:hAnsi="Palatino Linotype" w:cs="Palatino Linotype"/>
        </w:rPr>
        <w:t xml:space="preserve">, </w:t>
      </w:r>
      <w:r w:rsidR="00D552A5">
        <w:rPr>
          <w:rFonts w:ascii="Palatino Linotype" w:eastAsia="Palatino Linotype" w:hAnsi="Palatino Linotype" w:cs="Palatino Linotype"/>
        </w:rPr>
        <w:t xml:space="preserve">en términos de la fracción I del artículo 139 de la </w:t>
      </w:r>
      <w:r w:rsidR="00D552A5" w:rsidRPr="00EB76BB">
        <w:rPr>
          <w:rFonts w:ascii="Palatino Linotype" w:eastAsia="Palatino Linotype" w:hAnsi="Palatino Linotype" w:cs="Palatino Linotype"/>
        </w:rPr>
        <w:t>Ley de Protección de Datos Personales en Posesión d</w:t>
      </w:r>
      <w:r w:rsidR="00D552A5">
        <w:rPr>
          <w:rFonts w:ascii="Palatino Linotype" w:eastAsia="Palatino Linotype" w:hAnsi="Palatino Linotype" w:cs="Palatino Linotype"/>
        </w:rPr>
        <w:t xml:space="preserve">e Sujetos Obligados del Estado de México y Municipios, </w:t>
      </w:r>
      <w:r>
        <w:rPr>
          <w:rFonts w:ascii="Palatino Linotype" w:eastAsia="Palatino Linotype" w:hAnsi="Palatino Linotype" w:cs="Palatino Linotype"/>
        </w:rPr>
        <w:t xml:space="preserve">por haberse desistido expresamente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términos del </w:t>
      </w:r>
      <w:r>
        <w:rPr>
          <w:rFonts w:ascii="Palatino Linotype" w:eastAsia="Palatino Linotype" w:hAnsi="Palatino Linotype" w:cs="Palatino Linotype"/>
          <w:b/>
        </w:rPr>
        <w:t xml:space="preserve">Considerando </w:t>
      </w:r>
      <w:r w:rsidR="00D552A5">
        <w:rPr>
          <w:rFonts w:ascii="Palatino Linotype" w:eastAsia="Palatino Linotype" w:hAnsi="Palatino Linotype" w:cs="Palatino Linotype"/>
          <w:b/>
        </w:rPr>
        <w:t xml:space="preserve">Tercero </w:t>
      </w:r>
      <w:r>
        <w:rPr>
          <w:rFonts w:ascii="Palatino Linotype" w:eastAsia="Palatino Linotype" w:hAnsi="Palatino Linotype" w:cs="Palatino Linotype"/>
        </w:rPr>
        <w:t xml:space="preserve"> de la presente resolución.</w:t>
      </w: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vía </w:t>
      </w:r>
      <w:r w:rsidR="00EB76BB" w:rsidRPr="00EB76BB">
        <w:rPr>
          <w:rFonts w:ascii="Palatino Linotype" w:eastAsia="Palatino Linotype" w:hAnsi="Palatino Linotype" w:cs="Palatino Linotype"/>
          <w:b/>
        </w:rPr>
        <w:t>SARCOEM</w:t>
      </w:r>
      <w:r>
        <w:rPr>
          <w:rFonts w:ascii="Palatino Linotype" w:eastAsia="Palatino Linotype" w:hAnsi="Palatino Linotype" w:cs="Palatino Linotype"/>
          <w:b/>
        </w:rPr>
        <w:t>,</w:t>
      </w:r>
      <w:r>
        <w:rPr>
          <w:rFonts w:ascii="Palatino Linotype" w:eastAsia="Palatino Linotype" w:hAnsi="Palatino Linotype" w:cs="Palatino Linotype"/>
        </w:rPr>
        <w:t xml:space="preserve"> 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su conocimiento.</w:t>
      </w:r>
    </w:p>
    <w:p w:rsidR="00285C00" w:rsidRDefault="00AD5FA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rPr>
        <w:t>Notifíq</w:t>
      </w:r>
      <w:r>
        <w:rPr>
          <w:rFonts w:ascii="Palatino Linotype" w:eastAsia="Palatino Linotype" w:hAnsi="Palatino Linotype" w:cs="Palatino Linotype"/>
          <w:color w:val="222222"/>
        </w:rPr>
        <w:t xml:space="preserve">uese </w:t>
      </w:r>
      <w:r w:rsidR="00EB76BB">
        <w:rPr>
          <w:rFonts w:ascii="Palatino Linotype" w:eastAsia="Palatino Linotype" w:hAnsi="Palatino Linotype" w:cs="Palatino Linotype"/>
          <w:color w:val="222222"/>
        </w:rPr>
        <w:t xml:space="preserve">vía </w:t>
      </w:r>
      <w:r w:rsidR="00EB76BB" w:rsidRPr="00EB76BB">
        <w:rPr>
          <w:rFonts w:ascii="Palatino Linotype" w:eastAsia="Palatino Linotype" w:hAnsi="Palatino Linotype" w:cs="Palatino Linotype"/>
          <w:b/>
          <w:color w:val="222222"/>
        </w:rPr>
        <w:t>SARCOEM</w:t>
      </w:r>
      <w:r>
        <w:rPr>
          <w:rFonts w:ascii="Palatino Linotype" w:eastAsia="Palatino Linotype" w:hAnsi="Palatino Linotype" w:cs="Palatino Linotype"/>
        </w:rPr>
        <w:t xml:space="preserve"> a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la presente resolución, así como, que de conformidad con l</w:t>
      </w:r>
      <w:r w:rsidR="00D552A5">
        <w:rPr>
          <w:rFonts w:ascii="Palatino Linotype" w:eastAsia="Palatino Linotype" w:hAnsi="Palatino Linotype" w:cs="Palatino Linotype"/>
        </w:rPr>
        <w:t>o establecido en el artículo 142</w:t>
      </w:r>
      <w:r>
        <w:rPr>
          <w:rFonts w:ascii="Palatino Linotype" w:eastAsia="Palatino Linotype" w:hAnsi="Palatino Linotype" w:cs="Palatino Linotype"/>
        </w:rPr>
        <w:t xml:space="preserve"> de la Ley de Protección de Datos Personales en Posesión de Sujetos Obligados del Estado de México y Municipios, podrá impugnarla vía Juicio de Amparo en los términos de las leyes aplicables.</w:t>
      </w:r>
    </w:p>
    <w:p w:rsidR="00285C00" w:rsidRDefault="00AD5FAD">
      <w:pPr>
        <w:spacing w:before="240" w:after="240" w:line="360" w:lineRule="auto"/>
        <w:jc w:val="both"/>
        <w:rPr>
          <w:rFonts w:ascii="Palatino Linotype" w:eastAsia="Palatino Linotype" w:hAnsi="Palatino Linotype" w:cs="Palatino Linotype"/>
        </w:rPr>
        <w:sectPr w:rsidR="00285C00">
          <w:headerReference w:type="default" r:id="rId11"/>
          <w:footerReference w:type="default" r:id="rId12"/>
          <w:headerReference w:type="first" r:id="rId13"/>
          <w:footerReference w:type="first" r:id="rId14"/>
          <w:pgSz w:w="12240" w:h="15840"/>
          <w:pgMar w:top="1417" w:right="1608" w:bottom="1417" w:left="1701" w:header="709" w:footer="709"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MUNICIPIOS, CONFORMADO POR LOS COMISIONADOS JOSÉ MARTÍNEZ VILCHIS, MARÍA DEL ROSARIO MEJÍA AYALA, SHARON CRISTINA MORALES MARTÍNEZ; LUIS GUSTAVO PARRA NORIEGA Y GUADALUPE RAMÍREZ PEÑA; EN LA VIGÉSIMA TERCERA SESIÓN ORDINARIA CELEBRADA EL VEINTIUNO DE JUNIO DEL DOS MIL VEINTIDÓS, ANTE EL SECRETARIO TÉCNICO DEL PLENO, ALEXIS TAPIA RAMÍREZ.</w:t>
      </w:r>
    </w:p>
    <w:p w:rsidR="00285C00" w:rsidRDefault="00285C00">
      <w:pPr>
        <w:spacing w:before="240" w:after="240" w:line="360" w:lineRule="auto"/>
        <w:jc w:val="both"/>
        <w:rPr>
          <w:rFonts w:ascii="Palatino Linotype" w:eastAsia="Palatino Linotype" w:hAnsi="Palatino Linotype" w:cs="Palatino Linotype"/>
        </w:rPr>
      </w:pPr>
    </w:p>
    <w:sectPr w:rsidR="00285C00">
      <w:headerReference w:type="default" r:id="rId15"/>
      <w:footerReference w:type="default" r:id="rId16"/>
      <w:headerReference w:type="first" r:id="rId17"/>
      <w:footerReference w:type="first" r:id="rId18"/>
      <w:pgSz w:w="12240" w:h="15840"/>
      <w:pgMar w:top="1417" w:right="1325"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30A" w:rsidRDefault="006D630A">
      <w:r>
        <w:separator/>
      </w:r>
    </w:p>
  </w:endnote>
  <w:endnote w:type="continuationSeparator" w:id="0">
    <w:p w:rsidR="006D630A" w:rsidRDefault="006D6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00" w:rsidRDefault="00AD5FAD">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4443F">
      <w:rPr>
        <w:rFonts w:ascii="Arial" w:eastAsia="Arial" w:hAnsi="Arial" w:cs="Arial"/>
        <w:b/>
        <w:noProof/>
        <w:color w:val="000000"/>
        <w:sz w:val="20"/>
        <w:szCs w:val="20"/>
      </w:rPr>
      <w:t>13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4443F">
      <w:rPr>
        <w:rFonts w:ascii="Arial" w:eastAsia="Arial" w:hAnsi="Arial" w:cs="Arial"/>
        <w:b/>
        <w:noProof/>
        <w:color w:val="000000"/>
        <w:sz w:val="20"/>
        <w:szCs w:val="20"/>
      </w:rPr>
      <w:t>14</w:t>
    </w:r>
    <w:r>
      <w:rPr>
        <w:rFonts w:ascii="Arial" w:eastAsia="Arial" w:hAnsi="Arial" w:cs="Arial"/>
        <w:b/>
        <w:color w:val="000000"/>
        <w:sz w:val="20"/>
        <w:szCs w:val="20"/>
      </w:rPr>
      <w:fldChar w:fldCharType="end"/>
    </w:r>
  </w:p>
  <w:p w:rsidR="00285C00" w:rsidRDefault="00285C00">
    <w:pPr>
      <w:pBdr>
        <w:top w:val="nil"/>
        <w:left w:val="nil"/>
        <w:bottom w:val="nil"/>
        <w:right w:val="nil"/>
        <w:between w:val="nil"/>
      </w:pBdr>
      <w:tabs>
        <w:tab w:val="center" w:pos="4419"/>
        <w:tab w:val="right" w:pos="8838"/>
      </w:tabs>
      <w:rPr>
        <w:color w:val="000000"/>
      </w:rPr>
    </w:pPr>
  </w:p>
  <w:p w:rsidR="00285C00" w:rsidRDefault="00285C00">
    <w:pPr>
      <w:pBdr>
        <w:top w:val="nil"/>
        <w:left w:val="nil"/>
        <w:bottom w:val="nil"/>
        <w:right w:val="nil"/>
        <w:between w:val="nil"/>
      </w:pBdr>
      <w:tabs>
        <w:tab w:val="center" w:pos="4419"/>
        <w:tab w:val="right" w:pos="8838"/>
      </w:tabs>
      <w:ind w:firstLine="708"/>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00" w:rsidRDefault="00AD5FAD">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4443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4443F">
      <w:rPr>
        <w:rFonts w:ascii="Arial" w:eastAsia="Arial" w:hAnsi="Arial" w:cs="Arial"/>
        <w:b/>
        <w:noProof/>
        <w:color w:val="000000"/>
        <w:sz w:val="20"/>
        <w:szCs w:val="20"/>
      </w:rPr>
      <w:t>14</w:t>
    </w:r>
    <w:r>
      <w:rPr>
        <w:rFonts w:ascii="Arial" w:eastAsia="Arial" w:hAnsi="Arial" w:cs="Arial"/>
        <w:b/>
        <w:color w:val="000000"/>
        <w:sz w:val="20"/>
        <w:szCs w:val="20"/>
      </w:rPr>
      <w:fldChar w:fldCharType="end"/>
    </w:r>
  </w:p>
  <w:p w:rsidR="00285C00" w:rsidRDefault="00285C0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00" w:rsidRDefault="00AD5FAD">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end"/>
    </w:r>
  </w:p>
  <w:p w:rsidR="00285C00" w:rsidRDefault="00285C00">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00" w:rsidRDefault="00AD5FAD">
    <w:pPr>
      <w:pBdr>
        <w:top w:val="nil"/>
        <w:left w:val="nil"/>
        <w:bottom w:val="nil"/>
        <w:right w:val="nil"/>
        <w:between w:val="nil"/>
      </w:pBdr>
      <w:tabs>
        <w:tab w:val="center" w:pos="4419"/>
        <w:tab w:val="right" w:pos="8838"/>
      </w:tabs>
      <w:ind w:left="7080"/>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ab/>
      <w:t xml:space="preserve">                                                                                                                                                                                         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4443F">
      <w:rPr>
        <w:rFonts w:ascii="Palatino Linotype" w:eastAsia="Palatino Linotype" w:hAnsi="Palatino Linotype" w:cs="Palatino Linotype"/>
        <w:b/>
        <w:noProof/>
        <w:color w:val="000000"/>
        <w:sz w:val="20"/>
        <w:szCs w:val="20"/>
      </w:rPr>
      <w:t>14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4443F">
      <w:rPr>
        <w:rFonts w:ascii="Palatino Linotype" w:eastAsia="Palatino Linotype" w:hAnsi="Palatino Linotype" w:cs="Palatino Linotype"/>
        <w:b/>
        <w:noProof/>
        <w:color w:val="000000"/>
        <w:sz w:val="20"/>
        <w:szCs w:val="20"/>
      </w:rPr>
      <w:t>14</w:t>
    </w:r>
    <w:r>
      <w:rPr>
        <w:rFonts w:ascii="Palatino Linotype" w:eastAsia="Palatino Linotype" w:hAnsi="Palatino Linotype" w:cs="Palatino Linotype"/>
        <w:b/>
        <w:color w:val="000000"/>
        <w:sz w:val="20"/>
        <w:szCs w:val="20"/>
      </w:rPr>
      <w:fldChar w:fldCharType="end"/>
    </w:r>
  </w:p>
  <w:p w:rsidR="00285C00" w:rsidRDefault="00285C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30A" w:rsidRDefault="006D630A">
      <w:r>
        <w:separator/>
      </w:r>
    </w:p>
  </w:footnote>
  <w:footnote w:type="continuationSeparator" w:id="0">
    <w:p w:rsidR="006D630A" w:rsidRDefault="006D6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00" w:rsidRDefault="00285C00">
    <w:pPr>
      <w:widowControl w:val="0"/>
      <w:pBdr>
        <w:top w:val="nil"/>
        <w:left w:val="nil"/>
        <w:bottom w:val="nil"/>
        <w:right w:val="nil"/>
        <w:between w:val="nil"/>
      </w:pBdr>
      <w:spacing w:line="276" w:lineRule="auto"/>
      <w:rPr>
        <w:color w:val="000000"/>
      </w:rPr>
    </w:pPr>
  </w:p>
  <w:tbl>
    <w:tblPr>
      <w:tblStyle w:val="a0"/>
      <w:tblW w:w="6240" w:type="dxa"/>
      <w:tblInd w:w="3746" w:type="dxa"/>
      <w:tblLayout w:type="fixed"/>
      <w:tblLook w:val="0400" w:firstRow="0" w:lastRow="0" w:firstColumn="0" w:lastColumn="0" w:noHBand="0" w:noVBand="1"/>
    </w:tblPr>
    <w:tblGrid>
      <w:gridCol w:w="2553"/>
      <w:gridCol w:w="3687"/>
    </w:tblGrid>
    <w:tr w:rsidR="00285C00">
      <w:tc>
        <w:tcPr>
          <w:tcW w:w="2553" w:type="dxa"/>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285C00" w:rsidRDefault="00AD5FAD">
          <w:pPr>
            <w:ind w:right="380"/>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05249/INFOEM/AD/RR/2022</w:t>
          </w:r>
        </w:p>
      </w:tc>
    </w:tr>
    <w:tr w:rsidR="00285C00">
      <w:trPr>
        <w:trHeight w:val="228"/>
      </w:trPr>
      <w:tc>
        <w:tcPr>
          <w:tcW w:w="2553" w:type="dxa"/>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285C00" w:rsidRDefault="00AD5FAD">
          <w:pPr>
            <w:tabs>
              <w:tab w:val="left" w:pos="1106"/>
            </w:tabs>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Bravo</w:t>
          </w:r>
        </w:p>
      </w:tc>
    </w:tr>
    <w:tr w:rsidR="00285C00">
      <w:tc>
        <w:tcPr>
          <w:tcW w:w="2553" w:type="dxa"/>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285C00" w:rsidRDefault="00AD5FA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85C00" w:rsidRDefault="00AD5FAD">
    <w:pPr>
      <w:pBdr>
        <w:top w:val="nil"/>
        <w:left w:val="nil"/>
        <w:bottom w:val="nil"/>
        <w:right w:val="nil"/>
        <w:between w:val="nil"/>
      </w:pBdr>
      <w:tabs>
        <w:tab w:val="center" w:pos="4419"/>
        <w:tab w:val="right" w:pos="8838"/>
        <w:tab w:val="left" w:pos="2326"/>
      </w:tabs>
      <w:rPr>
        <w:color w:val="000000"/>
      </w:rPr>
    </w:pPr>
    <w:r>
      <w:rPr>
        <w:color w:val="000000"/>
      </w:rPr>
      <w:tab/>
    </w:r>
    <w:r>
      <w:rPr>
        <w:noProof/>
        <w:lang w:val="es-MX" w:eastAsia="es-MX"/>
      </w:rPr>
      <w:drawing>
        <wp:anchor distT="0" distB="0" distL="0" distR="0" simplePos="0" relativeHeight="251658240" behindDoc="1" locked="0" layoutInCell="1" hidden="0" allowOverlap="1">
          <wp:simplePos x="0" y="0"/>
          <wp:positionH relativeFrom="column">
            <wp:posOffset>-982344</wp:posOffset>
          </wp:positionH>
          <wp:positionV relativeFrom="paragraph">
            <wp:posOffset>-1098549</wp:posOffset>
          </wp:positionV>
          <wp:extent cx="7635600" cy="9943200"/>
          <wp:effectExtent l="0" t="0" r="0" b="0"/>
          <wp:wrapNone/>
          <wp:docPr id="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00" w:rsidRDefault="00AD5FAD">
    <w:pPr>
      <w:pBdr>
        <w:top w:val="nil"/>
        <w:left w:val="nil"/>
        <w:bottom w:val="nil"/>
        <w:right w:val="nil"/>
        <w:between w:val="nil"/>
      </w:pBdr>
      <w:tabs>
        <w:tab w:val="center" w:pos="4419"/>
        <w:tab w:val="right" w:pos="8838"/>
      </w:tabs>
      <w:jc w:val="both"/>
      <w:rPr>
        <w:color w:val="000000"/>
      </w:rPr>
    </w:pPr>
    <w:proofErr w:type="gramStart"/>
    <w:r>
      <w:rPr>
        <w:color w:val="000000"/>
      </w:rPr>
      <w:t>v</w:t>
    </w:r>
    <w:proofErr w:type="gramEnd"/>
    <w:r>
      <w:rPr>
        <w:color w:val="000000"/>
      </w:rPr>
      <w:t xml:space="preserve">                                  </w:t>
    </w:r>
    <w:r>
      <w:rPr>
        <w:noProof/>
        <w:lang w:val="es-MX" w:eastAsia="es-MX"/>
      </w:rPr>
      <w:drawing>
        <wp:anchor distT="0" distB="0" distL="0" distR="0" simplePos="0" relativeHeight="251659264" behindDoc="1" locked="0" layoutInCell="1" hidden="0" allowOverlap="1">
          <wp:simplePos x="0" y="0"/>
          <wp:positionH relativeFrom="column">
            <wp:posOffset>-973454</wp:posOffset>
          </wp:positionH>
          <wp:positionV relativeFrom="paragraph">
            <wp:posOffset>-354964</wp:posOffset>
          </wp:positionV>
          <wp:extent cx="7635600" cy="9943200"/>
          <wp:effectExtent l="0" t="0" r="0" b="0"/>
          <wp:wrapNone/>
          <wp:docPr id="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6240" w:type="dxa"/>
      <w:tblInd w:w="3685" w:type="dxa"/>
      <w:tblLayout w:type="fixed"/>
      <w:tblLook w:val="0400" w:firstRow="0" w:lastRow="0" w:firstColumn="0" w:lastColumn="0" w:noHBand="0" w:noVBand="1"/>
    </w:tblPr>
    <w:tblGrid>
      <w:gridCol w:w="2553"/>
      <w:gridCol w:w="3687"/>
    </w:tblGrid>
    <w:tr w:rsidR="00285C00">
      <w:tc>
        <w:tcPr>
          <w:tcW w:w="2553" w:type="dxa"/>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05249/INFOEM/AD/RR/2022</w:t>
          </w:r>
        </w:p>
      </w:tc>
    </w:tr>
    <w:tr w:rsidR="00285C00">
      <w:tc>
        <w:tcPr>
          <w:tcW w:w="2553" w:type="dxa"/>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285C00" w:rsidRDefault="0074443F" w:rsidP="007E11C4">
          <w:pPr>
            <w:rPr>
              <w:rFonts w:ascii="Palatino Linotype" w:eastAsia="Palatino Linotype" w:hAnsi="Palatino Linotype" w:cs="Palatino Linotype"/>
              <w:b/>
              <w:sz w:val="22"/>
              <w:szCs w:val="22"/>
              <w:highlight w:val="red"/>
            </w:rPr>
          </w:pPr>
          <w:r>
            <w:rPr>
              <w:rFonts w:ascii="Palatino Linotype" w:eastAsia="Palatino Linotype" w:hAnsi="Palatino Linotype" w:cs="Palatino Linotype"/>
              <w:b/>
              <w:sz w:val="22"/>
              <w:szCs w:val="22"/>
            </w:rPr>
            <w:t>XXXX XXXXX XXXX</w:t>
          </w:r>
        </w:p>
      </w:tc>
    </w:tr>
    <w:tr w:rsidR="00285C00">
      <w:trPr>
        <w:trHeight w:val="228"/>
      </w:trPr>
      <w:tc>
        <w:tcPr>
          <w:tcW w:w="2553" w:type="dxa"/>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285C00" w:rsidRDefault="00AD5F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Bravo</w:t>
          </w:r>
        </w:p>
      </w:tc>
    </w:tr>
    <w:tr w:rsidR="00285C00">
      <w:tc>
        <w:tcPr>
          <w:tcW w:w="2553" w:type="dxa"/>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285C00" w:rsidRDefault="00AD5FA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85C00" w:rsidRDefault="00285C00">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00" w:rsidRDefault="00AD5FAD">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0288" behindDoc="1" locked="0" layoutInCell="1" hidden="0" allowOverlap="1">
          <wp:simplePos x="0" y="0"/>
          <wp:positionH relativeFrom="column">
            <wp:posOffset>-654933</wp:posOffset>
          </wp:positionH>
          <wp:positionV relativeFrom="paragraph">
            <wp:posOffset>-313909</wp:posOffset>
          </wp:positionV>
          <wp:extent cx="7635600" cy="9943200"/>
          <wp:effectExtent l="0" t="0" r="0" b="0"/>
          <wp:wrapNone/>
          <wp:docPr id="7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285C00">
      <w:tc>
        <w:tcPr>
          <w:tcW w:w="0" w:type="auto"/>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0" w:type="auto"/>
          <w:vAlign w:val="center"/>
        </w:tcPr>
        <w:p w:rsidR="00285C00" w:rsidRDefault="00AD5F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05009/INFOEM/IP/RR/2021</w:t>
          </w:r>
        </w:p>
      </w:tc>
    </w:tr>
    <w:tr w:rsidR="00285C00">
      <w:trPr>
        <w:trHeight w:val="228"/>
      </w:trPr>
      <w:tc>
        <w:tcPr>
          <w:tcW w:w="0" w:type="auto"/>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0" w:type="auto"/>
          <w:vAlign w:val="center"/>
        </w:tcPr>
        <w:p w:rsidR="00285C00" w:rsidRDefault="00AD5F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285C00">
      <w:tc>
        <w:tcPr>
          <w:tcW w:w="0" w:type="auto"/>
          <w:vAlign w:val="center"/>
        </w:tcPr>
        <w:p w:rsidR="00285C00" w:rsidRDefault="00AD5F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0" w:type="auto"/>
          <w:vAlign w:val="center"/>
        </w:tcPr>
        <w:p w:rsidR="00285C00" w:rsidRDefault="00AD5FA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85C00" w:rsidRDefault="00285C00">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C00" w:rsidRDefault="00AD5FAD">
    <w:pPr>
      <w:pBdr>
        <w:top w:val="nil"/>
        <w:left w:val="nil"/>
        <w:bottom w:val="nil"/>
        <w:right w:val="nil"/>
        <w:between w:val="nil"/>
      </w:pBdr>
      <w:tabs>
        <w:tab w:val="center" w:pos="4419"/>
        <w:tab w:val="right" w:pos="8838"/>
      </w:tabs>
      <w:jc w:val="both"/>
      <w:rPr>
        <w:color w:val="000000"/>
      </w:rPr>
    </w:pPr>
    <w:r>
      <w:rPr>
        <w:color w:val="000000"/>
      </w:rPr>
      <w:t xml:space="preserve">                                  </w:t>
    </w:r>
    <w:r>
      <w:rPr>
        <w:noProof/>
        <w:lang w:val="es-MX" w:eastAsia="es-MX"/>
      </w:rPr>
      <w:drawing>
        <wp:anchor distT="0" distB="0" distL="0" distR="0" simplePos="0" relativeHeight="251661312" behindDoc="1" locked="0" layoutInCell="1" hidden="0" allowOverlap="1">
          <wp:simplePos x="0" y="0"/>
          <wp:positionH relativeFrom="column">
            <wp:posOffset>0</wp:posOffset>
          </wp:positionH>
          <wp:positionV relativeFrom="paragraph">
            <wp:posOffset>-394039</wp:posOffset>
          </wp:positionV>
          <wp:extent cx="7635600" cy="9943200"/>
          <wp:effectExtent l="0" t="0" r="0" b="0"/>
          <wp:wrapNone/>
          <wp:docPr id="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rsidR="00285C00" w:rsidRDefault="00285C0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97DB3"/>
    <w:multiLevelType w:val="hybridMultilevel"/>
    <w:tmpl w:val="2EB2BF0E"/>
    <w:lvl w:ilvl="0" w:tplc="996A26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406B4B"/>
    <w:multiLevelType w:val="multilevel"/>
    <w:tmpl w:val="C66A8CA0"/>
    <w:lvl w:ilvl="0">
      <w:start w:val="1"/>
      <w:numFmt w:val="upperRoman"/>
      <w:lvlText w:val="%1."/>
      <w:lvlJc w:val="left"/>
      <w:pPr>
        <w:ind w:left="4265" w:hanging="720"/>
      </w:pPr>
    </w:lvl>
    <w:lvl w:ilvl="1">
      <w:start w:val="1"/>
      <w:numFmt w:val="lowerLetter"/>
      <w:lvlText w:val="%2."/>
      <w:lvlJc w:val="left"/>
      <w:pPr>
        <w:ind w:left="4625" w:hanging="360"/>
      </w:pPr>
    </w:lvl>
    <w:lvl w:ilvl="2">
      <w:start w:val="1"/>
      <w:numFmt w:val="lowerRoman"/>
      <w:lvlText w:val="%3."/>
      <w:lvlJc w:val="right"/>
      <w:pPr>
        <w:ind w:left="5345" w:hanging="180"/>
      </w:pPr>
    </w:lvl>
    <w:lvl w:ilvl="3">
      <w:start w:val="1"/>
      <w:numFmt w:val="decimal"/>
      <w:lvlText w:val="%4."/>
      <w:lvlJc w:val="left"/>
      <w:pPr>
        <w:ind w:left="6065" w:hanging="360"/>
      </w:pPr>
    </w:lvl>
    <w:lvl w:ilvl="4">
      <w:start w:val="1"/>
      <w:numFmt w:val="lowerLetter"/>
      <w:lvlText w:val="%5."/>
      <w:lvlJc w:val="left"/>
      <w:pPr>
        <w:ind w:left="6785" w:hanging="360"/>
      </w:pPr>
    </w:lvl>
    <w:lvl w:ilvl="5">
      <w:start w:val="1"/>
      <w:numFmt w:val="lowerRoman"/>
      <w:lvlText w:val="%6."/>
      <w:lvlJc w:val="right"/>
      <w:pPr>
        <w:ind w:left="7505" w:hanging="180"/>
      </w:pPr>
    </w:lvl>
    <w:lvl w:ilvl="6">
      <w:start w:val="1"/>
      <w:numFmt w:val="decimal"/>
      <w:lvlText w:val="%7."/>
      <w:lvlJc w:val="left"/>
      <w:pPr>
        <w:ind w:left="8225" w:hanging="360"/>
      </w:pPr>
    </w:lvl>
    <w:lvl w:ilvl="7">
      <w:start w:val="1"/>
      <w:numFmt w:val="lowerLetter"/>
      <w:lvlText w:val="%8."/>
      <w:lvlJc w:val="left"/>
      <w:pPr>
        <w:ind w:left="8945" w:hanging="360"/>
      </w:pPr>
    </w:lvl>
    <w:lvl w:ilvl="8">
      <w:start w:val="1"/>
      <w:numFmt w:val="lowerRoman"/>
      <w:lvlText w:val="%9."/>
      <w:lvlJc w:val="right"/>
      <w:pPr>
        <w:ind w:left="9665" w:hanging="180"/>
      </w:pPr>
    </w:lvl>
  </w:abstractNum>
  <w:abstractNum w:abstractNumId="2" w15:restartNumberingAfterBreak="0">
    <w:nsid w:val="2ECE4699"/>
    <w:multiLevelType w:val="multilevel"/>
    <w:tmpl w:val="5994D4D4"/>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C00"/>
    <w:rsid w:val="00002110"/>
    <w:rsid w:val="00285C00"/>
    <w:rsid w:val="005B38D6"/>
    <w:rsid w:val="0069451D"/>
    <w:rsid w:val="006B15C0"/>
    <w:rsid w:val="006D630A"/>
    <w:rsid w:val="0074443F"/>
    <w:rsid w:val="00777721"/>
    <w:rsid w:val="007E11C4"/>
    <w:rsid w:val="009379E1"/>
    <w:rsid w:val="00A02732"/>
    <w:rsid w:val="00AD5FAD"/>
    <w:rsid w:val="00D552A5"/>
    <w:rsid w:val="00D812DB"/>
    <w:rsid w:val="00E807CC"/>
    <w:rsid w:val="00EB76BB"/>
    <w:rsid w:val="00EC69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F415D-985D-4467-99A4-60FA28376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 w:type="table" w:customStyle="1" w:styleId="Tabladelista1clara-nfasis121">
    <w:name w:val="Tabla de lista 1 clara - Énfasis 121"/>
    <w:basedOn w:val="Tablanormal"/>
    <w:next w:val="Tabladelista1clara-nfasis1"/>
    <w:uiPriority w:val="46"/>
    <w:rsid w:val="00007288"/>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007288"/>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5333B9"/>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p7qn6eKbLaBciTn3a9mBdXNH2w==">AMUW2mVB2BcBPxd+cCaP55FQ3TgFniRCsbP3owTACo7CNTjdEH65KksR7pn6dhjKAo8GnV6fgYY1w65XVzd+SmwBx694SoT5SSQtGxlrz58ZuEi2NNxxZdLnqSmbYh5Ll/E4kElC0T1s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2629</Words>
  <Characters>14465</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Cuenta Microsoft</cp:lastModifiedBy>
  <cp:revision>13</cp:revision>
  <dcterms:created xsi:type="dcterms:W3CDTF">2022-06-16T07:42:00Z</dcterms:created>
  <dcterms:modified xsi:type="dcterms:W3CDTF">2022-07-07T17:59:00Z</dcterms:modified>
</cp:coreProperties>
</file>