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CC935" w14:textId="77777777" w:rsidR="008E523D" w:rsidRDefault="00B56496">
      <w:pPr>
        <w:spacing w:before="240" w:after="240" w:line="360" w:lineRule="auto"/>
        <w:jc w:val="both"/>
        <w:rPr>
          <w:rFonts w:ascii="Palatino Linotype" w:eastAsia="Palatino Linotype" w:hAnsi="Palatino Linotype" w:cs="Palatino Linotype"/>
        </w:rPr>
      </w:pPr>
      <w:bookmarkStart w:id="0" w:name="_heading=h.3dy6vkm"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171F53">
        <w:rPr>
          <w:rFonts w:ascii="Palatino Linotype" w:eastAsia="Palatino Linotype" w:hAnsi="Palatino Linotype" w:cs="Palatino Linotype"/>
        </w:rPr>
        <w:t>seis</w:t>
      </w:r>
      <w:r w:rsidR="00253658">
        <w:rPr>
          <w:rFonts w:ascii="Palatino Linotype" w:eastAsia="Palatino Linotype" w:hAnsi="Palatino Linotype" w:cs="Palatino Linotype"/>
        </w:rPr>
        <w:t xml:space="preserve"> </w:t>
      </w:r>
      <w:r>
        <w:rPr>
          <w:rFonts w:ascii="Palatino Linotype" w:eastAsia="Palatino Linotype" w:hAnsi="Palatino Linotype" w:cs="Palatino Linotype"/>
        </w:rPr>
        <w:t>de ju</w:t>
      </w:r>
      <w:r w:rsidR="00171F53">
        <w:rPr>
          <w:rFonts w:ascii="Palatino Linotype" w:eastAsia="Palatino Linotype" w:hAnsi="Palatino Linotype" w:cs="Palatino Linotype"/>
        </w:rPr>
        <w:t>l</w:t>
      </w:r>
      <w:r>
        <w:rPr>
          <w:rFonts w:ascii="Palatino Linotype" w:eastAsia="Palatino Linotype" w:hAnsi="Palatino Linotype" w:cs="Palatino Linotype"/>
        </w:rPr>
        <w:t>io de dos mil veintidós.</w:t>
      </w:r>
    </w:p>
    <w:p w14:paraId="57FFAA7A" w14:textId="7C612370" w:rsidR="008E523D" w:rsidRDefault="00B56496">
      <w:pPr>
        <w:spacing w:before="240" w:after="240" w:line="360" w:lineRule="auto"/>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b/>
        </w:rPr>
        <w:t xml:space="preserve">Vistos </w:t>
      </w:r>
      <w:r>
        <w:rPr>
          <w:rFonts w:ascii="Palatino Linotype" w:eastAsia="Palatino Linotype" w:hAnsi="Palatino Linotype" w:cs="Palatino Linotype"/>
        </w:rPr>
        <w:t xml:space="preserve">los expedientes relativos a los recursos de revisión </w:t>
      </w:r>
      <w:r>
        <w:rPr>
          <w:rFonts w:ascii="Palatino Linotype" w:eastAsia="Palatino Linotype" w:hAnsi="Palatino Linotype" w:cs="Palatino Linotype"/>
          <w:b/>
        </w:rPr>
        <w:t>0</w:t>
      </w:r>
      <w:r w:rsidR="00171F53">
        <w:rPr>
          <w:rFonts w:ascii="Palatino Linotype" w:eastAsia="Palatino Linotype" w:hAnsi="Palatino Linotype" w:cs="Palatino Linotype"/>
          <w:b/>
        </w:rPr>
        <w:t>5244</w:t>
      </w:r>
      <w:r>
        <w:rPr>
          <w:rFonts w:ascii="Palatino Linotype" w:eastAsia="Palatino Linotype" w:hAnsi="Palatino Linotype" w:cs="Palatino Linotype"/>
          <w:b/>
        </w:rPr>
        <w:t>/INFOEM/</w:t>
      </w:r>
      <w:r w:rsidR="00916C54">
        <w:rPr>
          <w:rFonts w:ascii="Palatino Linotype" w:eastAsia="Palatino Linotype" w:hAnsi="Palatino Linotype" w:cs="Palatino Linotype"/>
          <w:b/>
        </w:rPr>
        <w:t>AD</w:t>
      </w:r>
      <w:r>
        <w:rPr>
          <w:rFonts w:ascii="Palatino Linotype" w:eastAsia="Palatino Linotype" w:hAnsi="Palatino Linotype" w:cs="Palatino Linotype"/>
          <w:b/>
        </w:rPr>
        <w:t>/RR/2022 y 0</w:t>
      </w:r>
      <w:r w:rsidR="00171F53">
        <w:rPr>
          <w:rFonts w:ascii="Palatino Linotype" w:eastAsia="Palatino Linotype" w:hAnsi="Palatino Linotype" w:cs="Palatino Linotype"/>
          <w:b/>
        </w:rPr>
        <w:t>5245</w:t>
      </w:r>
      <w:r>
        <w:rPr>
          <w:rFonts w:ascii="Palatino Linotype" w:eastAsia="Palatino Linotype" w:hAnsi="Palatino Linotype" w:cs="Palatino Linotype"/>
          <w:b/>
        </w:rPr>
        <w:t>/INFOEM/</w:t>
      </w:r>
      <w:r w:rsidR="00916C54">
        <w:rPr>
          <w:rFonts w:ascii="Palatino Linotype" w:eastAsia="Palatino Linotype" w:hAnsi="Palatino Linotype" w:cs="Palatino Linotype"/>
          <w:b/>
        </w:rPr>
        <w:t>AD</w:t>
      </w:r>
      <w:r>
        <w:rPr>
          <w:rFonts w:ascii="Palatino Linotype" w:eastAsia="Palatino Linotype" w:hAnsi="Palatino Linotype" w:cs="Palatino Linotype"/>
          <w:b/>
        </w:rPr>
        <w:t>/RR/2022 acumulados,</w:t>
      </w:r>
      <w:r>
        <w:rPr>
          <w:rFonts w:ascii="Palatino Linotype" w:eastAsia="Palatino Linotype" w:hAnsi="Palatino Linotype" w:cs="Palatino Linotype"/>
        </w:rPr>
        <w:t xml:space="preserve"> interpuestos </w:t>
      </w:r>
      <w:r w:rsidR="00F73433" w:rsidRPr="00F73433">
        <w:rPr>
          <w:rFonts w:ascii="Palatino Linotype" w:eastAsia="Palatino Linotype" w:hAnsi="Palatino Linotype" w:cs="Palatino Linotype"/>
          <w:b/>
        </w:rPr>
        <w:t>Xxxxx Xxxxxxx Xxxx Xxxxx</w:t>
      </w:r>
      <w:r w:rsidR="00F73433" w:rsidRPr="00F73433">
        <w:rPr>
          <w:rFonts w:ascii="Palatino Linotype" w:eastAsia="Palatino Linotype" w:hAnsi="Palatino Linotype" w:cs="Palatino Linotype"/>
        </w:rPr>
        <w:t xml:space="preserve"> </w:t>
      </w:r>
      <w:r w:rsidRPr="00F73433">
        <w:rPr>
          <w:rFonts w:ascii="Palatino Linotype" w:eastAsia="Palatino Linotype" w:hAnsi="Palatino Linotype" w:cs="Palatino Linotype"/>
        </w:rPr>
        <w:t>quien</w:t>
      </w:r>
      <w:r>
        <w:rPr>
          <w:rFonts w:ascii="Palatino Linotype" w:eastAsia="Palatino Linotype" w:hAnsi="Palatino Linotype" w:cs="Palatino Linotype"/>
        </w:rPr>
        <w:t xml:space="preserve"> en lo su</w:t>
      </w:r>
      <w:r w:rsidR="004958B3">
        <w:rPr>
          <w:rFonts w:ascii="Palatino Linotype" w:eastAsia="Palatino Linotype" w:hAnsi="Palatino Linotype" w:cs="Palatino Linotype"/>
        </w:rPr>
        <w:t>cesivo será identificado como 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las respuestas del </w:t>
      </w:r>
      <w:r>
        <w:rPr>
          <w:rFonts w:ascii="Palatino Linotype" w:eastAsia="Palatino Linotype" w:hAnsi="Palatino Linotype" w:cs="Palatino Linotype"/>
          <w:b/>
        </w:rPr>
        <w:t xml:space="preserve">Ayuntamiento de </w:t>
      </w:r>
      <w:r w:rsidR="004958B3">
        <w:rPr>
          <w:rFonts w:ascii="Palatino Linotype" w:eastAsia="Palatino Linotype" w:hAnsi="Palatino Linotype" w:cs="Palatino Linotype"/>
          <w:b/>
        </w:rPr>
        <w:t>Valle de Braco</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 siguiente.</w:t>
      </w:r>
    </w:p>
    <w:p w14:paraId="063BFB51" w14:textId="77777777" w:rsidR="008E523D" w:rsidRDefault="00B56496">
      <w:pPr>
        <w:numPr>
          <w:ilvl w:val="0"/>
          <w:numId w:val="4"/>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4625029B" w14:textId="77777777" w:rsidR="008E523D" w:rsidRDefault="00B56496">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 xml:space="preserve">1. Solicitudes de acceso a </w:t>
      </w:r>
      <w:r w:rsidR="00817434">
        <w:rPr>
          <w:rFonts w:ascii="Palatino Linotype" w:eastAsia="Palatino Linotype" w:hAnsi="Palatino Linotype" w:cs="Palatino Linotype"/>
          <w:b/>
        </w:rPr>
        <w:t>Datos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El </w:t>
      </w:r>
      <w:r w:rsidR="004958B3">
        <w:rPr>
          <w:rFonts w:ascii="Palatino Linotype" w:eastAsia="Palatino Linotype" w:hAnsi="Palatino Linotype" w:cs="Palatino Linotype"/>
          <w:b/>
        </w:rPr>
        <w:t>dieciséis</w:t>
      </w:r>
      <w:r>
        <w:rPr>
          <w:rFonts w:ascii="Palatino Linotype" w:eastAsia="Palatino Linotype" w:hAnsi="Palatino Linotype" w:cs="Palatino Linotype"/>
          <w:b/>
        </w:rPr>
        <w:t xml:space="preserve"> de marzo de dos mil veintidós</w:t>
      </w:r>
      <w:r>
        <w:rPr>
          <w:rFonts w:ascii="Palatino Linotype" w:eastAsia="Palatino Linotype" w:hAnsi="Palatino Linotype" w:cs="Palatino Linotype"/>
        </w:rPr>
        <w:t xml:space="preserve">, </w:t>
      </w:r>
      <w:r w:rsidR="00817434">
        <w:rPr>
          <w:rFonts w:ascii="Palatino Linotype" w:eastAsia="Palatino Linotype" w:hAnsi="Palatino Linotype" w:cs="Palatino Linotype"/>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solicitudes de acceso </w:t>
      </w:r>
      <w:r w:rsidR="00BF4C57">
        <w:rPr>
          <w:rFonts w:ascii="Palatino Linotype" w:eastAsia="Palatino Linotype" w:hAnsi="Palatino Linotype" w:cs="Palatino Linotype"/>
        </w:rPr>
        <w:t>a datos personales</w:t>
      </w:r>
      <w:r>
        <w:rPr>
          <w:rFonts w:ascii="Palatino Linotype" w:eastAsia="Palatino Linotype" w:hAnsi="Palatino Linotype" w:cs="Palatino Linotype"/>
        </w:rPr>
        <w:t xml:space="preserve"> a través del </w:t>
      </w:r>
      <w:r w:rsidR="00BF4C57">
        <w:rPr>
          <w:rFonts w:ascii="Palatino Linotype" w:eastAsia="Palatino Linotype" w:hAnsi="Palatino Linotype" w:cs="Palatino Linotype"/>
        </w:rPr>
        <w:t>Sistema de Acceso, Rectificación, Cancelación y Oposición de Datos Personales del Estado de México (SARCOEM)</w:t>
      </w:r>
      <w:r>
        <w:rPr>
          <w:rFonts w:ascii="Palatino Linotype" w:eastAsia="Palatino Linotype" w:hAnsi="Palatino Linotype" w:cs="Palatino Linotype"/>
          <w:b/>
        </w:rPr>
        <w:t>,</w:t>
      </w:r>
      <w:r>
        <w:rPr>
          <w:rFonts w:ascii="Palatino Linotype" w:eastAsia="Palatino Linotype" w:hAnsi="Palatino Linotype" w:cs="Palatino Linotype"/>
        </w:rPr>
        <w:t xml:space="preserve"> en las que requirió lo siguiente:</w:t>
      </w:r>
    </w:p>
    <w:tbl>
      <w:tblPr>
        <w:tblStyle w:val="afff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8E523D" w14:paraId="41CA0831" w14:textId="77777777">
        <w:tc>
          <w:tcPr>
            <w:tcW w:w="3256" w:type="dxa"/>
            <w:shd w:val="clear" w:color="auto" w:fill="D9D9D9"/>
          </w:tcPr>
          <w:p w14:paraId="14E1C648" w14:textId="77777777" w:rsidR="008E523D" w:rsidRDefault="00B56496">
            <w:pPr>
              <w:jc w:val="both"/>
              <w:rPr>
                <w:rFonts w:ascii="Palatino Linotype" w:eastAsia="Palatino Linotype" w:hAnsi="Palatino Linotype" w:cs="Palatino Linotype"/>
                <w:b/>
                <w:i/>
                <w:sz w:val="22"/>
                <w:szCs w:val="22"/>
              </w:rPr>
            </w:pPr>
            <w:bookmarkStart w:id="3" w:name="_heading=h.1fob9te" w:colFirst="0" w:colLast="0"/>
            <w:bookmarkEnd w:id="3"/>
            <w:r>
              <w:rPr>
                <w:rFonts w:ascii="Palatino Linotype" w:eastAsia="Palatino Linotype" w:hAnsi="Palatino Linotype" w:cs="Palatino Linotype"/>
                <w:b/>
                <w:i/>
                <w:sz w:val="22"/>
                <w:szCs w:val="22"/>
              </w:rPr>
              <w:t>Número de solicitud</w:t>
            </w:r>
          </w:p>
        </w:tc>
        <w:tc>
          <w:tcPr>
            <w:tcW w:w="5572" w:type="dxa"/>
            <w:shd w:val="clear" w:color="auto" w:fill="D9D9D9"/>
          </w:tcPr>
          <w:p w14:paraId="3480870F" w14:textId="77777777" w:rsidR="008E523D" w:rsidRDefault="00B56496">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Información requerida.</w:t>
            </w:r>
          </w:p>
        </w:tc>
      </w:tr>
      <w:tr w:rsidR="008E523D" w14:paraId="17AE4529" w14:textId="77777777">
        <w:tc>
          <w:tcPr>
            <w:tcW w:w="3256" w:type="dxa"/>
          </w:tcPr>
          <w:p w14:paraId="7EA90D0C" w14:textId="77777777" w:rsidR="008E523D" w:rsidRDefault="00B56496" w:rsidP="00817434">
            <w:pPr>
              <w:jc w:val="both"/>
              <w:rPr>
                <w:rFonts w:ascii="Palatino Linotype" w:eastAsia="Palatino Linotype" w:hAnsi="Palatino Linotype" w:cs="Palatino Linotype"/>
                <w:b/>
                <w:i/>
                <w:sz w:val="22"/>
                <w:szCs w:val="22"/>
              </w:rPr>
            </w:pPr>
            <w:bookmarkStart w:id="4" w:name="_heading=h.3znysh7" w:colFirst="0" w:colLast="0"/>
            <w:bookmarkEnd w:id="4"/>
            <w:r>
              <w:rPr>
                <w:rFonts w:ascii="Palatino Linotype" w:eastAsia="Palatino Linotype" w:hAnsi="Palatino Linotype" w:cs="Palatino Linotype"/>
                <w:b/>
                <w:i/>
                <w:sz w:val="22"/>
                <w:szCs w:val="22"/>
              </w:rPr>
              <w:t>00</w:t>
            </w:r>
            <w:r w:rsidR="004958B3">
              <w:rPr>
                <w:rFonts w:ascii="Palatino Linotype" w:eastAsia="Palatino Linotype" w:hAnsi="Palatino Linotype" w:cs="Palatino Linotype"/>
                <w:b/>
                <w:i/>
                <w:sz w:val="22"/>
                <w:szCs w:val="22"/>
              </w:rPr>
              <w:t>004</w:t>
            </w:r>
            <w:r>
              <w:rPr>
                <w:rFonts w:ascii="Palatino Linotype" w:eastAsia="Palatino Linotype" w:hAnsi="Palatino Linotype" w:cs="Palatino Linotype"/>
                <w:b/>
                <w:i/>
                <w:sz w:val="22"/>
                <w:szCs w:val="22"/>
              </w:rPr>
              <w:t>/</w:t>
            </w:r>
            <w:r w:rsidR="004958B3" w:rsidRPr="004958B3">
              <w:rPr>
                <w:rFonts w:ascii="Palatino Linotype" w:eastAsia="Palatino Linotype" w:hAnsi="Palatino Linotype" w:cs="Palatino Linotype"/>
                <w:b/>
                <w:i/>
                <w:sz w:val="22"/>
                <w:szCs w:val="22"/>
              </w:rPr>
              <w:t>VABRAVO</w:t>
            </w:r>
            <w:r w:rsidR="00817434">
              <w:rPr>
                <w:rFonts w:ascii="Palatino Linotype" w:eastAsia="Palatino Linotype" w:hAnsi="Palatino Linotype" w:cs="Palatino Linotype"/>
                <w:b/>
                <w:i/>
                <w:sz w:val="22"/>
                <w:szCs w:val="22"/>
              </w:rPr>
              <w:t>/AD</w:t>
            </w:r>
            <w:r>
              <w:rPr>
                <w:rFonts w:ascii="Palatino Linotype" w:eastAsia="Palatino Linotype" w:hAnsi="Palatino Linotype" w:cs="Palatino Linotype"/>
                <w:b/>
                <w:i/>
                <w:sz w:val="22"/>
                <w:szCs w:val="22"/>
              </w:rPr>
              <w:t>/2022 0</w:t>
            </w:r>
            <w:r w:rsidR="004958B3">
              <w:rPr>
                <w:rFonts w:ascii="Palatino Linotype" w:eastAsia="Palatino Linotype" w:hAnsi="Palatino Linotype" w:cs="Palatino Linotype"/>
                <w:b/>
                <w:i/>
                <w:sz w:val="22"/>
                <w:szCs w:val="22"/>
              </w:rPr>
              <w:t>5244</w:t>
            </w:r>
            <w:r w:rsidR="00BF4C57">
              <w:rPr>
                <w:rFonts w:ascii="Palatino Linotype" w:eastAsia="Palatino Linotype" w:hAnsi="Palatino Linotype" w:cs="Palatino Linotype"/>
                <w:b/>
                <w:i/>
                <w:sz w:val="22"/>
                <w:szCs w:val="22"/>
              </w:rPr>
              <w:t>/INFOEM/AD</w:t>
            </w:r>
            <w:r>
              <w:rPr>
                <w:rFonts w:ascii="Palatino Linotype" w:eastAsia="Palatino Linotype" w:hAnsi="Palatino Linotype" w:cs="Palatino Linotype"/>
                <w:b/>
                <w:i/>
                <w:sz w:val="22"/>
                <w:szCs w:val="22"/>
              </w:rPr>
              <w:t>/RR/2022</w:t>
            </w:r>
          </w:p>
        </w:tc>
        <w:tc>
          <w:tcPr>
            <w:tcW w:w="5572" w:type="dxa"/>
          </w:tcPr>
          <w:p w14:paraId="36668FFA" w14:textId="612809EF" w:rsidR="008E523D" w:rsidRDefault="00B56496" w:rsidP="00F73433">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4958B3" w:rsidRPr="004958B3">
              <w:rPr>
                <w:rFonts w:ascii="Palatino Linotype" w:eastAsia="Palatino Linotype" w:hAnsi="Palatino Linotype" w:cs="Palatino Linotype"/>
                <w:i/>
                <w:sz w:val="22"/>
                <w:szCs w:val="22"/>
              </w:rPr>
              <w:t xml:space="preserve">La que suscribe la C. </w:t>
            </w:r>
            <w:r w:rsidR="00F73433">
              <w:rPr>
                <w:rFonts w:ascii="Palatino Linotype" w:eastAsia="Palatino Linotype" w:hAnsi="Palatino Linotype" w:cs="Palatino Linotype"/>
                <w:i/>
                <w:sz w:val="22"/>
                <w:szCs w:val="22"/>
              </w:rPr>
              <w:t>XXXX</w:t>
            </w:r>
            <w:r w:rsidR="004958B3" w:rsidRPr="004958B3">
              <w:rPr>
                <w:rFonts w:ascii="Palatino Linotype" w:eastAsia="Palatino Linotype" w:hAnsi="Palatino Linotype" w:cs="Palatino Linotype"/>
                <w:i/>
                <w:sz w:val="22"/>
                <w:szCs w:val="22"/>
              </w:rPr>
              <w:t xml:space="preserve"> </w:t>
            </w:r>
            <w:r w:rsidR="00F73433">
              <w:rPr>
                <w:rFonts w:ascii="Palatino Linotype" w:eastAsia="Palatino Linotype" w:hAnsi="Palatino Linotype" w:cs="Palatino Linotype"/>
                <w:i/>
                <w:sz w:val="22"/>
                <w:szCs w:val="22"/>
              </w:rPr>
              <w:t>XXXXXXX</w:t>
            </w:r>
            <w:r w:rsidR="004958B3" w:rsidRPr="004958B3">
              <w:rPr>
                <w:rFonts w:ascii="Palatino Linotype" w:eastAsia="Palatino Linotype" w:hAnsi="Palatino Linotype" w:cs="Palatino Linotype"/>
                <w:i/>
                <w:sz w:val="22"/>
                <w:szCs w:val="22"/>
              </w:rPr>
              <w:t xml:space="preserve"> </w:t>
            </w:r>
            <w:r w:rsidR="00F73433">
              <w:rPr>
                <w:rFonts w:ascii="Palatino Linotype" w:eastAsia="Palatino Linotype" w:hAnsi="Palatino Linotype" w:cs="Palatino Linotype"/>
                <w:i/>
                <w:sz w:val="22"/>
                <w:szCs w:val="22"/>
              </w:rPr>
              <w:t>XXXX</w:t>
            </w:r>
            <w:r w:rsidR="004958B3" w:rsidRPr="004958B3">
              <w:rPr>
                <w:rFonts w:ascii="Palatino Linotype" w:eastAsia="Palatino Linotype" w:hAnsi="Palatino Linotype" w:cs="Palatino Linotype"/>
                <w:i/>
                <w:sz w:val="22"/>
                <w:szCs w:val="22"/>
              </w:rPr>
              <w:t xml:space="preserve"> </w:t>
            </w:r>
            <w:r w:rsidR="00F73433">
              <w:rPr>
                <w:rFonts w:ascii="Palatino Linotype" w:eastAsia="Palatino Linotype" w:hAnsi="Palatino Linotype" w:cs="Palatino Linotype"/>
                <w:i/>
                <w:sz w:val="22"/>
                <w:szCs w:val="22"/>
              </w:rPr>
              <w:t>XXXXX</w:t>
            </w:r>
            <w:r w:rsidR="004958B3" w:rsidRPr="004958B3">
              <w:rPr>
                <w:rFonts w:ascii="Palatino Linotype" w:eastAsia="Palatino Linotype" w:hAnsi="Palatino Linotype" w:cs="Palatino Linotype"/>
                <w:i/>
                <w:sz w:val="22"/>
                <w:szCs w:val="22"/>
              </w:rPr>
              <w:t xml:space="preserve">, ex servidor público adscrita a la Contraloría Municipal del Ayuntamiento de Valle de Bravo, México, quien tenía como numero de empleado el </w:t>
            </w:r>
            <w:r w:rsidR="00F73433">
              <w:rPr>
                <w:rFonts w:ascii="Palatino Linotype" w:eastAsia="Palatino Linotype" w:hAnsi="Palatino Linotype" w:cs="Palatino Linotype"/>
                <w:i/>
                <w:sz w:val="22"/>
                <w:szCs w:val="22"/>
              </w:rPr>
              <w:t>XXXXX</w:t>
            </w:r>
            <w:r w:rsidR="004958B3" w:rsidRPr="004958B3">
              <w:rPr>
                <w:rFonts w:ascii="Palatino Linotype" w:eastAsia="Palatino Linotype" w:hAnsi="Palatino Linotype" w:cs="Palatino Linotype"/>
                <w:i/>
                <w:sz w:val="22"/>
                <w:szCs w:val="22"/>
              </w:rPr>
              <w:t xml:space="preserve">, así como clave de ISSEMYM número </w:t>
            </w:r>
            <w:r w:rsidR="00F73433">
              <w:rPr>
                <w:rFonts w:ascii="Palatino Linotype" w:eastAsia="Palatino Linotype" w:hAnsi="Palatino Linotype" w:cs="Palatino Linotype"/>
                <w:i/>
                <w:sz w:val="22"/>
                <w:szCs w:val="22"/>
              </w:rPr>
              <w:t>XXXXXXX</w:t>
            </w:r>
            <w:r w:rsidR="004958B3" w:rsidRPr="004958B3">
              <w:rPr>
                <w:rFonts w:ascii="Palatino Linotype" w:eastAsia="Palatino Linotype" w:hAnsi="Palatino Linotype" w:cs="Palatino Linotype"/>
                <w:i/>
                <w:sz w:val="22"/>
                <w:szCs w:val="22"/>
              </w:rPr>
              <w:t xml:space="preserve">, al respecto, me permito exponer: Que con fundamento en el artículo 8° de la Constitución Política de los Estados Unidos Mexicanos, me permito solicitar de la manera más atenta se me haga entrega por este medio, copia del documento FORMATO ÚNICO </w:t>
            </w:r>
            <w:r w:rsidR="004958B3" w:rsidRPr="004958B3">
              <w:rPr>
                <w:rFonts w:ascii="Palatino Linotype" w:eastAsia="Palatino Linotype" w:hAnsi="Palatino Linotype" w:cs="Palatino Linotype"/>
                <w:i/>
                <w:sz w:val="22"/>
                <w:szCs w:val="22"/>
              </w:rPr>
              <w:lastRenderedPageBreak/>
              <w:t>DE MOVIMIENTOS DE PERSONAL, a través del cual se hace constar la fecha de mi baja laboral como servidor público del Ayuntamiento de Valle de Bravo, así como el documento correspondiente al AVISO hecho respecto de la baja laboral que tuvo a bien realizar ante el Instituto de Seguridad Social del Estado de México y Municipios “ISSEMYM” por lo que a la suscrita se refiere. Lo anterior, por ser documentales a que tengo derecho que es la empleadora la única obligada y responsable de entregar las citadas documentales a la suscrita, ya que los multicitados documentos son necesarios para diversos trámites que la suscrita debe realizar ante la Institución de Seguridad Social. Para el caso del Ayuntamiento a través de sus representantes se nieguen a proporcionarme las documentales en cita, solicito brinde respuesta a mi petición debidamente fundada y motivada.</w:t>
            </w:r>
            <w:r>
              <w:rPr>
                <w:rFonts w:ascii="Palatino Linotype" w:eastAsia="Palatino Linotype" w:hAnsi="Palatino Linotype" w:cs="Palatino Linotype"/>
                <w:i/>
                <w:sz w:val="22"/>
                <w:szCs w:val="22"/>
              </w:rPr>
              <w:t>.” (Sic)</w:t>
            </w:r>
          </w:p>
        </w:tc>
      </w:tr>
      <w:tr w:rsidR="008E523D" w14:paraId="63B1D9F4" w14:textId="77777777">
        <w:tc>
          <w:tcPr>
            <w:tcW w:w="3256" w:type="dxa"/>
          </w:tcPr>
          <w:p w14:paraId="139FF97C" w14:textId="77777777" w:rsidR="008E523D" w:rsidRDefault="00B56496" w:rsidP="00BF4C57">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0</w:t>
            </w:r>
            <w:r w:rsidR="004958B3">
              <w:rPr>
                <w:rFonts w:ascii="Palatino Linotype" w:eastAsia="Palatino Linotype" w:hAnsi="Palatino Linotype" w:cs="Palatino Linotype"/>
                <w:b/>
                <w:i/>
                <w:sz w:val="22"/>
                <w:szCs w:val="22"/>
              </w:rPr>
              <w:t>0003</w:t>
            </w:r>
            <w:r>
              <w:rPr>
                <w:rFonts w:ascii="Palatino Linotype" w:eastAsia="Palatino Linotype" w:hAnsi="Palatino Linotype" w:cs="Palatino Linotype"/>
                <w:b/>
                <w:i/>
                <w:sz w:val="22"/>
                <w:szCs w:val="22"/>
              </w:rPr>
              <w:t>/</w:t>
            </w:r>
            <w:r w:rsidR="004958B3">
              <w:rPr>
                <w:rFonts w:ascii="Palatino Linotype" w:eastAsia="Palatino Linotype" w:hAnsi="Palatino Linotype" w:cs="Palatino Linotype"/>
                <w:b/>
                <w:i/>
                <w:sz w:val="22"/>
                <w:szCs w:val="22"/>
              </w:rPr>
              <w:t>VABRAVO</w:t>
            </w:r>
            <w:r>
              <w:rPr>
                <w:rFonts w:ascii="Palatino Linotype" w:eastAsia="Palatino Linotype" w:hAnsi="Palatino Linotype" w:cs="Palatino Linotype"/>
                <w:b/>
                <w:i/>
                <w:sz w:val="22"/>
                <w:szCs w:val="22"/>
              </w:rPr>
              <w:t>/</w:t>
            </w:r>
            <w:r w:rsidR="00BF4C57">
              <w:rPr>
                <w:rFonts w:ascii="Palatino Linotype" w:eastAsia="Palatino Linotype" w:hAnsi="Palatino Linotype" w:cs="Palatino Linotype"/>
                <w:b/>
                <w:i/>
                <w:sz w:val="22"/>
                <w:szCs w:val="22"/>
              </w:rPr>
              <w:t>AD</w:t>
            </w:r>
            <w:r>
              <w:rPr>
                <w:rFonts w:ascii="Palatino Linotype" w:eastAsia="Palatino Linotype" w:hAnsi="Palatino Linotype" w:cs="Palatino Linotype"/>
                <w:b/>
                <w:i/>
                <w:sz w:val="22"/>
                <w:szCs w:val="22"/>
              </w:rPr>
              <w:t>/2022 0</w:t>
            </w:r>
            <w:r w:rsidR="004958B3">
              <w:rPr>
                <w:rFonts w:ascii="Palatino Linotype" w:eastAsia="Palatino Linotype" w:hAnsi="Palatino Linotype" w:cs="Palatino Linotype"/>
                <w:b/>
                <w:i/>
                <w:sz w:val="22"/>
                <w:szCs w:val="22"/>
              </w:rPr>
              <w:t>5245</w:t>
            </w:r>
            <w:r>
              <w:rPr>
                <w:rFonts w:ascii="Palatino Linotype" w:eastAsia="Palatino Linotype" w:hAnsi="Palatino Linotype" w:cs="Palatino Linotype"/>
                <w:b/>
                <w:i/>
                <w:sz w:val="22"/>
                <w:szCs w:val="22"/>
              </w:rPr>
              <w:t>/INFOEM/</w:t>
            </w:r>
            <w:r w:rsidR="00BF4C57">
              <w:rPr>
                <w:rFonts w:ascii="Palatino Linotype" w:eastAsia="Palatino Linotype" w:hAnsi="Palatino Linotype" w:cs="Palatino Linotype"/>
                <w:b/>
                <w:i/>
                <w:sz w:val="22"/>
                <w:szCs w:val="22"/>
              </w:rPr>
              <w:t>AD</w:t>
            </w:r>
            <w:r>
              <w:rPr>
                <w:rFonts w:ascii="Palatino Linotype" w:eastAsia="Palatino Linotype" w:hAnsi="Palatino Linotype" w:cs="Palatino Linotype"/>
                <w:b/>
                <w:i/>
                <w:sz w:val="22"/>
                <w:szCs w:val="22"/>
              </w:rPr>
              <w:t>/RR/2022</w:t>
            </w:r>
          </w:p>
        </w:tc>
        <w:tc>
          <w:tcPr>
            <w:tcW w:w="5572" w:type="dxa"/>
          </w:tcPr>
          <w:p w14:paraId="7B32B760" w14:textId="02F01FC1" w:rsidR="008E523D" w:rsidRDefault="00B56496" w:rsidP="00F73433">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4958B3" w:rsidRPr="004958B3">
              <w:rPr>
                <w:rFonts w:ascii="Palatino Linotype" w:eastAsia="Palatino Linotype" w:hAnsi="Palatino Linotype" w:cs="Palatino Linotype"/>
                <w:i/>
                <w:sz w:val="22"/>
                <w:szCs w:val="22"/>
              </w:rPr>
              <w:t xml:space="preserve">La que suscribe la C. </w:t>
            </w:r>
            <w:r w:rsidR="00F73433">
              <w:rPr>
                <w:rFonts w:ascii="Palatino Linotype" w:eastAsia="Palatino Linotype" w:hAnsi="Palatino Linotype" w:cs="Palatino Linotype"/>
                <w:i/>
                <w:sz w:val="22"/>
                <w:szCs w:val="22"/>
              </w:rPr>
              <w:t>XXXXX</w:t>
            </w:r>
            <w:r w:rsidR="004958B3" w:rsidRPr="004958B3">
              <w:rPr>
                <w:rFonts w:ascii="Palatino Linotype" w:eastAsia="Palatino Linotype" w:hAnsi="Palatino Linotype" w:cs="Palatino Linotype"/>
                <w:i/>
                <w:sz w:val="22"/>
                <w:szCs w:val="22"/>
              </w:rPr>
              <w:t xml:space="preserve"> </w:t>
            </w:r>
            <w:r w:rsidR="00F73433">
              <w:rPr>
                <w:rFonts w:ascii="Palatino Linotype" w:eastAsia="Palatino Linotype" w:hAnsi="Palatino Linotype" w:cs="Palatino Linotype"/>
                <w:i/>
                <w:sz w:val="22"/>
                <w:szCs w:val="22"/>
              </w:rPr>
              <w:t>XXXXXXX</w:t>
            </w:r>
            <w:r w:rsidR="004958B3" w:rsidRPr="004958B3">
              <w:rPr>
                <w:rFonts w:ascii="Palatino Linotype" w:eastAsia="Palatino Linotype" w:hAnsi="Palatino Linotype" w:cs="Palatino Linotype"/>
                <w:i/>
                <w:sz w:val="22"/>
                <w:szCs w:val="22"/>
              </w:rPr>
              <w:t xml:space="preserve"> </w:t>
            </w:r>
            <w:r w:rsidR="00F73433">
              <w:rPr>
                <w:rFonts w:ascii="Palatino Linotype" w:eastAsia="Palatino Linotype" w:hAnsi="Palatino Linotype" w:cs="Palatino Linotype"/>
                <w:i/>
                <w:sz w:val="22"/>
                <w:szCs w:val="22"/>
              </w:rPr>
              <w:t>XXXX</w:t>
            </w:r>
            <w:r w:rsidR="004958B3" w:rsidRPr="004958B3">
              <w:rPr>
                <w:rFonts w:ascii="Palatino Linotype" w:eastAsia="Palatino Linotype" w:hAnsi="Palatino Linotype" w:cs="Palatino Linotype"/>
                <w:i/>
                <w:sz w:val="22"/>
                <w:szCs w:val="22"/>
              </w:rPr>
              <w:t xml:space="preserve"> </w:t>
            </w:r>
            <w:r w:rsidR="00F73433">
              <w:rPr>
                <w:rFonts w:ascii="Palatino Linotype" w:eastAsia="Palatino Linotype" w:hAnsi="Palatino Linotype" w:cs="Palatino Linotype"/>
                <w:i/>
                <w:sz w:val="22"/>
                <w:szCs w:val="22"/>
              </w:rPr>
              <w:t>XXXXXX</w:t>
            </w:r>
            <w:r w:rsidR="004958B3" w:rsidRPr="004958B3">
              <w:rPr>
                <w:rFonts w:ascii="Palatino Linotype" w:eastAsia="Palatino Linotype" w:hAnsi="Palatino Linotype" w:cs="Palatino Linotype"/>
                <w:i/>
                <w:sz w:val="22"/>
                <w:szCs w:val="22"/>
              </w:rPr>
              <w:t xml:space="preserve">, ex servidor público adscrita a la Contraloría Municipal del Ayuntamiento de Valle de Bravo, México, quien tenía como numero de empleado el </w:t>
            </w:r>
            <w:r w:rsidR="00F73433">
              <w:rPr>
                <w:rFonts w:ascii="Palatino Linotype" w:eastAsia="Palatino Linotype" w:hAnsi="Palatino Linotype" w:cs="Palatino Linotype"/>
                <w:i/>
                <w:sz w:val="22"/>
                <w:szCs w:val="22"/>
              </w:rPr>
              <w:t>XXXXX</w:t>
            </w:r>
            <w:r w:rsidR="004958B3" w:rsidRPr="004958B3">
              <w:rPr>
                <w:rFonts w:ascii="Palatino Linotype" w:eastAsia="Palatino Linotype" w:hAnsi="Palatino Linotype" w:cs="Palatino Linotype"/>
                <w:i/>
                <w:sz w:val="22"/>
                <w:szCs w:val="22"/>
              </w:rPr>
              <w:t xml:space="preserve">, así como clave de ISSEMYM número </w:t>
            </w:r>
            <w:r w:rsidR="00F73433">
              <w:rPr>
                <w:rFonts w:ascii="Palatino Linotype" w:eastAsia="Palatino Linotype" w:hAnsi="Palatino Linotype" w:cs="Palatino Linotype"/>
                <w:i/>
                <w:sz w:val="22"/>
                <w:szCs w:val="22"/>
              </w:rPr>
              <w:t>XXXXXXX</w:t>
            </w:r>
            <w:r w:rsidR="004958B3" w:rsidRPr="004958B3">
              <w:rPr>
                <w:rFonts w:ascii="Palatino Linotype" w:eastAsia="Palatino Linotype" w:hAnsi="Palatino Linotype" w:cs="Palatino Linotype"/>
                <w:i/>
                <w:sz w:val="22"/>
                <w:szCs w:val="22"/>
              </w:rPr>
              <w:t xml:space="preserve">, al respecto, me permito exponer: Que con fundamento en el artículo 8° de la Constitución Política de los Estados Unidos Mexicanos, me permito solicitar de la manera más atenta se me haga entrega por este medio, copia del documento FORMATO ÚNICO DE MOVIMIENTOS DE PERSONAL, a través del cual se hace constar la fecha de mi baja laboral como servidor público del Ayuntamiento de Valle de Bravo, así como el documento correspondiente al AVISO hecho respecto de la baja laboral que tuvo a bien realizar ante el Instituto de Seguridad Social del Estado de México y Municipios “ISSEMYM” por lo que a la suscrita se refiere. Lo anterior, por ser documentales a que tengo derecho que es la empleadora la única obligada y responsable de entregar las citadas documentales a la suscrita, ya que los multicitados documentos son necesarios para diversos trámites que la suscrita debe realizar ante la Institución de Seguridad Social. Para el caso del Ayuntamiento a través de sus representantes se nieguen a </w:t>
            </w:r>
            <w:r w:rsidR="004958B3" w:rsidRPr="004958B3">
              <w:rPr>
                <w:rFonts w:ascii="Palatino Linotype" w:eastAsia="Palatino Linotype" w:hAnsi="Palatino Linotype" w:cs="Palatino Linotype"/>
                <w:i/>
                <w:sz w:val="22"/>
                <w:szCs w:val="22"/>
              </w:rPr>
              <w:lastRenderedPageBreak/>
              <w:t xml:space="preserve">proporcionarme las documentales en cita, solicito brinde respuesta a mi petición debidamente fundada y motivada. </w:t>
            </w:r>
            <w:r>
              <w:rPr>
                <w:rFonts w:ascii="Palatino Linotype" w:eastAsia="Palatino Linotype" w:hAnsi="Palatino Linotype" w:cs="Palatino Linotype"/>
                <w:i/>
                <w:sz w:val="22"/>
                <w:szCs w:val="22"/>
              </w:rPr>
              <w:t>(Sic)</w:t>
            </w:r>
          </w:p>
        </w:tc>
      </w:tr>
    </w:tbl>
    <w:p w14:paraId="39035E0D" w14:textId="77777777"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Modalidad elegida para la entrega de la información: </w:t>
      </w:r>
      <w:r w:rsidR="004958B3">
        <w:rPr>
          <w:rFonts w:ascii="Palatino Linotype" w:eastAsia="Palatino Linotype" w:hAnsi="Palatino Linotype" w:cs="Palatino Linotype"/>
        </w:rPr>
        <w:t>Copias Simples (con costo)</w:t>
      </w:r>
      <w:r>
        <w:rPr>
          <w:rFonts w:ascii="Palatino Linotype" w:eastAsia="Palatino Linotype" w:hAnsi="Palatino Linotype" w:cs="Palatino Linotype"/>
        </w:rPr>
        <w:t>.</w:t>
      </w:r>
    </w:p>
    <w:p w14:paraId="513BEE97" w14:textId="77777777" w:rsidR="008E523D" w:rsidRDefault="00B56496">
      <w:pPr>
        <w:spacing w:before="240" w:after="240" w:line="360" w:lineRule="auto"/>
        <w:jc w:val="both"/>
        <w:rPr>
          <w:rFonts w:ascii="Palatino Linotype" w:eastAsia="Palatino Linotype" w:hAnsi="Palatino Linotype" w:cs="Palatino Linotype"/>
          <w:sz w:val="22"/>
          <w:szCs w:val="22"/>
        </w:rPr>
      </w:pPr>
      <w:bookmarkStart w:id="5" w:name="_heading=h.2et92p0" w:colFirst="0" w:colLast="0"/>
      <w:bookmarkEnd w:id="5"/>
      <w:r>
        <w:rPr>
          <w:rFonts w:ascii="Palatino Linotype" w:eastAsia="Palatino Linotype" w:hAnsi="Palatino Linotype" w:cs="Palatino Linotype"/>
          <w:b/>
        </w:rPr>
        <w:t xml:space="preserve">2. Respuestas. </w:t>
      </w:r>
      <w:r>
        <w:rPr>
          <w:rFonts w:ascii="Palatino Linotype" w:eastAsia="Palatino Linotype" w:hAnsi="Palatino Linotype" w:cs="Palatino Linotype"/>
        </w:rPr>
        <w:t xml:space="preserve">De las constancias que obran en </w:t>
      </w:r>
      <w:r w:rsidR="00BF4C57">
        <w:rPr>
          <w:rFonts w:ascii="Palatino Linotype" w:eastAsia="Palatino Linotype" w:hAnsi="Palatino Linotype" w:cs="Palatino Linotype"/>
          <w:b/>
        </w:rPr>
        <w:t>SARCOEM</w:t>
      </w:r>
      <w:r>
        <w:rPr>
          <w:rFonts w:ascii="Palatino Linotype" w:eastAsia="Palatino Linotype" w:hAnsi="Palatino Linotype" w:cs="Palatino Linotype"/>
        </w:rPr>
        <w:t xml:space="preserve">, se observa que el </w:t>
      </w:r>
      <w:r w:rsidRPr="004958B3">
        <w:rPr>
          <w:rFonts w:ascii="Palatino Linotype" w:eastAsia="Palatino Linotype" w:hAnsi="Palatino Linotype" w:cs="Palatino Linotype"/>
          <w:b/>
        </w:rPr>
        <w:t>veinti</w:t>
      </w:r>
      <w:r w:rsidR="004958B3">
        <w:rPr>
          <w:rFonts w:ascii="Palatino Linotype" w:eastAsia="Palatino Linotype" w:hAnsi="Palatino Linotype" w:cs="Palatino Linotype"/>
          <w:b/>
        </w:rPr>
        <w:t>cuatro</w:t>
      </w:r>
      <w:r w:rsidRPr="004958B3">
        <w:rPr>
          <w:rFonts w:ascii="Palatino Linotype" w:eastAsia="Palatino Linotype" w:hAnsi="Palatino Linotype" w:cs="Palatino Linotype"/>
          <w:b/>
        </w:rPr>
        <w:t xml:space="preserve"> de </w:t>
      </w:r>
      <w:r w:rsidR="004958B3">
        <w:rPr>
          <w:rFonts w:ascii="Palatino Linotype" w:eastAsia="Palatino Linotype" w:hAnsi="Palatino Linotype" w:cs="Palatino Linotype"/>
          <w:b/>
        </w:rPr>
        <w:t>marzo</w:t>
      </w:r>
      <w:r w:rsidRPr="004958B3">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las solicitudes</w:t>
      </w:r>
      <w:r w:rsidR="00BF4C57">
        <w:rPr>
          <w:rFonts w:ascii="Palatino Linotype" w:eastAsia="Palatino Linotype" w:hAnsi="Palatino Linotype" w:cs="Palatino Linotype"/>
        </w:rPr>
        <w:t xml:space="preserve"> de acceso a datos personales</w:t>
      </w:r>
      <w:r>
        <w:rPr>
          <w:rFonts w:ascii="Palatino Linotype" w:eastAsia="Palatino Linotype" w:hAnsi="Palatino Linotype" w:cs="Palatino Linotype"/>
        </w:rPr>
        <w:t xml:space="preserve"> en los siguientes términos: </w:t>
      </w:r>
    </w:p>
    <w:p w14:paraId="033CF6D8" w14:textId="77777777" w:rsidR="008E523D" w:rsidRDefault="00B56496">
      <w:pPr>
        <w:spacing w:before="240" w:after="240" w:line="276" w:lineRule="auto"/>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atención a la solicitud de información número 00829/TOLUCA/IP/2022, me permito adjuntar al presente la respuesta correspondiente. Sin más por el momento, le envío un cordial saludo.” (Sic)</w:t>
      </w:r>
    </w:p>
    <w:p w14:paraId="54D663BB" w14:textId="77777777" w:rsidR="008E523D" w:rsidRDefault="00B56496">
      <w:pPr>
        <w:spacing w:before="240" w:after="240" w:line="360" w:lineRule="auto"/>
        <w:ind w:left="851" w:right="70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Pronunciamiento al que adjuntó los archivos electrónicos que se describen a continuación: </w:t>
      </w:r>
    </w:p>
    <w:tbl>
      <w:tblPr>
        <w:tblStyle w:val="afff3"/>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65"/>
      </w:tblGrid>
      <w:tr w:rsidR="008E523D" w14:paraId="0C23E294" w14:textId="77777777" w:rsidTr="00BF4C57">
        <w:tc>
          <w:tcPr>
            <w:tcW w:w="3256" w:type="dxa"/>
            <w:shd w:val="clear" w:color="auto" w:fill="D9D9D9"/>
          </w:tcPr>
          <w:p w14:paraId="3FBCDDAB" w14:textId="77777777" w:rsidR="008E523D" w:rsidRDefault="00B56496">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Número de solicitud</w:t>
            </w:r>
          </w:p>
        </w:tc>
        <w:tc>
          <w:tcPr>
            <w:tcW w:w="5665" w:type="dxa"/>
            <w:shd w:val="clear" w:color="auto" w:fill="D9D9D9"/>
          </w:tcPr>
          <w:p w14:paraId="4B90C6B5" w14:textId="77777777" w:rsidR="008E523D" w:rsidRDefault="00B56496">
            <w:pPr>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Respuesta</w:t>
            </w:r>
          </w:p>
        </w:tc>
      </w:tr>
      <w:tr w:rsidR="004958B3" w14:paraId="6C3FD306" w14:textId="77777777" w:rsidTr="00BF4C57">
        <w:tc>
          <w:tcPr>
            <w:tcW w:w="3256" w:type="dxa"/>
          </w:tcPr>
          <w:p w14:paraId="57B7EC8E" w14:textId="77777777" w:rsidR="004958B3" w:rsidRDefault="004958B3" w:rsidP="00916C54">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2"/>
                <w:szCs w:val="22"/>
              </w:rPr>
              <w:t>00004/</w:t>
            </w:r>
            <w:r w:rsidRPr="004958B3">
              <w:rPr>
                <w:rFonts w:ascii="Palatino Linotype" w:eastAsia="Palatino Linotype" w:hAnsi="Palatino Linotype" w:cs="Palatino Linotype"/>
                <w:b/>
                <w:i/>
                <w:sz w:val="22"/>
                <w:szCs w:val="22"/>
              </w:rPr>
              <w:t>VABRAVO</w:t>
            </w:r>
            <w:r w:rsidR="00916C54">
              <w:rPr>
                <w:rFonts w:ascii="Palatino Linotype" w:eastAsia="Palatino Linotype" w:hAnsi="Palatino Linotype" w:cs="Palatino Linotype"/>
                <w:b/>
                <w:i/>
                <w:sz w:val="22"/>
                <w:szCs w:val="22"/>
              </w:rPr>
              <w:t>/AD</w:t>
            </w:r>
            <w:r>
              <w:rPr>
                <w:rFonts w:ascii="Palatino Linotype" w:eastAsia="Palatino Linotype" w:hAnsi="Palatino Linotype" w:cs="Palatino Linotype"/>
                <w:b/>
                <w:i/>
                <w:sz w:val="22"/>
                <w:szCs w:val="22"/>
              </w:rPr>
              <w:t>/2022 05244/INFOEM/</w:t>
            </w:r>
            <w:r w:rsidR="00916C54">
              <w:rPr>
                <w:rFonts w:ascii="Palatino Linotype" w:eastAsia="Palatino Linotype" w:hAnsi="Palatino Linotype" w:cs="Palatino Linotype"/>
                <w:b/>
                <w:i/>
                <w:sz w:val="22"/>
                <w:szCs w:val="22"/>
              </w:rPr>
              <w:t>AD</w:t>
            </w:r>
            <w:r>
              <w:rPr>
                <w:rFonts w:ascii="Palatino Linotype" w:eastAsia="Palatino Linotype" w:hAnsi="Palatino Linotype" w:cs="Palatino Linotype"/>
                <w:b/>
                <w:i/>
                <w:sz w:val="22"/>
                <w:szCs w:val="22"/>
              </w:rPr>
              <w:t>/RR/2022</w:t>
            </w:r>
          </w:p>
        </w:tc>
        <w:tc>
          <w:tcPr>
            <w:tcW w:w="5665" w:type="dxa"/>
          </w:tcPr>
          <w:p w14:paraId="45FAE48B" w14:textId="77777777" w:rsidR="004958B3" w:rsidRDefault="004958B3">
            <w:pPr>
              <w:jc w:val="both"/>
              <w:rPr>
                <w:rFonts w:ascii="Palatino Linotype" w:eastAsia="Palatino Linotype" w:hAnsi="Palatino Linotype" w:cs="Palatino Linotype"/>
                <w:i/>
                <w:sz w:val="20"/>
                <w:szCs w:val="20"/>
              </w:rPr>
            </w:pPr>
          </w:p>
          <w:p w14:paraId="451E83FC" w14:textId="77777777" w:rsidR="004958B3" w:rsidRDefault="004958B3">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r w:rsidRPr="004958B3">
              <w:rPr>
                <w:rFonts w:ascii="Palatino Linotype" w:eastAsia="Palatino Linotype" w:hAnsi="Palatino Linotype" w:cs="Palatino Linotype"/>
                <w:i/>
                <w:sz w:val="20"/>
                <w:szCs w:val="20"/>
              </w:rPr>
              <w:t>Con la intención de dar respuesta a su solicitud con número 00004/VABRAVO/AD/2022, se envía adjunta la presente documentación, la cual fue turnada a la Unidad de Transparencia y Acceso a la Información Pública del Municipio de Valle de Bravo</w:t>
            </w:r>
            <w:r>
              <w:rPr>
                <w:rFonts w:ascii="Palatino Linotype" w:eastAsia="Palatino Linotype" w:hAnsi="Palatino Linotype" w:cs="Palatino Linotype"/>
                <w:i/>
                <w:sz w:val="20"/>
                <w:szCs w:val="20"/>
              </w:rPr>
              <w:t>.” (Sic)</w:t>
            </w:r>
          </w:p>
          <w:p w14:paraId="3EBA2C12" w14:textId="77777777" w:rsidR="004958B3" w:rsidRDefault="004958B3">
            <w:pPr>
              <w:jc w:val="both"/>
              <w:rPr>
                <w:rFonts w:ascii="Palatino Linotype" w:eastAsia="Palatino Linotype" w:hAnsi="Palatino Linotype" w:cs="Palatino Linotype"/>
                <w:i/>
                <w:sz w:val="20"/>
                <w:szCs w:val="20"/>
              </w:rPr>
            </w:pPr>
          </w:p>
          <w:p w14:paraId="073979FF" w14:textId="77777777" w:rsidR="004958B3" w:rsidRPr="004958B3" w:rsidRDefault="004958B3" w:rsidP="004958B3">
            <w:pPr>
              <w:pBdr>
                <w:top w:val="nil"/>
                <w:left w:val="nil"/>
                <w:bottom w:val="nil"/>
                <w:right w:val="nil"/>
                <w:between w:val="nil"/>
              </w:pBdr>
              <w:jc w:val="both"/>
              <w:rPr>
                <w:rFonts w:ascii="Palatino Linotype" w:eastAsia="Palatino Linotype" w:hAnsi="Palatino Linotype" w:cs="Palatino Linotype"/>
                <w:color w:val="000000"/>
                <w:sz w:val="20"/>
                <w:szCs w:val="20"/>
              </w:rPr>
            </w:pPr>
          </w:p>
          <w:p w14:paraId="4309DBBE" w14:textId="77777777" w:rsidR="004958B3" w:rsidRDefault="004958B3">
            <w:pPr>
              <w:jc w:val="both"/>
              <w:rPr>
                <w:rFonts w:ascii="Palatino Linotype" w:eastAsia="Palatino Linotype" w:hAnsi="Palatino Linotype" w:cs="Palatino Linotype"/>
                <w:i/>
                <w:sz w:val="20"/>
                <w:szCs w:val="20"/>
              </w:rPr>
            </w:pPr>
          </w:p>
        </w:tc>
      </w:tr>
      <w:tr w:rsidR="004958B3" w14:paraId="76150C0F" w14:textId="77777777" w:rsidTr="00BF4C57">
        <w:tc>
          <w:tcPr>
            <w:tcW w:w="3256" w:type="dxa"/>
          </w:tcPr>
          <w:p w14:paraId="678F8690" w14:textId="77777777" w:rsidR="004958B3" w:rsidRDefault="004958B3" w:rsidP="00916C54">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2"/>
                <w:szCs w:val="22"/>
              </w:rPr>
              <w:t>00003/VABRAVO/</w:t>
            </w:r>
            <w:r w:rsidR="00916C54">
              <w:rPr>
                <w:rFonts w:ascii="Palatino Linotype" w:eastAsia="Palatino Linotype" w:hAnsi="Palatino Linotype" w:cs="Palatino Linotype"/>
                <w:b/>
                <w:i/>
                <w:sz w:val="22"/>
                <w:szCs w:val="22"/>
              </w:rPr>
              <w:t>AD</w:t>
            </w:r>
            <w:r>
              <w:rPr>
                <w:rFonts w:ascii="Palatino Linotype" w:eastAsia="Palatino Linotype" w:hAnsi="Palatino Linotype" w:cs="Palatino Linotype"/>
                <w:b/>
                <w:i/>
                <w:sz w:val="22"/>
                <w:szCs w:val="22"/>
              </w:rPr>
              <w:t>/2022 05245/INFOEM/</w:t>
            </w:r>
            <w:r w:rsidR="00916C54">
              <w:rPr>
                <w:rFonts w:ascii="Palatino Linotype" w:eastAsia="Palatino Linotype" w:hAnsi="Palatino Linotype" w:cs="Palatino Linotype"/>
                <w:b/>
                <w:i/>
                <w:sz w:val="22"/>
                <w:szCs w:val="22"/>
              </w:rPr>
              <w:t>AD</w:t>
            </w:r>
            <w:r>
              <w:rPr>
                <w:rFonts w:ascii="Palatino Linotype" w:eastAsia="Palatino Linotype" w:hAnsi="Palatino Linotype" w:cs="Palatino Linotype"/>
                <w:b/>
                <w:i/>
                <w:sz w:val="22"/>
                <w:szCs w:val="22"/>
              </w:rPr>
              <w:t>/RR/2022</w:t>
            </w:r>
          </w:p>
        </w:tc>
        <w:tc>
          <w:tcPr>
            <w:tcW w:w="5665" w:type="dxa"/>
          </w:tcPr>
          <w:p w14:paraId="082A260C" w14:textId="77777777" w:rsidR="004958B3" w:rsidRDefault="004958B3">
            <w:pPr>
              <w:widowControl w:val="0"/>
              <w:pBdr>
                <w:top w:val="nil"/>
                <w:left w:val="nil"/>
                <w:bottom w:val="nil"/>
                <w:right w:val="nil"/>
                <w:between w:val="nil"/>
              </w:pBdr>
              <w:spacing w:line="276" w:lineRule="auto"/>
              <w:rPr>
                <w:rFonts w:ascii="Palatino Linotype" w:eastAsia="Palatino Linotype" w:hAnsi="Palatino Linotype" w:cs="Palatino Linotype"/>
                <w:i/>
                <w:sz w:val="20"/>
                <w:szCs w:val="20"/>
              </w:rPr>
            </w:pPr>
            <w:r w:rsidRPr="004958B3">
              <w:rPr>
                <w:rFonts w:ascii="Palatino Linotype" w:eastAsia="Palatino Linotype" w:hAnsi="Palatino Linotype" w:cs="Palatino Linotype"/>
                <w:i/>
                <w:sz w:val="20"/>
                <w:szCs w:val="20"/>
              </w:rPr>
              <w:t>Con la intención de dar respuesta a su solicitud con número 00002/VABRAVO/AD/2022, se envía adjunta la presente documentación, la cual fue turnada a la Unidad de Transparencia y Acceso a la Información Pública del Municipio de Valle de Bravo.</w:t>
            </w:r>
          </w:p>
          <w:p w14:paraId="540244C5" w14:textId="77777777" w:rsidR="004958B3" w:rsidRPr="00916C54" w:rsidRDefault="004958B3">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r>
    </w:tbl>
    <w:p w14:paraId="207C9B21" w14:textId="77777777" w:rsidR="008E523D" w:rsidRDefault="008E523D">
      <w:pPr>
        <w:ind w:right="1043"/>
        <w:jc w:val="both"/>
        <w:rPr>
          <w:rFonts w:ascii="Palatino Linotype" w:eastAsia="Palatino Linotype" w:hAnsi="Palatino Linotype" w:cs="Palatino Linotype"/>
        </w:rPr>
      </w:pPr>
    </w:p>
    <w:p w14:paraId="6758083E" w14:textId="77777777" w:rsidR="00BF4C57" w:rsidRDefault="00BF4C57" w:rsidP="00BF4C57">
      <w:pPr>
        <w:pBdr>
          <w:top w:val="nil"/>
          <w:left w:val="nil"/>
          <w:bottom w:val="nil"/>
          <w:right w:val="nil"/>
          <w:between w:val="nil"/>
        </w:pBdr>
        <w:spacing w:line="360" w:lineRule="auto"/>
        <w:jc w:val="both"/>
        <w:rPr>
          <w:rFonts w:ascii="Palatino Linotype" w:eastAsia="Palatino Linotype" w:hAnsi="Palatino Linotype" w:cs="Palatino Linotype"/>
        </w:rPr>
      </w:pPr>
      <w:r w:rsidRPr="00BF4C57">
        <w:rPr>
          <w:rFonts w:ascii="Palatino Linotype" w:eastAsia="Palatino Linotype" w:hAnsi="Palatino Linotype" w:cs="Palatino Linotype"/>
        </w:rPr>
        <w:lastRenderedPageBreak/>
        <w:t>Manifestaci</w:t>
      </w:r>
      <w:r>
        <w:rPr>
          <w:rFonts w:ascii="Palatino Linotype" w:eastAsia="Palatino Linotype" w:hAnsi="Palatino Linotype" w:cs="Palatino Linotype"/>
        </w:rPr>
        <w:t xml:space="preserve">ones a las que se agregó </w:t>
      </w:r>
      <w:r w:rsidRPr="00BF4C57">
        <w:rPr>
          <w:rFonts w:ascii="Palatino Linotype" w:eastAsia="Palatino Linotype" w:hAnsi="Palatino Linotype" w:cs="Palatino Linotype"/>
        </w:rPr>
        <w:t xml:space="preserve">el archivo denominado </w:t>
      </w:r>
      <w:r w:rsidRPr="00BF4C57">
        <w:rPr>
          <w:rFonts w:ascii="Palatino Linotype" w:eastAsia="Palatino Linotype" w:hAnsi="Palatino Linotype" w:cs="Palatino Linotype"/>
          <w:b/>
          <w:i/>
        </w:rPr>
        <w:t xml:space="preserve">2 – 8 – SARCOEM –admon.pdf, </w:t>
      </w:r>
      <w:r w:rsidRPr="00BF4C57">
        <w:rPr>
          <w:rFonts w:ascii="Palatino Linotype" w:eastAsia="Palatino Linotype" w:hAnsi="Palatino Linotype" w:cs="Palatino Linotype"/>
        </w:rPr>
        <w:t xml:space="preserve">consistente en el oficio CA/0182/MARZO/222 </w:t>
      </w:r>
      <w:r>
        <w:rPr>
          <w:rFonts w:ascii="Palatino Linotype" w:eastAsia="Palatino Linotype" w:hAnsi="Palatino Linotype" w:cs="Palatino Linotype"/>
        </w:rPr>
        <w:t xml:space="preserve">del 23 de marzo de 2022, por medio del cual respondió a las solicitudes de acceso a datos personales en los siguientes términos. </w:t>
      </w:r>
    </w:p>
    <w:p w14:paraId="374128C3" w14:textId="77777777" w:rsidR="00BF4C57" w:rsidRPr="00BF4C57" w:rsidRDefault="00817434" w:rsidP="00BF4C57">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mc:AlternateContent>
          <mc:Choice Requires="wps">
            <w:drawing>
              <wp:anchor distT="0" distB="0" distL="114300" distR="114300" simplePos="0" relativeHeight="251659264" behindDoc="0" locked="0" layoutInCell="1" allowOverlap="1" wp14:anchorId="2A039F04" wp14:editId="67F83504">
                <wp:simplePos x="0" y="0"/>
                <wp:positionH relativeFrom="column">
                  <wp:posOffset>243840</wp:posOffset>
                </wp:positionH>
                <wp:positionV relativeFrom="paragraph">
                  <wp:posOffset>3702685</wp:posOffset>
                </wp:positionV>
                <wp:extent cx="5381625" cy="79057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5381625" cy="7905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2C5AA3C" id="Rectángulo 4" o:spid="_x0000_s1026" style="position:absolute;margin-left:19.2pt;margin-top:291.55pt;width:423.75pt;height:6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sckogIAAJEFAAAOAAAAZHJzL2Uyb0RvYy54bWysVM1u2zAMvg/YOwi6r3aypD9GnSJokWFA&#10;0RZth54VWYoNyKImKXGyt9mz7MVGSbYbdMUOw3JQJJP8qO8TycurfavITljXgC7p5CSnRGgOVaM3&#10;Jf32vPp0TonzTFdMgRYlPQhHrxYfP1x2phBTqEFVwhIE0a7oTElr702RZY7XomXuBIzQaJRgW+bx&#10;aDdZZVmH6K3Kpnl+mnVgK2OBC+fw600y0kXEl1Jwfy+lE56okuLdfFxtXNdhzRaXrNhYZuqG99dg&#10;/3CLljUak45QN8wzsrXNH1Btwy04kP6EQ5uBlA0XkQOymeRv2DzVzIjIBcVxZpTJ/T9Yfrd7sKSp&#10;SjqjRLMWn+gRRfv1U2+2CsgsCNQZV6Dfk3mw/cnhNrDdS9uGf+RB9lHUwyiq2HvC8eP88/nkdDqn&#10;hKPt7CKfn80DaPYabazzXwS0JGxKajF/1JLtbp1ProNLSKZh1SiF31mhNOmw6hA0jxEOVFMFazA6&#10;u1lfK0t2DN9+tcrx1yc+csNrKI23CRwTq7jzByVSgkchUR7kMU0ZQmGKEZZxLrSfJFPNKpGyzY+T&#10;DRGRs9IIGJAl3nLE7gEGzwQyYCcFev8QKmJdj8E99b8FjxExM2g/BreNBvseM4Ws+szJfxApSRNU&#10;WkN1wOKxkLrKGb5q8AVvmfMPzGIbYcPhaPD3uEgF+FLQ7yipwf5473vwx+pGKyUdtmVJ3fcts4IS&#10;9VVj3V9MZrPQx/Ewm59N8WCPLetji96214CvP8EhZHjcBn+vhq200L7gBFmGrGhimmPuknJvh8O1&#10;T+MCZxAXy2V0w941zN/qJ8MDeFA1VOjz/oVZ05exxwa4g6GFWfGmmpNviNSw3HqQTSz1V117vbHv&#10;Y+H0MyoMluNz9HqdpIvfAAAA//8DAFBLAwQUAAYACAAAACEAmhvOjuAAAAAKAQAADwAAAGRycy9k&#10;b3ducmV2LnhtbEyPwU7DMBBE70j8g7VI3KjTlDYmZFMBEkIgDlDg7ibbJKq9jmI3CX+POcFxNU8z&#10;b4vtbI0YafCdY4TlIgFBXLm64wbh8+PxSoHwQXOtjWNC+CYP2/L8rNB57SZ+p3EXGhFL2OcaoQ2h&#10;z6X0VUtW+4XriWN2cIPVIZ5DI+tBT7HcGpkmyUZa3XFcaHVPDy1Vx93JIry540GarzR9ye6f0uzZ&#10;qqkZXxEvL+a7WxCB5vAHw69+VIcyOu3diWsvDMJKXUcSYa1WSxARUGp9A2KPkCXZBmRZyP8vlD8A&#10;AAD//wMAUEsBAi0AFAAGAAgAAAAhALaDOJL+AAAA4QEAABMAAAAAAAAAAAAAAAAAAAAAAFtDb250&#10;ZW50X1R5cGVzXS54bWxQSwECLQAUAAYACAAAACEAOP0h/9YAAACUAQAACwAAAAAAAAAAAAAAAAAv&#10;AQAAX3JlbHMvLnJlbHNQSwECLQAUAAYACAAAACEAtAbHJKICAACRBQAADgAAAAAAAAAAAAAAAAAu&#10;AgAAZHJzL2Uyb0RvYy54bWxQSwECLQAUAAYACAAAACEAmhvOjuAAAAAKAQAADwAAAAAAAAAAAAAA&#10;AAD8BAAAZHJzL2Rvd25yZXYueG1sUEsFBgAAAAAEAAQA8wAAAAkGAAAAAA==&#10;" filled="f" strokecolor="red" strokeweight="1.5pt"/>
            </w:pict>
          </mc:Fallback>
        </mc:AlternateContent>
      </w:r>
      <w:r w:rsidR="00BF4C57" w:rsidRPr="00BF4C57">
        <w:rPr>
          <w:rFonts w:ascii="Palatino Linotype" w:eastAsia="Palatino Linotype" w:hAnsi="Palatino Linotype" w:cs="Palatino Linotype"/>
          <w:noProof/>
          <w:lang w:val="es-MX" w:eastAsia="es-MX"/>
        </w:rPr>
        <w:drawing>
          <wp:inline distT="0" distB="0" distL="0" distR="0" wp14:anchorId="3816CF1E" wp14:editId="5E14849E">
            <wp:extent cx="5676900" cy="6553200"/>
            <wp:effectExtent l="19050" t="19050" r="1905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7150" cy="6553489"/>
                    </a:xfrm>
                    <a:prstGeom prst="rect">
                      <a:avLst/>
                    </a:prstGeom>
                    <a:ln w="6350">
                      <a:solidFill>
                        <a:schemeClr val="tx1"/>
                      </a:solidFill>
                    </a:ln>
                  </pic:spPr>
                </pic:pic>
              </a:graphicData>
            </a:graphic>
          </wp:inline>
        </w:drawing>
      </w:r>
    </w:p>
    <w:p w14:paraId="59C58C71" w14:textId="77777777"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 los recursos de revisión. </w:t>
      </w:r>
      <w:r>
        <w:rPr>
          <w:rFonts w:ascii="Palatino Linotype" w:eastAsia="Palatino Linotype" w:hAnsi="Palatino Linotype" w:cs="Palatino Linotype"/>
        </w:rPr>
        <w:t xml:space="preserve">Inconforme con las respuestas del Sujeto Obligado, el </w:t>
      </w:r>
      <w:r w:rsidR="00916C54">
        <w:rPr>
          <w:rFonts w:ascii="Palatino Linotype" w:eastAsia="Palatino Linotype" w:hAnsi="Palatino Linotype" w:cs="Palatino Linotype"/>
          <w:b/>
        </w:rPr>
        <w:t>treinta</w:t>
      </w:r>
      <w:r w:rsidRPr="00916C54">
        <w:rPr>
          <w:rFonts w:ascii="Palatino Linotype" w:eastAsia="Palatino Linotype" w:hAnsi="Palatino Linotype" w:cs="Palatino Linotype"/>
          <w:b/>
        </w:rPr>
        <w:t xml:space="preserve"> de </w:t>
      </w:r>
      <w:r w:rsidR="00916C54">
        <w:rPr>
          <w:rFonts w:ascii="Palatino Linotype" w:eastAsia="Palatino Linotype" w:hAnsi="Palatino Linotype" w:cs="Palatino Linotype"/>
          <w:b/>
        </w:rPr>
        <w:t>marzo</w:t>
      </w:r>
      <w:r w:rsidRPr="00916C54">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w:t>
      </w:r>
      <w:r w:rsidR="00BE22C9">
        <w:rPr>
          <w:rFonts w:ascii="Palatino Linotype" w:eastAsia="Palatino Linotype" w:hAnsi="Palatino Linotype" w:cs="Palatino Linotype"/>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los recursos de revisión en los que manifestó lo siguiente:</w:t>
      </w:r>
    </w:p>
    <w:tbl>
      <w:tblPr>
        <w:tblStyle w:val="afff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916C54" w14:paraId="7D43C0A4" w14:textId="77777777" w:rsidTr="001A50CD">
        <w:tc>
          <w:tcPr>
            <w:tcW w:w="2830" w:type="dxa"/>
            <w:shd w:val="clear" w:color="auto" w:fill="D9D9D9"/>
          </w:tcPr>
          <w:p w14:paraId="0AA9AF75" w14:textId="77777777" w:rsidR="00916C54" w:rsidRDefault="00916C54">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Recursos de Revisión </w:t>
            </w:r>
          </w:p>
        </w:tc>
        <w:tc>
          <w:tcPr>
            <w:tcW w:w="5998" w:type="dxa"/>
            <w:shd w:val="clear" w:color="auto" w:fill="D9D9D9"/>
          </w:tcPr>
          <w:p w14:paraId="2ABCDE44" w14:textId="77777777" w:rsidR="00916C54" w:rsidRDefault="00916C54">
            <w:pPr>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Acto impugnado y </w:t>
            </w:r>
          </w:p>
          <w:p w14:paraId="2AA7AA79" w14:textId="77777777" w:rsidR="00916C54" w:rsidRDefault="00916C54">
            <w:pPr>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Motivos de inconformidad</w:t>
            </w:r>
          </w:p>
        </w:tc>
      </w:tr>
      <w:tr w:rsidR="00916C54" w14:paraId="615F4E44" w14:textId="77777777" w:rsidTr="001A50CD">
        <w:tc>
          <w:tcPr>
            <w:tcW w:w="2830" w:type="dxa"/>
          </w:tcPr>
          <w:p w14:paraId="2B4247DE" w14:textId="77777777" w:rsidR="00916C54" w:rsidRDefault="00916C54" w:rsidP="001A50CD">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05244/INFOEM/</w:t>
            </w:r>
            <w:r w:rsidR="001A50CD">
              <w:rPr>
                <w:rFonts w:ascii="Palatino Linotype" w:eastAsia="Palatino Linotype" w:hAnsi="Palatino Linotype" w:cs="Palatino Linotype"/>
                <w:b/>
                <w:i/>
                <w:sz w:val="20"/>
                <w:szCs w:val="20"/>
              </w:rPr>
              <w:t>AD</w:t>
            </w:r>
            <w:r>
              <w:rPr>
                <w:rFonts w:ascii="Palatino Linotype" w:eastAsia="Palatino Linotype" w:hAnsi="Palatino Linotype" w:cs="Palatino Linotype"/>
                <w:b/>
                <w:i/>
                <w:sz w:val="20"/>
                <w:szCs w:val="20"/>
              </w:rPr>
              <w:t>/RR/2022</w:t>
            </w:r>
          </w:p>
        </w:tc>
        <w:tc>
          <w:tcPr>
            <w:tcW w:w="5998" w:type="dxa"/>
            <w:vMerge w:val="restart"/>
          </w:tcPr>
          <w:p w14:paraId="28CBE5E5" w14:textId="77777777" w:rsidR="00916C54" w:rsidRDefault="00916C54">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r w:rsidRPr="00916C54">
              <w:rPr>
                <w:rFonts w:ascii="Palatino Linotype" w:eastAsia="Palatino Linotype" w:hAnsi="Palatino Linotype" w:cs="Palatino Linotype"/>
                <w:i/>
                <w:sz w:val="20"/>
                <w:szCs w:val="20"/>
              </w:rPr>
              <w:t>Negativa a la solicitud de un documento personal, el cual está fundado de acuerdo a mis derechos como único propietario de los datos personales, así como de las virtudes que la misma Institución de Seguridad Social ISSEMYM, me proporciona al haber sido servidor público dado de alta ante dicha institución. Lo antes mencionado, está sustentado publicamente en la información proporcionada por el Instituto antes mencionado, en donde sugiere es una manera como derecho que tenemos a obtener el documento solicitado que a mi persona compete.</w:t>
            </w:r>
            <w:r>
              <w:rPr>
                <w:rFonts w:ascii="Palatino Linotype" w:eastAsia="Palatino Linotype" w:hAnsi="Palatino Linotype" w:cs="Palatino Linotype"/>
                <w:i/>
                <w:sz w:val="20"/>
                <w:szCs w:val="20"/>
              </w:rPr>
              <w:t>”</w:t>
            </w:r>
          </w:p>
          <w:p w14:paraId="313F384A" w14:textId="77777777" w:rsidR="00916C54" w:rsidRDefault="00916C54">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los recibos solicitados..</w:t>
            </w:r>
          </w:p>
        </w:tc>
      </w:tr>
      <w:tr w:rsidR="00916C54" w14:paraId="3E645E38" w14:textId="77777777" w:rsidTr="001A50CD">
        <w:tc>
          <w:tcPr>
            <w:tcW w:w="2830" w:type="dxa"/>
          </w:tcPr>
          <w:p w14:paraId="204A6950" w14:textId="77777777" w:rsidR="00916C54" w:rsidRDefault="00916C54" w:rsidP="001A50CD">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05245/INFOEM/</w:t>
            </w:r>
            <w:r w:rsidR="001A50CD">
              <w:rPr>
                <w:rFonts w:ascii="Palatino Linotype" w:eastAsia="Palatino Linotype" w:hAnsi="Palatino Linotype" w:cs="Palatino Linotype"/>
                <w:b/>
                <w:i/>
                <w:sz w:val="20"/>
                <w:szCs w:val="20"/>
              </w:rPr>
              <w:t>AD</w:t>
            </w:r>
            <w:r>
              <w:rPr>
                <w:rFonts w:ascii="Palatino Linotype" w:eastAsia="Palatino Linotype" w:hAnsi="Palatino Linotype" w:cs="Palatino Linotype"/>
                <w:b/>
                <w:i/>
                <w:sz w:val="20"/>
                <w:szCs w:val="20"/>
              </w:rPr>
              <w:t>/RR/2022</w:t>
            </w:r>
          </w:p>
        </w:tc>
        <w:tc>
          <w:tcPr>
            <w:tcW w:w="5998" w:type="dxa"/>
            <w:vMerge/>
          </w:tcPr>
          <w:p w14:paraId="61B6D709" w14:textId="77777777" w:rsidR="00916C54" w:rsidRDefault="00916C54">
            <w:pPr>
              <w:widowControl w:val="0"/>
              <w:pBdr>
                <w:top w:val="nil"/>
                <w:left w:val="nil"/>
                <w:bottom w:val="nil"/>
                <w:right w:val="nil"/>
                <w:between w:val="nil"/>
              </w:pBdr>
              <w:spacing w:line="276" w:lineRule="auto"/>
              <w:rPr>
                <w:rFonts w:ascii="Palatino Linotype" w:eastAsia="Palatino Linotype" w:hAnsi="Palatino Linotype" w:cs="Palatino Linotype"/>
                <w:b/>
                <w:i/>
                <w:sz w:val="20"/>
                <w:szCs w:val="20"/>
              </w:rPr>
            </w:pPr>
          </w:p>
        </w:tc>
      </w:tr>
    </w:tbl>
    <w:p w14:paraId="2B7F5E0A" w14:textId="77777777" w:rsidR="008E523D" w:rsidRDefault="00B56496">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De conformidad con el artículo 185</w:t>
      </w:r>
      <w:r w:rsidR="001A50CD">
        <w:rPr>
          <w:rFonts w:ascii="Palatino Linotype" w:eastAsia="Palatino Linotype" w:hAnsi="Palatino Linotype" w:cs="Palatino Linotype"/>
        </w:rPr>
        <w:t>,</w:t>
      </w:r>
      <w:r>
        <w:rPr>
          <w:rFonts w:ascii="Palatino Linotype" w:eastAsia="Palatino Linotype" w:hAnsi="Palatino Linotype" w:cs="Palatino Linotype"/>
        </w:rPr>
        <w:t xml:space="preserve"> fracción I de la Ley Transparencia y Acceso a la Información Pública, los recursos de revisión fueron turnados en el siguiente orden, a efecto de presentar al Pleno los proyectos de resolución correspondientes.</w:t>
      </w:r>
    </w:p>
    <w:tbl>
      <w:tblPr>
        <w:tblStyle w:val="afff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8E523D" w14:paraId="6E3A37E4" w14:textId="77777777">
        <w:tc>
          <w:tcPr>
            <w:tcW w:w="3256" w:type="dxa"/>
            <w:shd w:val="clear" w:color="auto" w:fill="D9D9D9"/>
          </w:tcPr>
          <w:p w14:paraId="50477B5A" w14:textId="77777777" w:rsidR="008E523D" w:rsidRDefault="00B56496">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Recurso de Revisión </w:t>
            </w:r>
          </w:p>
        </w:tc>
        <w:tc>
          <w:tcPr>
            <w:tcW w:w="5572" w:type="dxa"/>
            <w:shd w:val="clear" w:color="auto" w:fill="D9D9D9"/>
          </w:tcPr>
          <w:p w14:paraId="6153FDBD" w14:textId="77777777" w:rsidR="008E523D" w:rsidRDefault="00B56496">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Comisionada (o) </w:t>
            </w:r>
          </w:p>
        </w:tc>
      </w:tr>
      <w:tr w:rsidR="008E523D" w14:paraId="0072540B" w14:textId="77777777">
        <w:tc>
          <w:tcPr>
            <w:tcW w:w="3256" w:type="dxa"/>
          </w:tcPr>
          <w:p w14:paraId="4A7F05D0" w14:textId="77777777" w:rsidR="008E523D" w:rsidRDefault="00B56496" w:rsidP="001A50CD">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w:t>
            </w:r>
            <w:r w:rsidR="001A50CD">
              <w:rPr>
                <w:rFonts w:ascii="Palatino Linotype" w:eastAsia="Palatino Linotype" w:hAnsi="Palatino Linotype" w:cs="Palatino Linotype"/>
                <w:b/>
                <w:i/>
                <w:sz w:val="22"/>
                <w:szCs w:val="22"/>
              </w:rPr>
              <w:t>5244/INFOEM/AD</w:t>
            </w:r>
            <w:r>
              <w:rPr>
                <w:rFonts w:ascii="Palatino Linotype" w:eastAsia="Palatino Linotype" w:hAnsi="Palatino Linotype" w:cs="Palatino Linotype"/>
                <w:b/>
                <w:i/>
                <w:sz w:val="22"/>
                <w:szCs w:val="22"/>
              </w:rPr>
              <w:t xml:space="preserve">/RR/2022 </w:t>
            </w:r>
          </w:p>
        </w:tc>
        <w:tc>
          <w:tcPr>
            <w:tcW w:w="5572" w:type="dxa"/>
          </w:tcPr>
          <w:p w14:paraId="060ECA44" w14:textId="77777777" w:rsidR="008E523D" w:rsidRDefault="00B56496">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Comisionada Guadalupe Ramírez Peña</w:t>
            </w:r>
          </w:p>
        </w:tc>
      </w:tr>
      <w:tr w:rsidR="008E523D" w14:paraId="014C8B7B" w14:textId="77777777">
        <w:tc>
          <w:tcPr>
            <w:tcW w:w="3256" w:type="dxa"/>
          </w:tcPr>
          <w:p w14:paraId="3D0EEC75" w14:textId="77777777" w:rsidR="008E523D" w:rsidRDefault="00B56496" w:rsidP="001A50CD">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w:t>
            </w:r>
            <w:r w:rsidR="001A50CD">
              <w:rPr>
                <w:rFonts w:ascii="Palatino Linotype" w:eastAsia="Palatino Linotype" w:hAnsi="Palatino Linotype" w:cs="Palatino Linotype"/>
                <w:b/>
                <w:i/>
                <w:sz w:val="22"/>
                <w:szCs w:val="22"/>
              </w:rPr>
              <w:t>5245/INFOEM/AD</w:t>
            </w:r>
            <w:r>
              <w:rPr>
                <w:rFonts w:ascii="Palatino Linotype" w:eastAsia="Palatino Linotype" w:hAnsi="Palatino Linotype" w:cs="Palatino Linotype"/>
                <w:b/>
                <w:i/>
                <w:sz w:val="22"/>
                <w:szCs w:val="22"/>
              </w:rPr>
              <w:t>/RR/2022</w:t>
            </w:r>
          </w:p>
        </w:tc>
        <w:tc>
          <w:tcPr>
            <w:tcW w:w="5572" w:type="dxa"/>
          </w:tcPr>
          <w:p w14:paraId="009222C5" w14:textId="77777777" w:rsidR="008E523D" w:rsidRDefault="00B56496">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Comisionado Presidente José Martínez Vilchis</w:t>
            </w:r>
          </w:p>
        </w:tc>
      </w:tr>
    </w:tbl>
    <w:p w14:paraId="708F8BBA" w14:textId="77777777"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El </w:t>
      </w:r>
      <w:r w:rsidR="00916C54">
        <w:rPr>
          <w:rFonts w:ascii="Palatino Linotype" w:eastAsia="Palatino Linotype" w:hAnsi="Palatino Linotype" w:cs="Palatino Linotype"/>
          <w:b/>
        </w:rPr>
        <w:t>cuatro</w:t>
      </w:r>
      <w:r w:rsidRPr="00916C54">
        <w:rPr>
          <w:rFonts w:ascii="Palatino Linotype" w:eastAsia="Palatino Linotype" w:hAnsi="Palatino Linotype" w:cs="Palatino Linotype"/>
          <w:b/>
        </w:rPr>
        <w:t xml:space="preserve"> y </w:t>
      </w:r>
      <w:r w:rsidR="00916C54">
        <w:rPr>
          <w:rFonts w:ascii="Palatino Linotype" w:eastAsia="Palatino Linotype" w:hAnsi="Palatino Linotype" w:cs="Palatino Linotype"/>
          <w:b/>
        </w:rPr>
        <w:t>cinco</w:t>
      </w:r>
      <w:r w:rsidRPr="00916C54">
        <w:rPr>
          <w:rFonts w:ascii="Palatino Linotype" w:eastAsia="Palatino Linotype" w:hAnsi="Palatino Linotype" w:cs="Palatino Linotype"/>
          <w:b/>
        </w:rPr>
        <w:t xml:space="preserve"> de abril de dos mil veintidós</w:t>
      </w:r>
      <w:r>
        <w:rPr>
          <w:rFonts w:ascii="Palatino Linotype" w:eastAsia="Palatino Linotype" w:hAnsi="Palatino Linotype" w:cs="Palatino Linotype"/>
        </w:rPr>
        <w:t xml:space="preserve">, </w:t>
      </w:r>
      <w:r w:rsidR="001A50CD">
        <w:rPr>
          <w:rFonts w:ascii="Palatino Linotype" w:eastAsia="Palatino Linotype" w:hAnsi="Palatino Linotype" w:cs="Palatino Linotype"/>
        </w:rPr>
        <w:t>atento a lo dispuesto en los artículos 11, 127 y 131 de la Ley de Protección de Datos Personales en Posesión de Sujetos Obligados del Estado de México y Municipios, y el artículo 185, fracciones I, II y IV de la Ley de Transparencia y Acceso a la Información Pública del Estado de México y Municipios de aplicación supletoria, se admitió el presente recurso de revisión a través del acuerdo de admisión respectivo</w:t>
      </w:r>
      <w:r>
        <w:rPr>
          <w:rFonts w:ascii="Palatino Linotype" w:eastAsia="Palatino Linotype" w:hAnsi="Palatino Linotype" w:cs="Palatino Linotype"/>
        </w:rPr>
        <w:t>.</w:t>
      </w:r>
    </w:p>
    <w:p w14:paraId="4DF0640D" w14:textId="77777777"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6. Acumulación. </w:t>
      </w:r>
      <w:r>
        <w:rPr>
          <w:rFonts w:ascii="Palatino Linotype" w:eastAsia="Palatino Linotype" w:hAnsi="Palatino Linotype" w:cs="Palatino Linotype"/>
        </w:rPr>
        <w:t xml:space="preserve">En la </w:t>
      </w:r>
      <w:r>
        <w:rPr>
          <w:rFonts w:ascii="Palatino Linotype" w:eastAsia="Palatino Linotype" w:hAnsi="Palatino Linotype" w:cs="Palatino Linotype"/>
          <w:b/>
        </w:rPr>
        <w:t xml:space="preserve">Décima </w:t>
      </w:r>
      <w:r w:rsidR="00916C54">
        <w:rPr>
          <w:rFonts w:ascii="Palatino Linotype" w:eastAsia="Palatino Linotype" w:hAnsi="Palatino Linotype" w:cs="Palatino Linotype"/>
          <w:b/>
        </w:rPr>
        <w:t>Cuarta</w:t>
      </w:r>
      <w:r>
        <w:rPr>
          <w:rFonts w:ascii="Palatino Linotype" w:eastAsia="Palatino Linotype" w:hAnsi="Palatino Linotype" w:cs="Palatino Linotype"/>
          <w:b/>
        </w:rPr>
        <w:t xml:space="preserve"> Sesión Ordinaria</w:t>
      </w:r>
      <w:r>
        <w:rPr>
          <w:rFonts w:ascii="Palatino Linotype" w:eastAsia="Palatino Linotype" w:hAnsi="Palatino Linotype" w:cs="Palatino Linotype"/>
        </w:rPr>
        <w:t xml:space="preserve"> celebrada el </w:t>
      </w:r>
      <w:r w:rsidR="00916C54">
        <w:rPr>
          <w:rFonts w:ascii="Palatino Linotype" w:eastAsia="Palatino Linotype" w:hAnsi="Palatino Linotype" w:cs="Palatino Linotype"/>
          <w:b/>
        </w:rPr>
        <w:t>veinte</w:t>
      </w:r>
      <w:r>
        <w:rPr>
          <w:rFonts w:ascii="Palatino Linotype" w:eastAsia="Palatino Linotype" w:hAnsi="Palatino Linotype" w:cs="Palatino Linotype"/>
          <w:b/>
        </w:rPr>
        <w:t xml:space="preserve"> de </w:t>
      </w:r>
      <w:r w:rsidR="00916C54">
        <w:rPr>
          <w:rFonts w:ascii="Palatino Linotype" w:eastAsia="Palatino Linotype" w:hAnsi="Palatino Linotype" w:cs="Palatino Linotype"/>
          <w:b/>
        </w:rPr>
        <w:t>abril</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w:t>
      </w:r>
      <w:r w:rsidR="001A50CD">
        <w:rPr>
          <w:rFonts w:ascii="Palatino Linotype" w:eastAsia="Palatino Linotype" w:hAnsi="Palatino Linotype" w:cs="Palatino Linotype"/>
        </w:rPr>
        <w:t xml:space="preserve"> ambos de aplicación supletoria, </w:t>
      </w:r>
      <w:r>
        <w:rPr>
          <w:rFonts w:ascii="Palatino Linotype" w:eastAsia="Palatino Linotype" w:hAnsi="Palatino Linotype" w:cs="Palatino Linotype"/>
        </w:rPr>
        <w:t xml:space="preserve">se acordó la acumulación de los recursos antes señalados, acordando que fuera Ponente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acuerdo notificado a las partes, vía </w:t>
      </w:r>
      <w:r w:rsidR="001A50CD">
        <w:rPr>
          <w:rFonts w:ascii="Palatino Linotype" w:eastAsia="Palatino Linotype" w:hAnsi="Palatino Linotype" w:cs="Palatino Linotype"/>
        </w:rPr>
        <w:t>SARCOEM</w:t>
      </w:r>
      <w:r>
        <w:rPr>
          <w:rFonts w:ascii="Palatino Linotype" w:eastAsia="Palatino Linotype" w:hAnsi="Palatino Linotype" w:cs="Palatino Linotype"/>
        </w:rPr>
        <w:t>.</w:t>
      </w:r>
    </w:p>
    <w:p w14:paraId="1A3B3399" w14:textId="77777777" w:rsidR="008E523D" w:rsidRDefault="00B56496">
      <w:pPr>
        <w:spacing w:before="240" w:after="240" w:line="360" w:lineRule="auto"/>
        <w:jc w:val="both"/>
        <w:rPr>
          <w:rFonts w:ascii="Palatino Linotype" w:eastAsia="Palatino Linotype" w:hAnsi="Palatino Linotype" w:cs="Palatino Linotype"/>
        </w:rPr>
      </w:pPr>
      <w:bookmarkStart w:id="6" w:name="_heading=h.tyjcwt" w:colFirst="0" w:colLast="0"/>
      <w:bookmarkEnd w:id="6"/>
      <w:r>
        <w:rPr>
          <w:rFonts w:ascii="Palatino Linotype" w:eastAsia="Palatino Linotype" w:hAnsi="Palatino Linotype" w:cs="Palatino Linotype"/>
          <w:b/>
        </w:rPr>
        <w:t xml:space="preserve">7. Manifestaciones. </w:t>
      </w:r>
      <w:r w:rsidR="001A50CD">
        <w:rPr>
          <w:rFonts w:ascii="Palatino Linotype" w:eastAsia="Palatino Linotype" w:hAnsi="Palatino Linotype" w:cs="Palatino Linotype"/>
        </w:rPr>
        <w:t xml:space="preserve">En el recurso de revisión </w:t>
      </w:r>
      <w:r w:rsidR="001A50CD" w:rsidRPr="001A50CD">
        <w:rPr>
          <w:rFonts w:ascii="Palatino Linotype" w:eastAsia="Palatino Linotype" w:hAnsi="Palatino Linotype" w:cs="Palatino Linotype"/>
          <w:b/>
        </w:rPr>
        <w:t>05245/INF</w:t>
      </w:r>
      <w:r w:rsidR="001A50CD">
        <w:rPr>
          <w:rFonts w:ascii="Palatino Linotype" w:eastAsia="Palatino Linotype" w:hAnsi="Palatino Linotype" w:cs="Palatino Linotype"/>
          <w:b/>
        </w:rPr>
        <w:t xml:space="preserve">OEM/AD/RR/2022 </w:t>
      </w:r>
      <w:r w:rsidR="001A50CD">
        <w:rPr>
          <w:rFonts w:ascii="Palatino Linotype" w:eastAsia="Palatino Linotype" w:hAnsi="Palatino Linotype" w:cs="Palatino Linotype"/>
        </w:rPr>
        <w:t>e</w:t>
      </w:r>
      <w:r>
        <w:rPr>
          <w:rFonts w:ascii="Palatino Linotype" w:eastAsia="Palatino Linotype" w:hAnsi="Palatino Linotype" w:cs="Palatino Linotype"/>
        </w:rPr>
        <w:t>l</w:t>
      </w:r>
      <w:r w:rsidR="001A50CD">
        <w:rPr>
          <w:rFonts w:ascii="Palatino Linotype" w:eastAsia="Palatino Linotype" w:hAnsi="Palatino Linotype" w:cs="Palatino Linotype"/>
        </w:rPr>
        <w:t xml:space="preserve"> cuatro</w:t>
      </w:r>
      <w:r>
        <w:rPr>
          <w:rFonts w:ascii="Palatino Linotype" w:eastAsia="Palatino Linotype" w:hAnsi="Palatino Linotype" w:cs="Palatino Linotype"/>
        </w:rPr>
        <w:t xml:space="preserve"> de mayo de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1A50CD">
        <w:rPr>
          <w:rFonts w:ascii="Palatino Linotype" w:eastAsia="Palatino Linotype" w:hAnsi="Palatino Linotype" w:cs="Palatino Linotype"/>
        </w:rPr>
        <w:t xml:space="preserve">en la etapa de conciliación adjuntó los documentos que a continuación se describen: </w:t>
      </w:r>
    </w:p>
    <w:p w14:paraId="6C372522" w14:textId="77777777" w:rsidR="001A50CD" w:rsidRPr="001A50CD" w:rsidRDefault="001A50CD" w:rsidP="001A50CD">
      <w:pPr>
        <w:pStyle w:val="Prrafodelista"/>
        <w:numPr>
          <w:ilvl w:val="0"/>
          <w:numId w:val="6"/>
        </w:numPr>
        <w:spacing w:before="240" w:after="240" w:line="360" w:lineRule="auto"/>
        <w:jc w:val="both"/>
        <w:rPr>
          <w:rFonts w:ascii="Palatino Linotype" w:eastAsia="Palatino Linotype" w:hAnsi="Palatino Linotype" w:cs="Palatino Linotype"/>
          <w:b/>
          <w:i/>
        </w:rPr>
      </w:pPr>
      <w:r>
        <w:rPr>
          <w:rFonts w:ascii="Palatino Linotype" w:eastAsia="Palatino Linotype" w:hAnsi="Palatino Linotype" w:cs="Palatino Linotype"/>
          <w:b/>
          <w:i/>
        </w:rPr>
        <w:t>“</w:t>
      </w:r>
      <w:r w:rsidRPr="001A50CD">
        <w:rPr>
          <w:rFonts w:ascii="Palatino Linotype" w:eastAsia="Palatino Linotype" w:hAnsi="Palatino Linotype" w:cs="Palatino Linotype"/>
          <w:b/>
          <w:i/>
        </w:rPr>
        <w:t>evidencia SARCOEM.pdf</w:t>
      </w:r>
      <w:r>
        <w:rPr>
          <w:rFonts w:ascii="Palatino Linotype" w:eastAsia="Palatino Linotype" w:hAnsi="Palatino Linotype" w:cs="Palatino Linotype"/>
          <w:b/>
          <w:i/>
        </w:rPr>
        <w:t xml:space="preserve">”: </w:t>
      </w:r>
      <w:r w:rsidRPr="001A50CD">
        <w:rPr>
          <w:rFonts w:ascii="Palatino Linotype" w:eastAsia="Palatino Linotype" w:hAnsi="Palatino Linotype" w:cs="Palatino Linotype"/>
          <w:sz w:val="24"/>
          <w:szCs w:val="24"/>
        </w:rPr>
        <w:t>Oficio CA/0253/ABRIL/2022 de fecha 05 de abril de 2022</w:t>
      </w:r>
      <w:r>
        <w:rPr>
          <w:rFonts w:ascii="Palatino Linotype" w:eastAsia="Palatino Linotype" w:hAnsi="Palatino Linotype" w:cs="Palatino Linotype"/>
          <w:sz w:val="24"/>
          <w:szCs w:val="24"/>
        </w:rPr>
        <w:t xml:space="preserve"> suscrito por el Jefe de Departamento de Recursos Humanos </w:t>
      </w:r>
      <w:r w:rsidR="0054468A">
        <w:rPr>
          <w:rFonts w:ascii="Palatino Linotype" w:eastAsia="Palatino Linotype" w:hAnsi="Palatino Linotype" w:cs="Palatino Linotype"/>
          <w:sz w:val="24"/>
          <w:szCs w:val="24"/>
        </w:rPr>
        <w:t>en el que refirió la entrega d</w:t>
      </w:r>
      <w:r>
        <w:rPr>
          <w:rFonts w:ascii="Palatino Linotype" w:eastAsia="Palatino Linotype" w:hAnsi="Palatino Linotype" w:cs="Palatino Linotype"/>
          <w:sz w:val="24"/>
          <w:szCs w:val="24"/>
        </w:rPr>
        <w:t xml:space="preserve">el Formato Único de Movimientos de Personal. </w:t>
      </w:r>
    </w:p>
    <w:p w14:paraId="1A987E2B" w14:textId="77777777" w:rsidR="001A50CD" w:rsidRPr="001A50CD" w:rsidRDefault="001A50CD" w:rsidP="001A50CD">
      <w:pPr>
        <w:pStyle w:val="Prrafodelista"/>
        <w:numPr>
          <w:ilvl w:val="0"/>
          <w:numId w:val="6"/>
        </w:numPr>
        <w:spacing w:before="240" w:after="240" w:line="360" w:lineRule="auto"/>
        <w:jc w:val="both"/>
        <w:rPr>
          <w:rFonts w:ascii="Palatino Linotype" w:eastAsia="Palatino Linotype" w:hAnsi="Palatino Linotype" w:cs="Palatino Linotype"/>
          <w:b/>
          <w:i/>
        </w:rPr>
      </w:pPr>
      <w:r>
        <w:rPr>
          <w:rFonts w:ascii="Palatino Linotype" w:eastAsia="Palatino Linotype" w:hAnsi="Palatino Linotype" w:cs="Palatino Linotype"/>
          <w:b/>
          <w:i/>
        </w:rPr>
        <w:t>“</w:t>
      </w:r>
      <w:r w:rsidRPr="001A50CD">
        <w:rPr>
          <w:rFonts w:ascii="Palatino Linotype" w:eastAsia="Palatino Linotype" w:hAnsi="Palatino Linotype" w:cs="Palatino Linotype"/>
          <w:b/>
          <w:i/>
        </w:rPr>
        <w:t>Karla 03 y 04.pdf</w:t>
      </w:r>
      <w:r>
        <w:rPr>
          <w:rFonts w:ascii="Palatino Linotype" w:eastAsia="Palatino Linotype" w:hAnsi="Palatino Linotype" w:cs="Palatino Linotype"/>
          <w:b/>
          <w:i/>
        </w:rPr>
        <w:t>”:</w:t>
      </w:r>
      <w:r>
        <w:rPr>
          <w:rFonts w:ascii="Palatino Linotype" w:eastAsia="Palatino Linotype" w:hAnsi="Palatino Linotype" w:cs="Palatino Linotype"/>
          <w:b/>
        </w:rPr>
        <w:t xml:space="preserve"> </w:t>
      </w:r>
      <w:r w:rsidR="0054468A">
        <w:rPr>
          <w:rFonts w:ascii="Palatino Linotype" w:eastAsia="Palatino Linotype" w:hAnsi="Palatino Linotype" w:cs="Palatino Linotype"/>
        </w:rPr>
        <w:t xml:space="preserve">Contiene el Acuse de recibido del </w:t>
      </w:r>
      <w:r w:rsidR="0054468A">
        <w:rPr>
          <w:rFonts w:ascii="Palatino Linotype" w:eastAsia="Palatino Linotype" w:hAnsi="Palatino Linotype" w:cs="Palatino Linotype"/>
          <w:sz w:val="24"/>
          <w:szCs w:val="24"/>
        </w:rPr>
        <w:t xml:space="preserve">Formato Único de Movimientos de Personal. </w:t>
      </w:r>
    </w:p>
    <w:p w14:paraId="672CF1FD" w14:textId="77777777" w:rsidR="008E523D" w:rsidRPr="0054468A" w:rsidRDefault="005446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el cinco de abril de dos mil veintidós notificó a las partes el Acuerdo de Exhorto a Conciliación. </w:t>
      </w:r>
    </w:p>
    <w:p w14:paraId="424C63DB" w14:textId="77777777" w:rsidR="008E523D" w:rsidRDefault="008E523D">
      <w:pPr>
        <w:spacing w:before="240" w:after="240" w:line="360" w:lineRule="auto"/>
        <w:jc w:val="both"/>
        <w:rPr>
          <w:rFonts w:ascii="Palatino Linotype" w:eastAsia="Palatino Linotype" w:hAnsi="Palatino Linotype" w:cs="Palatino Linotype"/>
        </w:rPr>
      </w:pPr>
    </w:p>
    <w:p w14:paraId="079FA673" w14:textId="77777777" w:rsidR="0054468A" w:rsidRDefault="00B56496" w:rsidP="0054468A">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8. </w:t>
      </w:r>
      <w:r w:rsidR="0054468A">
        <w:rPr>
          <w:rFonts w:ascii="Palatino Linotype" w:eastAsia="Palatino Linotype" w:hAnsi="Palatino Linotype" w:cs="Palatino Linotype"/>
          <w:b/>
        </w:rPr>
        <w:t>Desistimiento de los Recursos de Revisión</w:t>
      </w:r>
      <w:r w:rsidR="0054468A">
        <w:rPr>
          <w:rFonts w:ascii="Palatino Linotype" w:eastAsia="Palatino Linotype" w:hAnsi="Palatino Linotype" w:cs="Palatino Linotype"/>
          <w:b/>
          <w:sz w:val="28"/>
          <w:szCs w:val="28"/>
        </w:rPr>
        <w:t xml:space="preserve">. </w:t>
      </w:r>
      <w:r w:rsidR="0054468A">
        <w:rPr>
          <w:rFonts w:ascii="Palatino Linotype" w:eastAsia="Palatino Linotype" w:hAnsi="Palatino Linotype" w:cs="Palatino Linotype"/>
        </w:rPr>
        <w:t xml:space="preserve">En fecha </w:t>
      </w:r>
      <w:r w:rsidR="0054468A">
        <w:rPr>
          <w:rFonts w:ascii="Palatino Linotype" w:eastAsia="Palatino Linotype" w:hAnsi="Palatino Linotype" w:cs="Palatino Linotype"/>
          <w:b/>
        </w:rPr>
        <w:t>diez de abril de dos mil veintidós</w:t>
      </w:r>
      <w:r w:rsidR="0054468A" w:rsidRPr="00D812DB">
        <w:rPr>
          <w:rFonts w:ascii="Palatino Linotype" w:eastAsia="Palatino Linotype" w:hAnsi="Palatino Linotype" w:cs="Palatino Linotype"/>
        </w:rPr>
        <w:t xml:space="preserve">, la </w:t>
      </w:r>
      <w:r w:rsidR="0054468A" w:rsidRPr="00D812DB">
        <w:rPr>
          <w:rFonts w:ascii="Palatino Linotype" w:eastAsia="Palatino Linotype" w:hAnsi="Palatino Linotype" w:cs="Palatino Linotype"/>
          <w:b/>
        </w:rPr>
        <w:t>R</w:t>
      </w:r>
      <w:r w:rsidR="0054468A">
        <w:rPr>
          <w:rFonts w:ascii="Palatino Linotype" w:eastAsia="Palatino Linotype" w:hAnsi="Palatino Linotype" w:cs="Palatino Linotype"/>
          <w:b/>
        </w:rPr>
        <w:t>ECURRENTE</w:t>
      </w:r>
      <w:r w:rsidR="0054468A">
        <w:rPr>
          <w:rFonts w:ascii="Palatino Linotype" w:eastAsia="Palatino Linotype" w:hAnsi="Palatino Linotype" w:cs="Palatino Linotype"/>
        </w:rPr>
        <w:t xml:space="preserve"> se desistió vía el SARCOEM del presente medio de impugnación, como se muestra enseguida:  </w:t>
      </w:r>
    </w:p>
    <w:p w14:paraId="12C12DBF" w14:textId="7256D3F4" w:rsidR="0054468A" w:rsidRDefault="00451A3D">
      <w:pPr>
        <w:widowControl w:val="0"/>
        <w:spacing w:before="240" w:after="240" w:line="360" w:lineRule="auto"/>
        <w:jc w:val="both"/>
        <w:rPr>
          <w:rFonts w:ascii="Palatino Linotype" w:eastAsia="Palatino Linotype" w:hAnsi="Palatino Linotype" w:cs="Palatino Linotype"/>
          <w:b/>
        </w:rPr>
      </w:pPr>
      <w:r w:rsidRPr="00451A3D">
        <w:rPr>
          <w:rFonts w:ascii="Palatino Linotype" w:eastAsia="Palatino Linotype" w:hAnsi="Palatino Linotype" w:cs="Palatino Linotype"/>
          <w:b/>
        </w:rPr>
        <w:drawing>
          <wp:inline distT="0" distB="0" distL="0" distR="0" wp14:anchorId="080E1D3F" wp14:editId="2084B90E">
            <wp:extent cx="5601482" cy="225774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01482" cy="2257740"/>
                    </a:xfrm>
                    <a:prstGeom prst="rect">
                      <a:avLst/>
                    </a:prstGeom>
                  </pic:spPr>
                </pic:pic>
              </a:graphicData>
            </a:graphic>
          </wp:inline>
        </w:drawing>
      </w:r>
    </w:p>
    <w:p w14:paraId="1804B30F" w14:textId="1F88DE36" w:rsidR="0054468A" w:rsidRDefault="004041FE">
      <w:pPr>
        <w:widowControl w:val="0"/>
        <w:spacing w:before="240" w:after="240" w:line="360" w:lineRule="auto"/>
        <w:jc w:val="both"/>
        <w:rPr>
          <w:rFonts w:ascii="Palatino Linotype" w:eastAsia="Palatino Linotype" w:hAnsi="Palatino Linotype" w:cs="Palatino Linotype"/>
          <w:b/>
        </w:rPr>
      </w:pPr>
      <w:r w:rsidRPr="004041FE">
        <w:rPr>
          <w:rFonts w:ascii="Palatino Linotype" w:eastAsia="Palatino Linotype" w:hAnsi="Palatino Linotype" w:cs="Palatino Linotype"/>
          <w:b/>
        </w:rPr>
        <w:drawing>
          <wp:inline distT="0" distB="0" distL="0" distR="0" wp14:anchorId="60C16ED8" wp14:editId="77C63B44">
            <wp:extent cx="5572903" cy="1991003"/>
            <wp:effectExtent l="0" t="0" r="889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72903" cy="1991003"/>
                    </a:xfrm>
                    <a:prstGeom prst="rect">
                      <a:avLst/>
                    </a:prstGeom>
                  </pic:spPr>
                </pic:pic>
              </a:graphicData>
            </a:graphic>
          </wp:inline>
        </w:drawing>
      </w:r>
    </w:p>
    <w:p w14:paraId="09AC5BE7" w14:textId="77777777" w:rsidR="008E523D" w:rsidRDefault="0054468A">
      <w:pPr>
        <w:widowControl w:val="0"/>
        <w:spacing w:before="240" w:after="240" w:line="360" w:lineRule="auto"/>
        <w:jc w:val="both"/>
        <w:rPr>
          <w:rFonts w:ascii="Palatino Linotype" w:eastAsia="Palatino Linotype" w:hAnsi="Palatino Linotype" w:cs="Palatino Linotype"/>
        </w:rPr>
      </w:pPr>
      <w:bookmarkStart w:id="7" w:name="_GoBack"/>
      <w:bookmarkEnd w:id="7"/>
      <w:r>
        <w:rPr>
          <w:rFonts w:ascii="Palatino Linotype" w:eastAsia="Palatino Linotype" w:hAnsi="Palatino Linotype" w:cs="Palatino Linotype"/>
          <w:b/>
        </w:rPr>
        <w:t xml:space="preserve">9. </w:t>
      </w:r>
      <w:r w:rsidR="00B56496">
        <w:rPr>
          <w:rFonts w:ascii="Palatino Linotype" w:eastAsia="Palatino Linotype" w:hAnsi="Palatino Linotype" w:cs="Palatino Linotype"/>
          <w:b/>
        </w:rPr>
        <w:t xml:space="preserve">Cierre de Instrucción. </w:t>
      </w:r>
      <w:r w:rsidR="00B56496">
        <w:rPr>
          <w:rFonts w:ascii="Palatino Linotype" w:eastAsia="Palatino Linotype" w:hAnsi="Palatino Linotype" w:cs="Palatino Linotype"/>
        </w:rPr>
        <w:t xml:space="preserve">El </w:t>
      </w:r>
      <w:r w:rsidR="002727CD">
        <w:rPr>
          <w:rFonts w:ascii="Palatino Linotype" w:eastAsia="Palatino Linotype" w:hAnsi="Palatino Linotype" w:cs="Palatino Linotype"/>
          <w:b/>
        </w:rPr>
        <w:t>cinco de jul</w:t>
      </w:r>
      <w:r w:rsidR="00B56496" w:rsidRPr="00253658">
        <w:rPr>
          <w:rFonts w:ascii="Palatino Linotype" w:eastAsia="Palatino Linotype" w:hAnsi="Palatino Linotype" w:cs="Palatino Linotype"/>
          <w:b/>
        </w:rPr>
        <w:t xml:space="preserve">io </w:t>
      </w:r>
      <w:r w:rsidR="00B56496">
        <w:rPr>
          <w:rFonts w:ascii="Palatino Linotype" w:eastAsia="Palatino Linotype" w:hAnsi="Palatino Linotype" w:cs="Palatino Linotype"/>
          <w:b/>
        </w:rPr>
        <w:t>del año dos mil veintidós</w:t>
      </w:r>
      <w:r w:rsidR="00B56496">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al no existir trámite pendiente por realizar y haber sido sustanciados los medios de impugnación se </w:t>
      </w:r>
      <w:r w:rsidR="00B56496">
        <w:rPr>
          <w:rFonts w:ascii="Palatino Linotype" w:eastAsia="Palatino Linotype" w:hAnsi="Palatino Linotype" w:cs="Palatino Linotype"/>
        </w:rPr>
        <w:lastRenderedPageBreak/>
        <w:t>acordó el cierre de instrucción y se procede a formular la resolución que en derecho corresponda.</w:t>
      </w:r>
    </w:p>
    <w:p w14:paraId="344E5262" w14:textId="77777777" w:rsidR="008E523D" w:rsidRDefault="0054468A">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10</w:t>
      </w:r>
      <w:r w:rsidR="00B56496">
        <w:rPr>
          <w:rFonts w:ascii="Palatino Linotype" w:eastAsia="Palatino Linotype" w:hAnsi="Palatino Linotype" w:cs="Palatino Linotype"/>
          <w:b/>
        </w:rPr>
        <w:t xml:space="preserve">. Ampliación del plazo para emitir </w:t>
      </w:r>
      <w:r w:rsidR="00B56496" w:rsidRPr="00253658">
        <w:rPr>
          <w:rFonts w:ascii="Palatino Linotype" w:eastAsia="Palatino Linotype" w:hAnsi="Palatino Linotype" w:cs="Palatino Linotype"/>
          <w:b/>
        </w:rPr>
        <w:t xml:space="preserve">resolución. </w:t>
      </w:r>
      <w:r w:rsidR="00B56496" w:rsidRPr="00253658">
        <w:rPr>
          <w:rFonts w:ascii="Palatino Linotype" w:eastAsia="Palatino Linotype" w:hAnsi="Palatino Linotype" w:cs="Palatino Linotype"/>
        </w:rPr>
        <w:t xml:space="preserve">El </w:t>
      </w:r>
      <w:r w:rsidR="002727CD">
        <w:rPr>
          <w:rFonts w:ascii="Palatino Linotype" w:eastAsia="Palatino Linotype" w:hAnsi="Palatino Linotype" w:cs="Palatino Linotype"/>
          <w:b/>
        </w:rPr>
        <w:t>cinco</w:t>
      </w:r>
      <w:r w:rsidR="00253658" w:rsidRPr="00253658">
        <w:rPr>
          <w:rFonts w:ascii="Palatino Linotype" w:eastAsia="Palatino Linotype" w:hAnsi="Palatino Linotype" w:cs="Palatino Linotype"/>
          <w:b/>
        </w:rPr>
        <w:t xml:space="preserve"> de ju</w:t>
      </w:r>
      <w:r w:rsidR="002727CD">
        <w:rPr>
          <w:rFonts w:ascii="Palatino Linotype" w:eastAsia="Palatino Linotype" w:hAnsi="Palatino Linotype" w:cs="Palatino Linotype"/>
          <w:b/>
        </w:rPr>
        <w:t>l</w:t>
      </w:r>
      <w:r w:rsidR="00253658" w:rsidRPr="00253658">
        <w:rPr>
          <w:rFonts w:ascii="Palatino Linotype" w:eastAsia="Palatino Linotype" w:hAnsi="Palatino Linotype" w:cs="Palatino Linotype"/>
          <w:b/>
        </w:rPr>
        <w:t>io de dos mil</w:t>
      </w:r>
      <w:r w:rsidR="00B56496" w:rsidRPr="00253658">
        <w:rPr>
          <w:rFonts w:ascii="Palatino Linotype" w:eastAsia="Palatino Linotype" w:hAnsi="Palatino Linotype" w:cs="Palatino Linotype"/>
          <w:b/>
        </w:rPr>
        <w:t xml:space="preserve"> veintidós</w:t>
      </w:r>
      <w:r w:rsidR="00B56496" w:rsidRPr="00253658">
        <w:rPr>
          <w:rFonts w:ascii="Palatino Linotype" w:eastAsia="Palatino Linotype" w:hAnsi="Palatino Linotype" w:cs="Palatino Linotype"/>
        </w:rPr>
        <w:t>, este Instituto con fundamento en el artículo 181, párrafo</w:t>
      </w:r>
      <w:r w:rsidR="00B56496">
        <w:rPr>
          <w:rFonts w:ascii="Palatino Linotype" w:eastAsia="Palatino Linotype" w:hAnsi="Palatino Linotype" w:cs="Palatino Linotype"/>
        </w:rPr>
        <w:t xml:space="preserve"> tercero, de la Ley de Transparencia y Acceso a la Información Pública del Estado de México y Municipios, determinó ampliar el plazo para emitir la presente resolución</w:t>
      </w:r>
      <w:r w:rsidR="00151D4F">
        <w:rPr>
          <w:rFonts w:ascii="Palatino Linotype" w:eastAsia="Palatino Linotype" w:hAnsi="Palatino Linotype" w:cs="Palatino Linotype"/>
        </w:rPr>
        <w:t>.</w:t>
      </w:r>
    </w:p>
    <w:p w14:paraId="3BBB4C8C" w14:textId="77777777" w:rsidR="00151D4F" w:rsidRPr="0054468A" w:rsidRDefault="00151D4F" w:rsidP="00151D4F">
      <w:pPr>
        <w:spacing w:line="360" w:lineRule="auto"/>
        <w:jc w:val="both"/>
        <w:rPr>
          <w:rFonts w:ascii="Palatino Linotype" w:eastAsia="Calibri" w:hAnsi="Palatino Linotype"/>
          <w:lang w:val="es-MX" w:eastAsia="en-US"/>
        </w:rPr>
      </w:pPr>
      <w:r w:rsidRPr="0054468A">
        <w:rPr>
          <w:rFonts w:ascii="Palatino Linotype" w:eastAsia="Calibri" w:hAnsi="Palatino Linotype"/>
          <w:lang w:val="es-MX" w:eastAsia="en-US"/>
        </w:rPr>
        <w:t>Este organismo garante no pasa por alto justificar, que el plazo pare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B7473A0" w14:textId="77777777" w:rsidR="00151D4F" w:rsidRPr="0054468A" w:rsidRDefault="00151D4F" w:rsidP="00151D4F">
      <w:pPr>
        <w:spacing w:line="360" w:lineRule="auto"/>
        <w:jc w:val="both"/>
        <w:rPr>
          <w:rFonts w:ascii="Palatino Linotype" w:eastAsia="Calibri" w:hAnsi="Palatino Linotype"/>
          <w:lang w:val="es-MX" w:eastAsia="en-US"/>
        </w:rPr>
      </w:pPr>
    </w:p>
    <w:p w14:paraId="5D846FA7" w14:textId="77777777" w:rsidR="00151D4F" w:rsidRPr="0054468A" w:rsidRDefault="00151D4F" w:rsidP="00151D4F">
      <w:pPr>
        <w:spacing w:line="360" w:lineRule="auto"/>
        <w:jc w:val="both"/>
        <w:rPr>
          <w:rFonts w:ascii="Palatino Linotype" w:eastAsia="Calibri" w:hAnsi="Palatino Linotype"/>
          <w:lang w:val="es-MX" w:eastAsia="en-US"/>
        </w:rPr>
      </w:pPr>
      <w:r w:rsidRPr="0054468A">
        <w:rPr>
          <w:rFonts w:ascii="Palatino Linotype" w:eastAsia="Calibri" w:hAnsi="Palatino Linotype"/>
          <w:lang w:val="es-MX" w:eastAsia="en-US"/>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CBC5227" w14:textId="77777777" w:rsidR="00151D4F" w:rsidRPr="0054468A" w:rsidRDefault="00151D4F" w:rsidP="00151D4F">
      <w:pPr>
        <w:spacing w:line="360" w:lineRule="auto"/>
        <w:jc w:val="both"/>
        <w:rPr>
          <w:rFonts w:ascii="Palatino Linotype" w:eastAsia="Calibri" w:hAnsi="Palatino Linotype"/>
          <w:lang w:val="es-MX" w:eastAsia="en-US"/>
        </w:rPr>
      </w:pPr>
    </w:p>
    <w:p w14:paraId="1FA87F02" w14:textId="77777777" w:rsidR="00151D4F" w:rsidRPr="0054468A" w:rsidRDefault="00151D4F" w:rsidP="00151D4F">
      <w:pPr>
        <w:spacing w:line="360" w:lineRule="auto"/>
        <w:jc w:val="both"/>
        <w:rPr>
          <w:rFonts w:ascii="Palatino Linotype" w:eastAsia="Calibri" w:hAnsi="Palatino Linotype"/>
          <w:lang w:val="es-MX" w:eastAsia="en-US"/>
        </w:rPr>
      </w:pPr>
      <w:r w:rsidRPr="0054468A">
        <w:rPr>
          <w:rFonts w:ascii="Palatino Linotype" w:eastAsia="Calibri" w:hAnsi="Palatino Linotype"/>
          <w:lang w:val="es-MX"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E1D253A" w14:textId="77777777" w:rsidR="00151D4F" w:rsidRPr="0054468A" w:rsidRDefault="00151D4F" w:rsidP="00151D4F">
      <w:pPr>
        <w:spacing w:line="360" w:lineRule="auto"/>
        <w:jc w:val="both"/>
        <w:rPr>
          <w:rFonts w:ascii="Palatino Linotype" w:eastAsia="Calibri" w:hAnsi="Palatino Linotype"/>
          <w:lang w:val="es-MX" w:eastAsia="en-US"/>
        </w:rPr>
      </w:pPr>
    </w:p>
    <w:p w14:paraId="5F29F012" w14:textId="77777777" w:rsidR="00151D4F" w:rsidRPr="0054468A" w:rsidRDefault="00151D4F" w:rsidP="00151D4F">
      <w:pPr>
        <w:spacing w:line="360" w:lineRule="auto"/>
        <w:jc w:val="both"/>
        <w:rPr>
          <w:rFonts w:ascii="Palatino Linotype" w:eastAsia="Calibri" w:hAnsi="Palatino Linotype"/>
          <w:lang w:val="es-MX" w:eastAsia="en-US"/>
        </w:rPr>
      </w:pPr>
      <w:r w:rsidRPr="0054468A">
        <w:rPr>
          <w:rFonts w:ascii="Palatino Linotype" w:eastAsia="Calibri" w:hAnsi="Palatino Linotype"/>
          <w:lang w:val="es-MX"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6EBBFBF" w14:textId="77777777" w:rsidR="00151D4F" w:rsidRPr="0054468A" w:rsidRDefault="00151D4F" w:rsidP="00151D4F">
      <w:pPr>
        <w:spacing w:line="360" w:lineRule="auto"/>
        <w:jc w:val="both"/>
        <w:rPr>
          <w:rFonts w:ascii="Palatino Linotype" w:eastAsia="Calibri" w:hAnsi="Palatino Linotype"/>
          <w:lang w:val="es-MX" w:eastAsia="en-US"/>
        </w:rPr>
      </w:pPr>
    </w:p>
    <w:p w14:paraId="7D280116" w14:textId="77777777" w:rsidR="00151D4F" w:rsidRPr="0054468A" w:rsidRDefault="00151D4F" w:rsidP="00151D4F">
      <w:pPr>
        <w:spacing w:line="360" w:lineRule="auto"/>
        <w:jc w:val="both"/>
        <w:rPr>
          <w:rFonts w:ascii="Palatino Linotype" w:eastAsia="Calibri" w:hAnsi="Palatino Linotype"/>
          <w:strike/>
          <w:color w:val="FF0000"/>
          <w:lang w:val="es-MX" w:eastAsia="en-US"/>
        </w:rPr>
      </w:pPr>
      <w:r w:rsidRPr="0054468A">
        <w:rPr>
          <w:rFonts w:ascii="Palatino Linotype" w:eastAsia="Calibri" w:hAnsi="Palatino Linotype"/>
          <w:lang w:val="es-MX" w:eastAsia="en-US"/>
        </w:rPr>
        <w:t>Por ello, excepcionalmente, si un asunto es resuelto con posterioridad a los plazos señalados por la norma debe analizarse la razonabilidad del tiempo necesario para su resolución</w:t>
      </w:r>
      <w:r w:rsidR="0054468A">
        <w:rPr>
          <w:rFonts w:ascii="Palatino Linotype" w:eastAsia="Calibri" w:hAnsi="Palatino Linotype"/>
          <w:lang w:val="es-MX" w:eastAsia="en-US"/>
        </w:rPr>
        <w:t>,</w:t>
      </w:r>
      <w:r w:rsidRPr="0054468A">
        <w:rPr>
          <w:rFonts w:ascii="Palatino Linotype" w:eastAsia="Calibri" w:hAnsi="Palatino Linotype"/>
          <w:lang w:val="es-MX" w:eastAsia="en-US"/>
        </w:rPr>
        <w:t xml:space="preserve"> atentos a los siguientes criterios: </w:t>
      </w:r>
    </w:p>
    <w:p w14:paraId="02BEAF1E" w14:textId="77777777" w:rsidR="00151D4F" w:rsidRPr="0054468A" w:rsidRDefault="00151D4F" w:rsidP="00151D4F">
      <w:pPr>
        <w:spacing w:line="360" w:lineRule="auto"/>
        <w:jc w:val="both"/>
        <w:rPr>
          <w:rFonts w:ascii="Palatino Linotype" w:eastAsia="Calibri" w:hAnsi="Palatino Linotype"/>
          <w:lang w:val="es-MX" w:eastAsia="en-US"/>
        </w:rPr>
      </w:pPr>
    </w:p>
    <w:p w14:paraId="6850CAC4" w14:textId="77777777" w:rsidR="00151D4F" w:rsidRPr="0054468A" w:rsidRDefault="00151D4F" w:rsidP="00151D4F">
      <w:pPr>
        <w:numPr>
          <w:ilvl w:val="0"/>
          <w:numId w:val="5"/>
        </w:numPr>
        <w:spacing w:after="160" w:line="360" w:lineRule="auto"/>
        <w:contextualSpacing/>
        <w:jc w:val="both"/>
        <w:rPr>
          <w:rFonts w:ascii="Palatino Linotype" w:hAnsi="Palatino Linotype"/>
        </w:rPr>
      </w:pPr>
      <w:r w:rsidRPr="0054468A">
        <w:rPr>
          <w:rFonts w:ascii="Palatino Linotype" w:hAnsi="Palatino Linotype"/>
        </w:rPr>
        <w:t xml:space="preserve">Complejidad del Asunto: La complejidad de la prueba, la pluralidad de sujetos procesales, el tiempo transcurrido, las características y contexto del recurso. </w:t>
      </w:r>
    </w:p>
    <w:p w14:paraId="7E7FBC3C" w14:textId="77777777" w:rsidR="00151D4F" w:rsidRPr="0054468A" w:rsidRDefault="00151D4F" w:rsidP="00151D4F">
      <w:pPr>
        <w:spacing w:line="360" w:lineRule="auto"/>
        <w:ind w:left="927"/>
        <w:jc w:val="both"/>
        <w:rPr>
          <w:rFonts w:ascii="Palatino Linotype" w:hAnsi="Palatino Linotype"/>
        </w:rPr>
      </w:pPr>
    </w:p>
    <w:p w14:paraId="05654462" w14:textId="77777777" w:rsidR="00151D4F" w:rsidRPr="0054468A" w:rsidRDefault="00151D4F" w:rsidP="00151D4F">
      <w:pPr>
        <w:numPr>
          <w:ilvl w:val="0"/>
          <w:numId w:val="5"/>
        </w:numPr>
        <w:spacing w:after="160" w:line="360" w:lineRule="auto"/>
        <w:contextualSpacing/>
        <w:jc w:val="both"/>
        <w:rPr>
          <w:rFonts w:ascii="Palatino Linotype" w:hAnsi="Palatino Linotype"/>
        </w:rPr>
      </w:pPr>
      <w:r w:rsidRPr="0054468A">
        <w:rPr>
          <w:rFonts w:ascii="Palatino Linotype" w:hAnsi="Palatino Linotype"/>
        </w:rPr>
        <w:t>Actividad Procesal del interesado. Acciones u omisiones del interesado.</w:t>
      </w:r>
    </w:p>
    <w:p w14:paraId="18FD1D60" w14:textId="77777777" w:rsidR="00151D4F" w:rsidRPr="0054468A" w:rsidRDefault="00151D4F" w:rsidP="00151D4F">
      <w:pPr>
        <w:spacing w:line="360" w:lineRule="auto"/>
        <w:jc w:val="both"/>
        <w:rPr>
          <w:rFonts w:ascii="Palatino Linotype" w:eastAsia="Calibri" w:hAnsi="Palatino Linotype"/>
          <w:lang w:val="es-MX" w:eastAsia="en-US"/>
        </w:rPr>
      </w:pPr>
    </w:p>
    <w:p w14:paraId="415CA113" w14:textId="77777777" w:rsidR="00151D4F" w:rsidRPr="0054468A" w:rsidRDefault="00151D4F" w:rsidP="00151D4F">
      <w:pPr>
        <w:numPr>
          <w:ilvl w:val="0"/>
          <w:numId w:val="5"/>
        </w:numPr>
        <w:spacing w:after="160" w:line="360" w:lineRule="auto"/>
        <w:contextualSpacing/>
        <w:jc w:val="both"/>
        <w:rPr>
          <w:rFonts w:ascii="Palatino Linotype" w:hAnsi="Palatino Linotype"/>
        </w:rPr>
      </w:pPr>
      <w:r w:rsidRPr="0054468A">
        <w:rPr>
          <w:rFonts w:ascii="Palatino Linotype" w:hAnsi="Palatino Linotype"/>
        </w:rPr>
        <w:t>Conducta de la Autoridad: Las Acciones u omisiones realizadas en el procedimiento. Así como si la autoridad actuó con la debida diligencia.</w:t>
      </w:r>
    </w:p>
    <w:p w14:paraId="199C2E65" w14:textId="77777777" w:rsidR="00151D4F" w:rsidRPr="0054468A" w:rsidRDefault="00151D4F" w:rsidP="00151D4F">
      <w:pPr>
        <w:spacing w:line="360" w:lineRule="auto"/>
        <w:ind w:left="708"/>
        <w:rPr>
          <w:rFonts w:ascii="Palatino Linotype" w:hAnsi="Palatino Linotype"/>
        </w:rPr>
      </w:pPr>
    </w:p>
    <w:p w14:paraId="17ACA007" w14:textId="77777777" w:rsidR="00151D4F" w:rsidRPr="0054468A" w:rsidRDefault="00151D4F" w:rsidP="00151D4F">
      <w:pPr>
        <w:spacing w:line="360" w:lineRule="auto"/>
        <w:ind w:left="567"/>
        <w:jc w:val="both"/>
        <w:rPr>
          <w:rFonts w:ascii="Palatino Linotype" w:eastAsia="Calibri" w:hAnsi="Palatino Linotype"/>
          <w:lang w:val="es-MX" w:eastAsia="en-US"/>
        </w:rPr>
      </w:pPr>
      <w:r w:rsidRPr="0054468A">
        <w:rPr>
          <w:rFonts w:ascii="Palatino Linotype" w:eastAsia="Calibri" w:hAnsi="Palatino Linotype"/>
          <w:lang w:val="es-MX" w:eastAsia="en-US"/>
        </w:rPr>
        <w:lastRenderedPageBreak/>
        <w:t>d) La afectación generada en la situación jurídica de la persona involucrada en el proceso: Violación a sus derechos humanos.</w:t>
      </w:r>
    </w:p>
    <w:p w14:paraId="5483DD05" w14:textId="77777777" w:rsidR="00151D4F" w:rsidRPr="0054468A" w:rsidRDefault="00151D4F" w:rsidP="00151D4F">
      <w:pPr>
        <w:spacing w:line="360" w:lineRule="auto"/>
        <w:jc w:val="both"/>
        <w:rPr>
          <w:rFonts w:ascii="Palatino Linotype" w:eastAsia="Calibri" w:hAnsi="Palatino Linotype"/>
          <w:lang w:val="es-MX" w:eastAsia="en-US"/>
        </w:rPr>
      </w:pPr>
    </w:p>
    <w:p w14:paraId="61C2F6A9" w14:textId="77777777" w:rsidR="00151D4F" w:rsidRPr="0054468A" w:rsidRDefault="00151D4F" w:rsidP="00151D4F">
      <w:pPr>
        <w:spacing w:line="360" w:lineRule="auto"/>
        <w:jc w:val="both"/>
        <w:rPr>
          <w:rFonts w:ascii="Palatino Linotype" w:eastAsia="Calibri" w:hAnsi="Palatino Linotype"/>
          <w:lang w:val="es-MX" w:eastAsia="en-US"/>
        </w:rPr>
      </w:pPr>
      <w:r w:rsidRPr="0054468A">
        <w:rPr>
          <w:rFonts w:ascii="Palatino Linotype" w:eastAsia="Calibri" w:hAnsi="Palatino Linotype"/>
          <w:lang w:val="es-MX"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F7D962D" w14:textId="77777777" w:rsidR="00151D4F" w:rsidRPr="0054468A" w:rsidRDefault="00151D4F" w:rsidP="00151D4F">
      <w:pPr>
        <w:spacing w:line="360" w:lineRule="auto"/>
        <w:jc w:val="both"/>
        <w:rPr>
          <w:rFonts w:ascii="Palatino Linotype" w:eastAsia="Calibri" w:hAnsi="Palatino Linotype"/>
          <w:lang w:val="es-MX" w:eastAsia="en-US"/>
        </w:rPr>
      </w:pPr>
    </w:p>
    <w:p w14:paraId="5FF6FB96" w14:textId="77777777" w:rsidR="00151D4F" w:rsidRPr="0054468A" w:rsidRDefault="00151D4F" w:rsidP="00151D4F">
      <w:pPr>
        <w:spacing w:line="360" w:lineRule="auto"/>
        <w:jc w:val="both"/>
        <w:rPr>
          <w:rFonts w:ascii="Palatino Linotype" w:eastAsia="Calibri" w:hAnsi="Palatino Linotype"/>
          <w:b/>
          <w:lang w:val="es-MX" w:eastAsia="en-US"/>
        </w:rPr>
      </w:pPr>
      <w:r w:rsidRPr="0054468A">
        <w:rPr>
          <w:rFonts w:ascii="Palatino Linotype" w:eastAsia="Calibri" w:hAnsi="Palatino Linotype"/>
          <w:lang w:val="es-MX" w:eastAsia="en-US"/>
        </w:rPr>
        <w:t xml:space="preserve">Argumento que encuentra sustento en la jurisprudencia P./J. 32/92 emitida por el Pleno de la Suprema Corte de Justicia de la Nación de rubro </w:t>
      </w:r>
      <w:r w:rsidRPr="0054468A">
        <w:rPr>
          <w:rFonts w:ascii="Palatino Linotype" w:eastAsia="Calibri" w:hAnsi="Palatino Linotype"/>
          <w:i/>
          <w:lang w:val="es-MX" w:eastAsia="en-US"/>
        </w:rPr>
        <w:t>“TÉRMINOS PROCESALES. PARA DETERMINAR SI UN FUNCIONARIO JUDICIAL ACTUÓ INDEBIDAMENTE POR NO RESPETARLOS SE DEBE ATENDER AL PRESUPUESTO QUE CONSIDERÓ EL LEGISLADOR AL FIJARLOS Y LAS CARACTERÍSTICAS DEL CASO.”</w:t>
      </w:r>
      <w:r w:rsidRPr="0054468A">
        <w:rPr>
          <w:rFonts w:ascii="Palatino Linotype" w:eastAsia="Calibri" w:hAnsi="Palatino Linotype"/>
          <w:lang w:val="es-MX" w:eastAsia="en-US"/>
        </w:rPr>
        <w:t>, visible en la Gaceta del Seminario Judicial de la Federación con el registro digital 205635.</w:t>
      </w:r>
    </w:p>
    <w:p w14:paraId="211E8F06" w14:textId="77777777" w:rsidR="00151D4F" w:rsidRPr="0054468A" w:rsidRDefault="00151D4F" w:rsidP="00151D4F">
      <w:pPr>
        <w:spacing w:line="360" w:lineRule="auto"/>
        <w:jc w:val="both"/>
        <w:rPr>
          <w:rFonts w:ascii="Palatino Linotype" w:eastAsia="Calibri" w:hAnsi="Palatino Linotype"/>
          <w:lang w:val="es-MX" w:eastAsia="en-US"/>
        </w:rPr>
      </w:pPr>
    </w:p>
    <w:p w14:paraId="2C619161" w14:textId="77777777" w:rsidR="00151D4F" w:rsidRPr="0054468A" w:rsidRDefault="00151D4F" w:rsidP="00151D4F">
      <w:pPr>
        <w:spacing w:line="360" w:lineRule="auto"/>
        <w:jc w:val="both"/>
        <w:rPr>
          <w:rFonts w:ascii="Palatino Linotype" w:eastAsia="Calibri" w:hAnsi="Palatino Linotype"/>
          <w:lang w:val="es-MX" w:eastAsia="en-US"/>
        </w:rPr>
      </w:pPr>
      <w:r w:rsidRPr="0054468A">
        <w:rPr>
          <w:rFonts w:ascii="Palatino Linotype" w:eastAsia="Calibri" w:hAnsi="Palatino Linotype"/>
          <w:lang w:val="es-MX"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54468A">
        <w:rPr>
          <w:rFonts w:ascii="Palatino Linotype" w:eastAsia="Calibri" w:hAnsi="Palatino Linotype"/>
          <w:lang w:val="es-MX" w:eastAsia="en-US"/>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612F28E" w14:textId="77777777" w:rsidR="00151D4F" w:rsidRPr="0054468A" w:rsidRDefault="00151D4F" w:rsidP="00151D4F">
      <w:pPr>
        <w:spacing w:line="360" w:lineRule="auto"/>
        <w:jc w:val="both"/>
        <w:rPr>
          <w:rFonts w:ascii="Palatino Linotype" w:eastAsia="Calibri" w:hAnsi="Palatino Linotype"/>
          <w:lang w:val="es-MX" w:eastAsia="en-US"/>
        </w:rPr>
      </w:pPr>
    </w:p>
    <w:p w14:paraId="0FF013E5" w14:textId="77777777" w:rsidR="00151D4F" w:rsidRPr="0054468A" w:rsidRDefault="00151D4F" w:rsidP="00151D4F">
      <w:pPr>
        <w:spacing w:line="360" w:lineRule="auto"/>
        <w:jc w:val="both"/>
        <w:rPr>
          <w:rFonts w:ascii="Palatino Linotype" w:eastAsia="Calibri" w:hAnsi="Palatino Linotype"/>
          <w:lang w:val="es-MX" w:eastAsia="en-US"/>
        </w:rPr>
      </w:pPr>
      <w:r w:rsidRPr="0054468A">
        <w:rPr>
          <w:rFonts w:ascii="Palatino Linotype" w:eastAsia="Calibri" w:hAnsi="Palatino Linotype"/>
          <w:lang w:val="es-MX" w:eastAsia="en-US"/>
        </w:rPr>
        <w:t>Al respecto, también son de considerar los criterios sostenidos por el Cuarto Tribunal Colegiado en Materia Administrativa del Primer Circuito, cuyos rubros y datos de identificación son los siguientes:</w:t>
      </w:r>
    </w:p>
    <w:p w14:paraId="0837F7A9" w14:textId="77777777" w:rsidR="00151D4F" w:rsidRPr="0054468A" w:rsidRDefault="00151D4F" w:rsidP="00151D4F">
      <w:pPr>
        <w:spacing w:line="360" w:lineRule="auto"/>
        <w:jc w:val="both"/>
        <w:rPr>
          <w:rFonts w:ascii="Palatino Linotype" w:eastAsia="Calibri" w:hAnsi="Palatino Linotype"/>
          <w:lang w:val="es-MX" w:eastAsia="en-US"/>
        </w:rPr>
      </w:pPr>
    </w:p>
    <w:p w14:paraId="6624BC19" w14:textId="77777777" w:rsidR="00151D4F" w:rsidRPr="0054468A" w:rsidRDefault="00151D4F" w:rsidP="00151D4F">
      <w:pPr>
        <w:spacing w:line="360" w:lineRule="auto"/>
        <w:jc w:val="both"/>
        <w:rPr>
          <w:rFonts w:ascii="Palatino Linotype" w:eastAsia="Calibri" w:hAnsi="Palatino Linotype"/>
          <w:lang w:val="es-MX" w:eastAsia="en-US"/>
        </w:rPr>
      </w:pPr>
      <w:r w:rsidRPr="0054468A">
        <w:rPr>
          <w:rFonts w:ascii="Palatino Linotype" w:eastAsia="Calibri" w:hAnsi="Palatino Linotype"/>
          <w:lang w:val="es-MX" w:eastAsia="en-US"/>
        </w:rPr>
        <w:t xml:space="preserve"> </w:t>
      </w:r>
      <w:r w:rsidRPr="0054468A">
        <w:rPr>
          <w:rFonts w:ascii="Palatino Linotype" w:eastAsia="Calibri" w:hAnsi="Palatino Linotype"/>
          <w:i/>
          <w:lang w:val="es-MX" w:eastAsia="en-US"/>
        </w:rPr>
        <w:t>“PLAZO RAZONABLE PARA RESOLVER. DIMENSIÓN Y EFECTOS DE ESTE CONCEPTO CUANDO SE ADUCE EXCESIVA CARGA DE TRABAJO.”</w:t>
      </w:r>
      <w:r w:rsidRPr="0054468A">
        <w:rPr>
          <w:rFonts w:ascii="Palatino Linotype" w:eastAsia="Calibri" w:hAnsi="Palatino Linotype"/>
          <w:lang w:val="es-MX" w:eastAsia="en-US"/>
        </w:rPr>
        <w:t xml:space="preserve"> consultable en el Seminario Judicial de la Federación y su gaceta, con el registro digital 2002351.</w:t>
      </w:r>
    </w:p>
    <w:p w14:paraId="2A5103A5" w14:textId="77777777" w:rsidR="00151D4F" w:rsidRPr="0054468A" w:rsidRDefault="00151D4F" w:rsidP="00151D4F">
      <w:pPr>
        <w:spacing w:line="360" w:lineRule="auto"/>
        <w:jc w:val="both"/>
        <w:rPr>
          <w:rFonts w:ascii="Palatino Linotype" w:eastAsia="Calibri" w:hAnsi="Palatino Linotype"/>
          <w:b/>
          <w:lang w:val="es-MX" w:eastAsia="en-US"/>
        </w:rPr>
      </w:pPr>
    </w:p>
    <w:p w14:paraId="01058E63" w14:textId="77777777" w:rsidR="00151D4F" w:rsidRPr="0054468A" w:rsidRDefault="00151D4F" w:rsidP="00151D4F">
      <w:pPr>
        <w:spacing w:line="360" w:lineRule="auto"/>
        <w:jc w:val="both"/>
        <w:rPr>
          <w:rFonts w:ascii="Palatino Linotype" w:eastAsia="Calibri" w:hAnsi="Palatino Linotype"/>
          <w:lang w:val="es-MX" w:eastAsia="en-US"/>
        </w:rPr>
      </w:pPr>
      <w:r w:rsidRPr="0054468A">
        <w:rPr>
          <w:rFonts w:ascii="Palatino Linotype" w:eastAsia="Calibri" w:hAnsi="Palatino Linotype"/>
          <w:i/>
          <w:lang w:val="es-MX" w:eastAsia="en-US"/>
        </w:rPr>
        <w:t>“PLAZO RAZONABLE PARA RESOLVER. CONCEPTO Y ELEMENTOS QUE LO INTEGRAN A LA LUZ DEL DERECHO INTERNACIONAL DE LOS DERECHOS HUMANOS.”</w:t>
      </w:r>
      <w:r w:rsidRPr="0054468A">
        <w:rPr>
          <w:rFonts w:ascii="Palatino Linotype" w:eastAsia="Calibri" w:hAnsi="Palatino Linotype"/>
          <w:lang w:val="es-MX" w:eastAsia="en-US"/>
        </w:rPr>
        <w:t>, visible en el Seminario Judicial de la Federación y su gaceta, con el registro digital 2002350.</w:t>
      </w:r>
    </w:p>
    <w:p w14:paraId="4D341D58" w14:textId="77777777" w:rsidR="00151D4F" w:rsidRPr="0054468A" w:rsidRDefault="00151D4F" w:rsidP="00151D4F">
      <w:pPr>
        <w:spacing w:line="360" w:lineRule="auto"/>
        <w:jc w:val="both"/>
        <w:rPr>
          <w:rFonts w:ascii="Palatino Linotype" w:eastAsia="Calibri" w:hAnsi="Palatino Linotype"/>
          <w:lang w:val="es-MX" w:eastAsia="en-US"/>
        </w:rPr>
      </w:pPr>
    </w:p>
    <w:p w14:paraId="63568758" w14:textId="77777777" w:rsidR="00151D4F" w:rsidRPr="0079301B" w:rsidRDefault="00151D4F" w:rsidP="00151D4F">
      <w:pPr>
        <w:spacing w:line="360" w:lineRule="auto"/>
        <w:jc w:val="both"/>
        <w:rPr>
          <w:rFonts w:ascii="Palatino Linotype" w:eastAsia="Calibri" w:hAnsi="Palatino Linotype"/>
          <w:lang w:val="es-MX" w:eastAsia="en-US"/>
        </w:rPr>
      </w:pPr>
      <w:r w:rsidRPr="0054468A">
        <w:rPr>
          <w:rFonts w:ascii="Palatino Linotype" w:eastAsia="Calibri" w:hAnsi="Palatino Linotype"/>
          <w:lang w:val="es-MX" w:eastAsia="en-US"/>
        </w:rPr>
        <w:t>Por ello, este organismo garante comprometido con la tutela de los derechos humanos confiados, señala que este plazo legal para resolver el presente asunto, resulta de carácter excepcional.</w:t>
      </w:r>
    </w:p>
    <w:p w14:paraId="09932020" w14:textId="77777777"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razón de que fueron debidamente sustanciados los expedientes electrónicos y no existe diligencia pendiente de desahogo, se emite la Resolución que conforme a Derecho proceda, de acuerdo con los siguientes:</w:t>
      </w:r>
    </w:p>
    <w:p w14:paraId="6C442757" w14:textId="77777777" w:rsidR="008E523D" w:rsidRDefault="00B56496">
      <w:pP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14:paraId="0DA62BE5" w14:textId="77777777" w:rsidR="0054468A" w:rsidRDefault="00817434" w:rsidP="0054468A">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PRIMERO</w:t>
      </w:r>
      <w:r w:rsidR="0054468A">
        <w:rPr>
          <w:rFonts w:ascii="Palatino Linotype" w:eastAsia="Palatino Linotype" w:hAnsi="Palatino Linotype" w:cs="Palatino Linotype"/>
          <w:b/>
        </w:rPr>
        <w:t xml:space="preserve">. Competencia. </w:t>
      </w:r>
      <w:r w:rsidR="0054468A">
        <w:rPr>
          <w:rFonts w:ascii="Palatino Linotype" w:eastAsia="Palatino Linotype" w:hAnsi="Palatino Linotype" w:cs="Palatino Linotype"/>
          <w:highlight w:val="white"/>
        </w:rPr>
        <w:t>El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vigésimo, vigésimo primero y vigésimo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3AEEAA43" w14:textId="77777777" w:rsidR="0054468A" w:rsidRDefault="00817434" w:rsidP="0054468A">
      <w:pPr>
        <w:spacing w:before="240" w:after="240" w:line="360" w:lineRule="auto"/>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b/>
        </w:rPr>
        <w:t>SEGUNDO</w:t>
      </w:r>
      <w:r w:rsidR="0054468A">
        <w:rPr>
          <w:rFonts w:ascii="Palatino Linotype" w:eastAsia="Palatino Linotype" w:hAnsi="Palatino Linotype" w:cs="Palatino Linotype"/>
          <w:b/>
        </w:rPr>
        <w:t>. Oportunidad</w:t>
      </w:r>
      <w:r w:rsidR="0054468A">
        <w:rPr>
          <w:rFonts w:ascii="Palatino Linotype" w:eastAsia="Palatino Linotype" w:hAnsi="Palatino Linotype" w:cs="Palatino Linotype"/>
        </w:rPr>
        <w:t>. Los</w:t>
      </w:r>
      <w:r w:rsidR="0054468A">
        <w:rPr>
          <w:rFonts w:ascii="Palatino Linotype" w:eastAsia="Palatino Linotype" w:hAnsi="Palatino Linotype" w:cs="Palatino Linotype"/>
          <w:color w:val="222222"/>
          <w:highlight w:val="white"/>
        </w:rPr>
        <w:t xml:space="preserve"> recursos de revisión fueron interpuestos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71069D69" w14:textId="77777777" w:rsidR="0054468A" w:rsidRDefault="0054468A" w:rsidP="0054468A">
      <w:pPr>
        <w:spacing w:line="276" w:lineRule="auto"/>
        <w:ind w:left="709" w:right="1134"/>
        <w:jc w:val="both"/>
        <w:rPr>
          <w:rFonts w:ascii="Palatino Linotype" w:eastAsia="Palatino Linotype" w:hAnsi="Palatino Linotype" w:cs="Palatino Linotype"/>
          <w:i/>
          <w:color w:val="222222"/>
          <w:highlight w:val="white"/>
        </w:rPr>
      </w:pPr>
      <w:r>
        <w:rPr>
          <w:rFonts w:ascii="Palatino Linotype" w:eastAsia="Palatino Linotype" w:hAnsi="Palatino Linotype" w:cs="Palatino Linotype"/>
          <w:i/>
          <w:color w:val="222222"/>
          <w:highlight w:val="white"/>
        </w:rPr>
        <w:lastRenderedPageBreak/>
        <w:t>“</w:t>
      </w:r>
      <w:r>
        <w:rPr>
          <w:rFonts w:ascii="Palatino Linotype" w:eastAsia="Palatino Linotype" w:hAnsi="Palatino Linotype" w:cs="Palatino Linotype"/>
          <w:b/>
          <w:i/>
          <w:color w:val="222222"/>
          <w:highlight w:val="white"/>
        </w:rPr>
        <w:t>Artículo 128.</w:t>
      </w:r>
      <w:r>
        <w:rPr>
          <w:rFonts w:ascii="Palatino Linotype" w:eastAsia="Palatino Linotype" w:hAnsi="Palatino Linotype" w:cs="Palatino Linotype"/>
          <w:i/>
          <w:color w:val="222222"/>
          <w:highlight w:val="white"/>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w:t>
      </w:r>
      <w:r>
        <w:rPr>
          <w:rFonts w:ascii="Palatino Linotype" w:eastAsia="Palatino Linotype" w:hAnsi="Palatino Linotype" w:cs="Palatino Linotype"/>
          <w:b/>
          <w:i/>
          <w:color w:val="222222"/>
          <w:highlight w:val="white"/>
        </w:rPr>
        <w:t>no podrá exceder de quince días contados a partir del siguiente a la fecha de la notificación de la respuesta</w:t>
      </w:r>
      <w:r>
        <w:rPr>
          <w:rFonts w:ascii="Palatino Linotype" w:eastAsia="Palatino Linotype" w:hAnsi="Palatino Linotype" w:cs="Palatino Linotype"/>
          <w:i/>
          <w:color w:val="222222"/>
          <w:highlight w:val="white"/>
        </w:rPr>
        <w:t xml:space="preserve">. </w:t>
      </w:r>
    </w:p>
    <w:p w14:paraId="25D1B384" w14:textId="77777777" w:rsidR="0054468A" w:rsidRDefault="0054468A" w:rsidP="0054468A">
      <w:pPr>
        <w:tabs>
          <w:tab w:val="left" w:pos="2460"/>
        </w:tabs>
        <w:spacing w:line="276" w:lineRule="auto"/>
        <w:ind w:left="709" w:right="1134"/>
        <w:jc w:val="both"/>
        <w:rPr>
          <w:rFonts w:ascii="Palatino Linotype" w:eastAsia="Palatino Linotype" w:hAnsi="Palatino Linotype" w:cs="Palatino Linotype"/>
          <w:i/>
          <w:color w:val="222222"/>
          <w:highlight w:val="white"/>
        </w:rPr>
      </w:pPr>
      <w:r>
        <w:rPr>
          <w:rFonts w:ascii="Palatino Linotype" w:eastAsia="Palatino Linotype" w:hAnsi="Palatino Linotype" w:cs="Palatino Linotype"/>
          <w:i/>
          <w:color w:val="222222"/>
          <w:highlight w:val="white"/>
        </w:rPr>
        <w:tab/>
      </w:r>
    </w:p>
    <w:p w14:paraId="78E097DB" w14:textId="77777777" w:rsidR="0054468A" w:rsidRDefault="0054468A" w:rsidP="0054468A">
      <w:pPr>
        <w:spacing w:line="276" w:lineRule="auto"/>
        <w:ind w:left="709" w:right="1134"/>
        <w:jc w:val="both"/>
        <w:rPr>
          <w:rFonts w:ascii="Palatino Linotype" w:eastAsia="Palatino Linotype" w:hAnsi="Palatino Linotype" w:cs="Palatino Linotype"/>
          <w:i/>
          <w:color w:val="222222"/>
          <w:highlight w:val="white"/>
        </w:rPr>
      </w:pPr>
      <w:r>
        <w:rPr>
          <w:rFonts w:ascii="Palatino Linotype" w:eastAsia="Palatino Linotype" w:hAnsi="Palatino Linotype" w:cs="Palatino Linotype"/>
          <w:i/>
          <w:color w:val="222222"/>
          <w:highlight w:val="white"/>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14:paraId="5B2EA2A5" w14:textId="77777777" w:rsidR="0054468A" w:rsidRDefault="0054468A" w:rsidP="0054468A">
      <w:pPr>
        <w:ind w:left="709"/>
        <w:jc w:val="both"/>
        <w:rPr>
          <w:rFonts w:ascii="Palatino Linotype" w:eastAsia="Palatino Linotype" w:hAnsi="Palatino Linotype" w:cs="Palatino Linotype"/>
          <w:i/>
          <w:color w:val="222222"/>
          <w:highlight w:val="white"/>
        </w:rPr>
      </w:pPr>
    </w:p>
    <w:p w14:paraId="272277F9" w14:textId="77777777" w:rsidR="0054468A" w:rsidRDefault="0054468A" w:rsidP="0054468A">
      <w:pPr>
        <w:spacing w:before="240" w:after="240" w:line="360" w:lineRule="auto"/>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color w:val="222222"/>
          <w:highlight w:val="white"/>
        </w:rPr>
        <w:t xml:space="preserve">En esa tesitura, atendiendo a que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sidR="00817434">
        <w:rPr>
          <w:rFonts w:ascii="Palatino Linotype" w:eastAsia="Palatino Linotype" w:hAnsi="Palatino Linotype" w:cs="Palatino Linotype"/>
          <w:b/>
        </w:rPr>
        <w:t>SUJETO OBLIGADO</w:t>
      </w:r>
      <w:r w:rsidR="00817434">
        <w:rPr>
          <w:rFonts w:ascii="Palatino Linotype" w:eastAsia="Palatino Linotype" w:hAnsi="Palatino Linotype" w:cs="Palatino Linotype"/>
          <w:color w:val="222222"/>
          <w:highlight w:val="white"/>
        </w:rPr>
        <w:t xml:space="preserve"> </w:t>
      </w:r>
      <w:r>
        <w:rPr>
          <w:rFonts w:ascii="Palatino Linotype" w:eastAsia="Palatino Linotype" w:hAnsi="Palatino Linotype" w:cs="Palatino Linotype"/>
          <w:color w:val="222222"/>
          <w:highlight w:val="white"/>
        </w:rPr>
        <w:t>notificó la</w:t>
      </w:r>
      <w:r w:rsidR="00817434">
        <w:rPr>
          <w:rFonts w:ascii="Palatino Linotype" w:eastAsia="Palatino Linotype" w:hAnsi="Palatino Linotype" w:cs="Palatino Linotype"/>
          <w:color w:val="222222"/>
          <w:highlight w:val="white"/>
        </w:rPr>
        <w:t>s</w:t>
      </w:r>
      <w:r>
        <w:rPr>
          <w:rFonts w:ascii="Palatino Linotype" w:eastAsia="Palatino Linotype" w:hAnsi="Palatino Linotype" w:cs="Palatino Linotype"/>
          <w:color w:val="222222"/>
          <w:highlight w:val="white"/>
        </w:rPr>
        <w:t xml:space="preserve"> respuesta</w:t>
      </w:r>
      <w:r w:rsidR="00817434">
        <w:rPr>
          <w:rFonts w:ascii="Palatino Linotype" w:eastAsia="Palatino Linotype" w:hAnsi="Palatino Linotype" w:cs="Palatino Linotype"/>
          <w:color w:val="222222"/>
          <w:highlight w:val="white"/>
        </w:rPr>
        <w:t>s</w:t>
      </w:r>
      <w:r>
        <w:rPr>
          <w:rFonts w:ascii="Palatino Linotype" w:eastAsia="Palatino Linotype" w:hAnsi="Palatino Linotype" w:cs="Palatino Linotype"/>
          <w:color w:val="222222"/>
          <w:highlight w:val="white"/>
        </w:rPr>
        <w:t xml:space="preserve"> a la</w:t>
      </w:r>
      <w:r w:rsidR="00817434">
        <w:rPr>
          <w:rFonts w:ascii="Palatino Linotype" w:eastAsia="Palatino Linotype" w:hAnsi="Palatino Linotype" w:cs="Palatino Linotype"/>
          <w:color w:val="222222"/>
          <w:highlight w:val="white"/>
        </w:rPr>
        <w:t>s</w:t>
      </w:r>
      <w:r>
        <w:rPr>
          <w:rFonts w:ascii="Palatino Linotype" w:eastAsia="Palatino Linotype" w:hAnsi="Palatino Linotype" w:cs="Palatino Linotype"/>
          <w:color w:val="222222"/>
          <w:highlight w:val="white"/>
        </w:rPr>
        <w:t xml:space="preserve"> solicitud</w:t>
      </w:r>
      <w:r w:rsidR="00817434">
        <w:rPr>
          <w:rFonts w:ascii="Palatino Linotype" w:eastAsia="Palatino Linotype" w:hAnsi="Palatino Linotype" w:cs="Palatino Linotype"/>
          <w:color w:val="222222"/>
          <w:highlight w:val="white"/>
        </w:rPr>
        <w:t>es</w:t>
      </w:r>
      <w:r>
        <w:rPr>
          <w:rFonts w:ascii="Palatino Linotype" w:eastAsia="Palatino Linotype" w:hAnsi="Palatino Linotype" w:cs="Palatino Linotype"/>
          <w:color w:val="222222"/>
          <w:highlight w:val="white"/>
        </w:rPr>
        <w:t xml:space="preserve"> de acceso a datos personales el día </w:t>
      </w:r>
      <w:r>
        <w:rPr>
          <w:rFonts w:ascii="Palatino Linotype" w:eastAsia="Palatino Linotype" w:hAnsi="Palatino Linotype" w:cs="Palatino Linotype"/>
          <w:b/>
          <w:color w:val="222222"/>
          <w:highlight w:val="white"/>
        </w:rPr>
        <w:t>veinticuatro de marzo de dos mil veintidós</w:t>
      </w:r>
      <w:r>
        <w:rPr>
          <w:rFonts w:ascii="Palatino Linotype" w:eastAsia="Palatino Linotype" w:hAnsi="Palatino Linotype" w:cs="Palatino Linotype"/>
          <w:color w:val="222222"/>
          <w:highlight w:val="white"/>
        </w:rPr>
        <w:t>; así, el plazo de quince días hábiles que el artículo 128 de la Ley de Protección de Datos Personales en Posesión de Sujetos Obligados del Estado de México y Municipios otorgó a</w:t>
      </w:r>
      <w:r w:rsidRPr="00A02732">
        <w:rPr>
          <w:rFonts w:ascii="Palatino Linotype" w:eastAsia="Palatino Linotype" w:hAnsi="Palatino Linotype" w:cs="Palatino Linotype"/>
          <w:color w:val="222222"/>
        </w:rPr>
        <w:t xml:space="preserve"> la </w:t>
      </w:r>
      <w:r w:rsidR="00817434">
        <w:rPr>
          <w:rFonts w:ascii="Palatino Linotype" w:eastAsia="Palatino Linotype" w:hAnsi="Palatino Linotype" w:cs="Palatino Linotype"/>
          <w:b/>
          <w:color w:val="222222"/>
          <w:highlight w:val="white"/>
        </w:rPr>
        <w:t>RECURRENTE</w:t>
      </w:r>
      <w:r w:rsidR="00817434">
        <w:rPr>
          <w:rFonts w:ascii="Palatino Linotype" w:eastAsia="Palatino Linotype" w:hAnsi="Palatino Linotype" w:cs="Palatino Linotype"/>
          <w:color w:val="222222"/>
          <w:highlight w:val="white"/>
        </w:rPr>
        <w:t xml:space="preserve"> </w:t>
      </w:r>
      <w:r>
        <w:rPr>
          <w:rFonts w:ascii="Palatino Linotype" w:eastAsia="Palatino Linotype" w:hAnsi="Palatino Linotype" w:cs="Palatino Linotype"/>
          <w:color w:val="222222"/>
          <w:highlight w:val="white"/>
        </w:rPr>
        <w:t>para presentar el recurso de revisión, transcurrió del veinticinco de marzo al veintiuno de abril de dos mil veintidós, ejerciéndolo al cuarto día hábil, en términos de 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w:t>
      </w:r>
    </w:p>
    <w:p w14:paraId="706151BD" w14:textId="77777777" w:rsidR="0054468A" w:rsidRPr="00A02732" w:rsidRDefault="0054468A" w:rsidP="0054468A">
      <w:pPr>
        <w:spacing w:before="240" w:after="240" w:line="360" w:lineRule="auto"/>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color w:val="222222"/>
          <w:highlight w:val="white"/>
        </w:rPr>
        <w:t xml:space="preserve">En ese tenor, si el recurso de revisión que nos ocupa, se interpuso el día </w:t>
      </w:r>
      <w:r>
        <w:rPr>
          <w:rFonts w:ascii="Palatino Linotype" w:eastAsia="Palatino Linotype" w:hAnsi="Palatino Linotype" w:cs="Palatino Linotype"/>
          <w:b/>
          <w:color w:val="222222"/>
          <w:highlight w:val="white"/>
        </w:rPr>
        <w:t>treinta de marzo de dos mil veintidós</w:t>
      </w:r>
      <w:r>
        <w:rPr>
          <w:rFonts w:ascii="Palatino Linotype" w:eastAsia="Palatino Linotype" w:hAnsi="Palatino Linotype" w:cs="Palatino Linotype"/>
          <w:color w:val="222222"/>
          <w:highlight w:val="white"/>
        </w:rPr>
        <w:t xml:space="preserve">, éste se encuentra dentro de los márgenes temporales </w:t>
      </w:r>
      <w:r>
        <w:rPr>
          <w:rFonts w:ascii="Palatino Linotype" w:eastAsia="Palatino Linotype" w:hAnsi="Palatino Linotype" w:cs="Palatino Linotype"/>
          <w:color w:val="222222"/>
          <w:highlight w:val="white"/>
        </w:rPr>
        <w:lastRenderedPageBreak/>
        <w:t>previstos en el artículo 128 de la Ley de Protección de Datos Personales en Posesión de Sujetos Obligados del Estado de México y Municipios y, por tanto, su interposición se considera oportuna.</w:t>
      </w:r>
    </w:p>
    <w:p w14:paraId="6089A809" w14:textId="77777777" w:rsidR="0054468A" w:rsidRPr="00A02732" w:rsidRDefault="00817434" w:rsidP="0054468A">
      <w:pPr>
        <w:spacing w:before="240" w:after="240" w:line="360" w:lineRule="auto"/>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b/>
        </w:rPr>
        <w:t>TERCERO</w:t>
      </w:r>
      <w:r w:rsidR="0054468A">
        <w:rPr>
          <w:rFonts w:ascii="Palatino Linotype" w:eastAsia="Palatino Linotype" w:hAnsi="Palatino Linotype" w:cs="Palatino Linotype"/>
          <w:b/>
        </w:rPr>
        <w:t xml:space="preserve">. </w:t>
      </w:r>
      <w:r w:rsidR="0054468A">
        <w:rPr>
          <w:rFonts w:ascii="Palatino Linotype" w:eastAsia="Palatino Linotype" w:hAnsi="Palatino Linotype" w:cs="Palatino Linotype"/>
          <w:b/>
          <w:color w:val="222222"/>
          <w:highlight w:val="white"/>
        </w:rPr>
        <w:t>Análisis de la causal de sobreseimiento.</w:t>
      </w:r>
      <w:r w:rsidR="0054468A">
        <w:rPr>
          <w:rFonts w:ascii="Palatino Linotype" w:eastAsia="Palatino Linotype" w:hAnsi="Palatino Linotype" w:cs="Palatino Linotype"/>
        </w:rPr>
        <w:t xml:space="preserve"> E</w:t>
      </w:r>
      <w:r w:rsidR="0054468A">
        <w:rPr>
          <w:rFonts w:ascii="Palatino Linotype" w:eastAsia="Palatino Linotype" w:hAnsi="Palatino Linotype" w:cs="Palatino Linotype"/>
          <w:color w:val="000000"/>
        </w:rPr>
        <w:t xml:space="preserve">l artículo 139, fracción I de la Ley de Protección de Datos Personales en Posesión de Sujetos Obligados del Estado de México y Municipios </w:t>
      </w:r>
      <w:r w:rsidR="0054468A">
        <w:rPr>
          <w:rFonts w:ascii="Palatino Linotype" w:eastAsia="Palatino Linotype" w:hAnsi="Palatino Linotype" w:cs="Palatino Linotype"/>
        </w:rPr>
        <w:t>señala que el recurso de revisión será sobreseído cuando</w:t>
      </w:r>
      <w:r w:rsidR="0054468A">
        <w:rPr>
          <w:rFonts w:ascii="Palatino Linotype" w:eastAsia="Palatino Linotype" w:hAnsi="Palatino Linotype" w:cs="Palatino Linotype"/>
          <w:color w:val="000000"/>
        </w:rPr>
        <w:t>: </w:t>
      </w:r>
    </w:p>
    <w:p w14:paraId="1C003C29" w14:textId="77777777" w:rsidR="0054468A" w:rsidRDefault="0054468A" w:rsidP="0054468A">
      <w:pPr>
        <w:pBdr>
          <w:top w:val="nil"/>
          <w:left w:val="nil"/>
          <w:bottom w:val="nil"/>
          <w:right w:val="nil"/>
          <w:between w:val="nil"/>
        </w:pBdr>
        <w:ind w:right="51"/>
        <w:jc w:val="both"/>
        <w:rPr>
          <w:color w:val="000000"/>
        </w:rPr>
      </w:pPr>
    </w:p>
    <w:p w14:paraId="5010B108" w14:textId="77777777" w:rsidR="0054468A" w:rsidRDefault="0054468A" w:rsidP="0054468A">
      <w:pPr>
        <w:pBdr>
          <w:top w:val="nil"/>
          <w:left w:val="nil"/>
          <w:bottom w:val="nil"/>
          <w:right w:val="nil"/>
          <w:between w:val="nil"/>
        </w:pBdr>
        <w:spacing w:line="276" w:lineRule="auto"/>
        <w:ind w:left="1134" w:right="51"/>
        <w:jc w:val="both"/>
        <w:rPr>
          <w:color w:val="000000"/>
        </w:rPr>
      </w:pPr>
      <w:r>
        <w:rPr>
          <w:rFonts w:ascii="Palatino Linotype" w:eastAsia="Palatino Linotype" w:hAnsi="Palatino Linotype" w:cs="Palatino Linotype"/>
          <w:b/>
          <w:i/>
          <w:color w:val="000000"/>
          <w:sz w:val="22"/>
          <w:szCs w:val="22"/>
        </w:rPr>
        <w:t xml:space="preserve">“Artículo 139. </w:t>
      </w:r>
      <w:r>
        <w:rPr>
          <w:rFonts w:ascii="Palatino Linotype" w:eastAsia="Palatino Linotype" w:hAnsi="Palatino Linotype" w:cs="Palatino Linotype"/>
          <w:i/>
          <w:color w:val="000000"/>
          <w:sz w:val="22"/>
          <w:szCs w:val="22"/>
        </w:rPr>
        <w:t>El recurso de revisión sólo podrá ser sobreseído cuando:</w:t>
      </w:r>
    </w:p>
    <w:p w14:paraId="2B646C54" w14:textId="77777777" w:rsidR="0054468A" w:rsidRPr="00A02732" w:rsidRDefault="0054468A" w:rsidP="0054468A">
      <w:pPr>
        <w:pStyle w:val="Prrafodelista"/>
        <w:numPr>
          <w:ilvl w:val="0"/>
          <w:numId w:val="7"/>
        </w:numPr>
        <w:pBdr>
          <w:top w:val="nil"/>
          <w:left w:val="nil"/>
          <w:bottom w:val="nil"/>
          <w:right w:val="nil"/>
          <w:between w:val="nil"/>
        </w:pBdr>
        <w:spacing w:line="276" w:lineRule="auto"/>
        <w:ind w:right="51" w:firstLine="196"/>
        <w:jc w:val="both"/>
        <w:rPr>
          <w:rFonts w:ascii="Palatino Linotype" w:eastAsia="Palatino Linotype" w:hAnsi="Palatino Linotype" w:cs="Palatino Linotype"/>
          <w:i/>
          <w:color w:val="000000"/>
        </w:rPr>
      </w:pPr>
      <w:r w:rsidRPr="00A02732">
        <w:rPr>
          <w:rFonts w:ascii="Palatino Linotype" w:eastAsia="Palatino Linotype" w:hAnsi="Palatino Linotype" w:cs="Palatino Linotype"/>
          <w:i/>
          <w:color w:val="000000"/>
        </w:rPr>
        <w:t>El recurrente se desista expresamente.”</w:t>
      </w:r>
    </w:p>
    <w:p w14:paraId="469CA5FC" w14:textId="77777777" w:rsidR="0054468A" w:rsidRDefault="0054468A" w:rsidP="0054468A">
      <w:pPr>
        <w:pBdr>
          <w:top w:val="nil"/>
          <w:left w:val="nil"/>
          <w:bottom w:val="nil"/>
          <w:right w:val="nil"/>
          <w:between w:val="nil"/>
        </w:pBdr>
        <w:spacing w:line="276" w:lineRule="auto"/>
        <w:ind w:right="51"/>
        <w:jc w:val="both"/>
        <w:rPr>
          <w:rFonts w:ascii="Palatino Linotype" w:eastAsia="Palatino Linotype" w:hAnsi="Palatino Linotype" w:cs="Palatino Linotype"/>
          <w:i/>
          <w:color w:val="000000"/>
          <w:sz w:val="22"/>
          <w:szCs w:val="22"/>
        </w:rPr>
      </w:pPr>
    </w:p>
    <w:p w14:paraId="02989BBA" w14:textId="77777777" w:rsidR="0054468A" w:rsidRDefault="0054468A" w:rsidP="005446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susceptible de análisis la actualización del supuesto jurídico previsto en la </w:t>
      </w:r>
      <w:r w:rsidRPr="00EB76BB">
        <w:rPr>
          <w:rFonts w:ascii="Palatino Linotype" w:eastAsia="Palatino Linotype" w:hAnsi="Palatino Linotype" w:cs="Palatino Linotype"/>
        </w:rPr>
        <w:t xml:space="preserve">fracción I, del artículo 139, de la Ley en cita, mismo que dispone que el Recurso de Revisión será sobreseído cuando </w:t>
      </w:r>
      <w:r w:rsidRPr="00EB76BB">
        <w:rPr>
          <w:rFonts w:ascii="Palatino Linotype" w:eastAsia="Palatino Linotype" w:hAnsi="Palatino Linotype" w:cs="Palatino Linotype"/>
          <w:b/>
        </w:rPr>
        <w:t>el Recurrente se desista expresamente</w:t>
      </w:r>
      <w:r w:rsidRPr="00EB76BB">
        <w:rPr>
          <w:rFonts w:ascii="Palatino Linotype" w:eastAsia="Palatino Linotype" w:hAnsi="Palatino Linotype" w:cs="Palatino Linotype"/>
        </w:rPr>
        <w:t xml:space="preserve">. Ello, toda vez que </w:t>
      </w:r>
      <w:r w:rsidRPr="006B15C0">
        <w:rPr>
          <w:rFonts w:ascii="Palatino Linotype" w:eastAsia="Palatino Linotype" w:hAnsi="Palatino Linotype" w:cs="Palatino Linotype"/>
        </w:rPr>
        <w:t xml:space="preserve">la parte </w:t>
      </w:r>
      <w:r w:rsidR="00817434" w:rsidRPr="00EB76BB">
        <w:rPr>
          <w:rFonts w:ascii="Palatino Linotype" w:eastAsia="Palatino Linotype" w:hAnsi="Palatino Linotype" w:cs="Palatino Linotype"/>
          <w:b/>
        </w:rPr>
        <w:t>RECURRENTE</w:t>
      </w:r>
      <w:r w:rsidR="00817434" w:rsidRPr="00EB76BB">
        <w:rPr>
          <w:rFonts w:ascii="Palatino Linotype" w:eastAsia="Palatino Linotype" w:hAnsi="Palatino Linotype" w:cs="Palatino Linotype"/>
        </w:rPr>
        <w:t xml:space="preserve"> </w:t>
      </w:r>
      <w:r w:rsidRPr="00EB76BB">
        <w:rPr>
          <w:rFonts w:ascii="Palatino Linotype" w:eastAsia="Palatino Linotype" w:hAnsi="Palatino Linotype" w:cs="Palatino Linotype"/>
        </w:rPr>
        <w:t>en fecha diez de abril de dos mil veintidós, a través del SARCOEM se desistió expresamente del presente</w:t>
      </w:r>
      <w:r>
        <w:rPr>
          <w:rFonts w:ascii="Palatino Linotype" w:eastAsia="Palatino Linotype" w:hAnsi="Palatino Linotype" w:cs="Palatino Linotype"/>
        </w:rPr>
        <w:t xml:space="preserve"> Recurso de Revisión.</w:t>
      </w:r>
    </w:p>
    <w:p w14:paraId="339AE69E" w14:textId="77777777" w:rsidR="0054468A" w:rsidRDefault="0054468A" w:rsidP="0054468A">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efecto, se aprecia que </w:t>
      </w:r>
      <w:r w:rsidR="00817434">
        <w:rPr>
          <w:rFonts w:ascii="Palatino Linotype" w:eastAsia="Palatino Linotype" w:hAnsi="Palatino Linotype" w:cs="Palatino Linotype"/>
        </w:rPr>
        <w:t>la</w:t>
      </w:r>
      <w:r>
        <w:rPr>
          <w:rFonts w:ascii="Palatino Linotype" w:eastAsia="Palatino Linotype" w:hAnsi="Palatino Linotype" w:cs="Palatino Linotype"/>
        </w:rPr>
        <w:t xml:space="preserve"> Particular </w:t>
      </w:r>
      <w:r>
        <w:rPr>
          <w:rFonts w:ascii="Palatino Linotype" w:eastAsia="Palatino Linotype" w:hAnsi="Palatino Linotype" w:cs="Palatino Linotype"/>
          <w:b/>
        </w:rPr>
        <w:t>manifestó expresamente su voluntad de desistirse del Recurso de Revisión</w:t>
      </w:r>
      <w:r>
        <w:rPr>
          <w:rFonts w:ascii="Palatino Linotype" w:eastAsia="Palatino Linotype" w:hAnsi="Palatino Linotype" w:cs="Palatino Linotype"/>
        </w:rPr>
        <w:t xml:space="preserve"> al rubro anotado. </w:t>
      </w:r>
    </w:p>
    <w:p w14:paraId="588E1025" w14:textId="77777777" w:rsidR="0054468A" w:rsidRDefault="0054468A" w:rsidP="005446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 estima que se actualiza el supuesto previsto en el </w:t>
      </w:r>
      <w:r w:rsidRPr="00EB76BB">
        <w:rPr>
          <w:rFonts w:ascii="Palatino Linotype" w:eastAsia="Palatino Linotype" w:hAnsi="Palatino Linotype" w:cs="Palatino Linotype"/>
        </w:rPr>
        <w:t>artículo 139 fracción I, de la Ley de Protección de Datos Personales en Posesión d</w:t>
      </w:r>
      <w:r>
        <w:rPr>
          <w:rFonts w:ascii="Palatino Linotype" w:eastAsia="Palatino Linotype" w:hAnsi="Palatino Linotype" w:cs="Palatino Linotype"/>
        </w:rPr>
        <w:t>e Sujetos Obligados del Estado de México y Municipios.</w:t>
      </w:r>
    </w:p>
    <w:p w14:paraId="5D0E36A1" w14:textId="77777777" w:rsidR="0054468A" w:rsidRDefault="0054468A" w:rsidP="0054468A">
      <w:pPr>
        <w:pBdr>
          <w:top w:val="nil"/>
          <w:left w:val="nil"/>
          <w:bottom w:val="nil"/>
          <w:right w:val="nil"/>
          <w:between w:val="nil"/>
        </w:pBdr>
        <w:spacing w:before="240" w:after="240" w:line="360" w:lineRule="auto"/>
        <w:ind w:right="49"/>
        <w:jc w:val="both"/>
        <w:rPr>
          <w:color w:val="000000"/>
        </w:rPr>
      </w:pPr>
      <w:r>
        <w:rPr>
          <w:rFonts w:ascii="Palatino Linotype" w:eastAsia="Palatino Linotype" w:hAnsi="Palatino Linotype" w:cs="Palatino Linotype"/>
          <w:color w:val="000000"/>
        </w:rPr>
        <w:t xml:space="preserve">Discernimiento de esta Ponencia que encuentra apoyo en la tesis aislada 1a. III/2013 (10a.), Décima Época, sustentada por la Primera Sala de la Suprema Corte de Justicia </w:t>
      </w:r>
      <w:r>
        <w:rPr>
          <w:rFonts w:ascii="Palatino Linotype" w:eastAsia="Palatino Linotype" w:hAnsi="Palatino Linotype" w:cs="Palatino Linotype"/>
          <w:color w:val="000000"/>
        </w:rPr>
        <w:lastRenderedPageBreak/>
        <w:t>de la Nación, visible en la página 629, Tomo 1, Libro XVI, del Semanario Judicial de la Federación, del mes de enero de 2013, cuyo rubro y texto dispone:   </w:t>
      </w:r>
    </w:p>
    <w:p w14:paraId="05529A81" w14:textId="77777777" w:rsidR="0054468A" w:rsidRDefault="0054468A" w:rsidP="0054468A">
      <w:pPr>
        <w:pBdr>
          <w:top w:val="nil"/>
          <w:left w:val="nil"/>
          <w:bottom w:val="nil"/>
          <w:right w:val="nil"/>
          <w:between w:val="nil"/>
        </w:pBdr>
        <w:spacing w:before="240" w:after="240" w:line="276" w:lineRule="auto"/>
        <w:ind w:left="851" w:right="993"/>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DESISTIMIENTO EN EL JUICIO DE AMPARO Y EN EL RECURSO DE REVISIÓN. SUS EFECTOS</w:t>
      </w:r>
      <w:r>
        <w:rPr>
          <w:rFonts w:ascii="Palatino Linotype" w:eastAsia="Palatino Linotype" w:hAnsi="Palatino Linotype" w:cs="Palatino Linotype"/>
          <w:i/>
          <w:color w:val="000000"/>
          <w:sz w:val="22"/>
          <w:szCs w:val="22"/>
        </w:rPr>
        <w:t>.</w:t>
      </w:r>
    </w:p>
    <w:p w14:paraId="4CFDFC70" w14:textId="77777777" w:rsidR="0054468A" w:rsidRDefault="0054468A" w:rsidP="0054468A">
      <w:pPr>
        <w:pBdr>
          <w:top w:val="nil"/>
          <w:left w:val="nil"/>
          <w:bottom w:val="nil"/>
          <w:right w:val="nil"/>
          <w:between w:val="nil"/>
        </w:pBdr>
        <w:spacing w:before="240" w:after="240" w:line="276" w:lineRule="auto"/>
        <w:ind w:left="851" w:right="993"/>
        <w:jc w:val="both"/>
        <w:rPr>
          <w:color w:val="000000"/>
        </w:rPr>
      </w:pPr>
      <w:r>
        <w:rPr>
          <w:rFonts w:ascii="Palatino Linotype" w:eastAsia="Palatino Linotype" w:hAnsi="Palatino Linotype" w:cs="Palatino Linotype"/>
          <w:i/>
          <w:color w:val="000000"/>
          <w:sz w:val="22"/>
          <w:szCs w:val="22"/>
        </w:rPr>
        <w:t>Si un quejoso puede desistirse de la acción constitucional, también tiene dicha facultad tratándose del recurso de revisión que haya intentado respecto de la sentencia recurrida. En ese sentido, cuando solamente se desiste del recurso de revisión debe dejarse firme la sentencia recurrida, y si lo hace simultáneamente respecto de la demanda de amparo y del señalado recurso, entonces debe atenderse al desistimiento de la acción de amparo por ser preferente y decretar el sobreseimiento en el juicio. Lo mismo sucede cuando el quejoso únicamente se desiste respecto de la demanda de amparo, aun cuando el recurso de revisión hubiera sido promovido por el tercero perjudicado, toda vez que dicho recurso queda sin materia al desaparecer el motivo que lo genera, a saber, la sentencia recurrida.</w:t>
      </w:r>
    </w:p>
    <w:p w14:paraId="46CA29A8" w14:textId="77777777" w:rsidR="0054468A" w:rsidRDefault="0054468A" w:rsidP="0054468A">
      <w:pPr>
        <w:pBdr>
          <w:top w:val="nil"/>
          <w:left w:val="nil"/>
          <w:bottom w:val="nil"/>
          <w:right w:val="nil"/>
          <w:between w:val="nil"/>
        </w:pBdr>
        <w:spacing w:before="240" w:after="240" w:line="276" w:lineRule="auto"/>
        <w:ind w:left="851" w:right="993"/>
        <w:jc w:val="both"/>
        <w:rPr>
          <w:color w:val="000000"/>
        </w:rPr>
      </w:pPr>
      <w:r>
        <w:rPr>
          <w:rFonts w:ascii="Palatino Linotype" w:eastAsia="Palatino Linotype" w:hAnsi="Palatino Linotype" w:cs="Palatino Linotype"/>
          <w:i/>
          <w:color w:val="000000"/>
          <w:sz w:val="22"/>
          <w:szCs w:val="22"/>
        </w:rPr>
        <w:t>Amparo en revisión 388/2012. María Irene Fernández Molina. 10 de octubre de 2012. Cinco votos. Ponente: José Ramón Cossío Díaz. Secretaria: Dolores Rueda Aguilar.”</w:t>
      </w:r>
    </w:p>
    <w:p w14:paraId="54ACEB1F" w14:textId="77777777" w:rsidR="0054468A" w:rsidRDefault="0054468A" w:rsidP="0054468A">
      <w:pPr>
        <w:pBdr>
          <w:top w:val="nil"/>
          <w:left w:val="nil"/>
          <w:bottom w:val="nil"/>
          <w:right w:val="nil"/>
          <w:between w:val="nil"/>
        </w:pBdr>
        <w:spacing w:before="240" w:after="240" w:line="360" w:lineRule="auto"/>
        <w:ind w:right="49"/>
        <w:jc w:val="both"/>
        <w:rPr>
          <w:color w:val="000000"/>
        </w:rPr>
      </w:pPr>
      <w:r>
        <w:rPr>
          <w:rFonts w:ascii="Palatino Linotype" w:eastAsia="Palatino Linotype" w:hAnsi="Palatino Linotype" w:cs="Palatino Linotype"/>
          <w:color w:val="000000"/>
        </w:rPr>
        <w:t>De esta forma, y atendiendo a que se ha declarado el sobreseimiento de</w:t>
      </w:r>
      <w:r w:rsidR="00817434">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l</w:t>
      </w:r>
      <w:r w:rsidR="00817434">
        <w:rPr>
          <w:rFonts w:ascii="Palatino Linotype" w:eastAsia="Palatino Linotype" w:hAnsi="Palatino Linotype" w:cs="Palatino Linotype"/>
          <w:color w:val="000000"/>
        </w:rPr>
        <w:t xml:space="preserve">os presentes </w:t>
      </w:r>
      <w:r>
        <w:rPr>
          <w:rFonts w:ascii="Palatino Linotype" w:eastAsia="Palatino Linotype" w:hAnsi="Palatino Linotype" w:cs="Palatino Linotype"/>
          <w:color w:val="000000"/>
        </w:rPr>
        <w:t>medio</w:t>
      </w:r>
      <w:r w:rsidR="00817434">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de impugnación, este Órgano Garante se abstiene de analizar el  motivo de inconformidad que expresó la </w:t>
      </w:r>
      <w:r w:rsidR="00817434">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en atención a que el sobreseimiento impide el análisis de los motivos de inconformidad hechos valer en el recurso de revisión, discernimiento que encuentra apoyo en la Tesis de Jurisprudencia publicada en el Apéndice de 1995, Tomo III, Parte TCC, Octava Época, Instancia Tribunales Colegiados de Circuito, Materia Administrativa, página 566, registrada con el rubro: </w:t>
      </w:r>
    </w:p>
    <w:p w14:paraId="08C4DCFB" w14:textId="77777777" w:rsidR="0054468A" w:rsidRDefault="0054468A" w:rsidP="0054468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lastRenderedPageBreak/>
        <w:t>“</w:t>
      </w:r>
      <w:r>
        <w:rPr>
          <w:rFonts w:ascii="Palatino Linotype" w:eastAsia="Palatino Linotype" w:hAnsi="Palatino Linotype" w:cs="Palatino Linotype"/>
          <w:b/>
          <w:i/>
          <w:color w:val="000000"/>
          <w:sz w:val="22"/>
          <w:szCs w:val="22"/>
        </w:rPr>
        <w:t>SOBRESEIMIENTO DEL JUICIO CONTENCIOSO-ADMINISTRATIVO, NO PERMITE ENTRAR AL ESTUDIO DE LAS CUESTIONES DE FONDO</w:t>
      </w:r>
      <w:r>
        <w:rPr>
          <w:rFonts w:ascii="Palatino Linotype" w:eastAsia="Palatino Linotype" w:hAnsi="Palatino Linotype" w:cs="Palatino Linotype"/>
          <w:i/>
          <w:color w:val="000000"/>
          <w:sz w:val="22"/>
          <w:szCs w:val="22"/>
        </w:rPr>
        <w:t>.</w:t>
      </w:r>
    </w:p>
    <w:p w14:paraId="035E3F10" w14:textId="77777777" w:rsidR="0054468A" w:rsidRDefault="0054468A" w:rsidP="0054468A">
      <w:pPr>
        <w:spacing w:line="276" w:lineRule="auto"/>
        <w:ind w:right="851"/>
      </w:pPr>
    </w:p>
    <w:p w14:paraId="51A5ECED" w14:textId="77777777" w:rsidR="0054468A" w:rsidRDefault="0054468A" w:rsidP="0054468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t>No causa agravio la sentencia que no se ocupa de los conceptos de anulación tendientes a demostrar las causales de nulidad de que adolece la resolución impugnada, que constituye el problema de fondo, si se declara el sobreseimiento del juicio contencioso-administrativo.</w:t>
      </w:r>
    </w:p>
    <w:p w14:paraId="657F2F11" w14:textId="77777777" w:rsidR="0054468A" w:rsidRDefault="0054468A" w:rsidP="0054468A">
      <w:pPr>
        <w:spacing w:line="276" w:lineRule="auto"/>
        <w:ind w:right="851"/>
      </w:pPr>
    </w:p>
    <w:p w14:paraId="5B3D7963" w14:textId="77777777" w:rsidR="0054468A" w:rsidRDefault="0054468A" w:rsidP="0054468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t>SEGUNDO TRIBUNAL COLEGIADO DEL SEXTO CIRCUITO.</w:t>
      </w:r>
    </w:p>
    <w:p w14:paraId="6066BF7A" w14:textId="77777777" w:rsidR="0054468A" w:rsidRDefault="0054468A" w:rsidP="0054468A">
      <w:pPr>
        <w:spacing w:line="276" w:lineRule="auto"/>
        <w:ind w:right="851"/>
      </w:pPr>
    </w:p>
    <w:p w14:paraId="60CC9677" w14:textId="77777777" w:rsidR="0054468A" w:rsidRDefault="0054468A" w:rsidP="0054468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t>Octava Época:</w:t>
      </w:r>
    </w:p>
    <w:p w14:paraId="23B549B2" w14:textId="77777777" w:rsidR="0054468A" w:rsidRDefault="0054468A" w:rsidP="0054468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t>Amparo directo 412/90. Emilio Juárez Becerra. 23 de octubre de 1990. Unanimidad de votos.</w:t>
      </w:r>
    </w:p>
    <w:p w14:paraId="7CD8EBCE" w14:textId="77777777" w:rsidR="0054468A" w:rsidRDefault="0054468A" w:rsidP="0054468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t>Amparo directo 359/92. Grupo Naviero de Tuxpan, S. A. de C. V. 14 de octubre de 1992. Unanimidad de votos.</w:t>
      </w:r>
    </w:p>
    <w:p w14:paraId="28DB3C3E" w14:textId="77777777" w:rsidR="0054468A" w:rsidRDefault="0054468A" w:rsidP="0054468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t>Amparo directo 154/93. Antonio Lima Flores. 6 de mayo de 1993. Unanimidad de votos.</w:t>
      </w:r>
    </w:p>
    <w:p w14:paraId="7DA2DA7B" w14:textId="77777777" w:rsidR="0054468A" w:rsidRDefault="0054468A" w:rsidP="0054468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t>Amparo directo 189/93. José Pedro Temolzin Brais. 6 de mayo de 1993. Unanimidad de votos.</w:t>
      </w:r>
    </w:p>
    <w:p w14:paraId="6BA49738" w14:textId="77777777" w:rsidR="0054468A" w:rsidRDefault="0054468A" w:rsidP="0054468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t>Amparo directo 349/93. José Jerónimo Cerezo Vélez. 29 de septiembre de 1993. Unanimidad de votos.</w:t>
      </w:r>
    </w:p>
    <w:p w14:paraId="244A26F9" w14:textId="77777777" w:rsidR="0054468A" w:rsidRDefault="0054468A" w:rsidP="0054468A">
      <w:pPr>
        <w:spacing w:line="276" w:lineRule="auto"/>
        <w:ind w:right="851"/>
      </w:pPr>
    </w:p>
    <w:p w14:paraId="4BC5DA06" w14:textId="77777777" w:rsidR="0054468A" w:rsidRDefault="0054468A" w:rsidP="0054468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t>NOTA: </w:t>
      </w:r>
    </w:p>
    <w:p w14:paraId="004A0188" w14:textId="77777777" w:rsidR="0054468A" w:rsidRDefault="0054468A" w:rsidP="0054468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t>Tesis VI.2o.J/280, Gaceta número 77, pág. 77; véase ejecutoria en el Semanario Judicial de la Federación, tomo XIII-Mayo, pág. 348.”</w:t>
      </w:r>
    </w:p>
    <w:p w14:paraId="322980B8" w14:textId="77777777" w:rsidR="0054468A" w:rsidRDefault="0054468A" w:rsidP="005446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lo citado se puede colegir que cuando </w:t>
      </w:r>
      <w:r w:rsidR="00817434">
        <w:rPr>
          <w:rFonts w:ascii="Palatino Linotype" w:eastAsia="Palatino Linotype" w:hAnsi="Palatino Linotype" w:cs="Palatino Linotype"/>
        </w:rPr>
        <w:t>la parte</w:t>
      </w:r>
      <w:r w:rsidRPr="006B15C0">
        <w:rPr>
          <w:rFonts w:ascii="Palatino Linotype" w:eastAsia="Palatino Linotype" w:hAnsi="Palatino Linotype" w:cs="Palatino Linotype"/>
        </w:rPr>
        <w:t xml:space="preserve"> Recurrente</w:t>
      </w:r>
      <w:r w:rsidRPr="006B15C0">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presente un escrito de desistimiento, le hace saber a este Instituto la intención de cesar los efectos jurídicos generados con los Recursos de Revisión, situación que genera el efecto de que las cosas vuelvan al estado que tenía la solicitud de información antes de la presentación del medio de impugnación y por lo cual, desaparece cualquier efecto </w:t>
      </w:r>
      <w:r>
        <w:rPr>
          <w:rFonts w:ascii="Palatino Linotype" w:eastAsia="Palatino Linotype" w:hAnsi="Palatino Linotype" w:cs="Palatino Linotype"/>
        </w:rPr>
        <w:lastRenderedPageBreak/>
        <w:t>jurídico que pudiera haberse generado con el Medio de Impugnación, esto es, todos los derechos y obligaciones de las partes.</w:t>
      </w:r>
    </w:p>
    <w:p w14:paraId="7D3BE32A" w14:textId="77777777" w:rsidR="0054468A" w:rsidRDefault="0054468A" w:rsidP="005446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toda vez que este Instituto constató que </w:t>
      </w:r>
      <w:r>
        <w:rPr>
          <w:rFonts w:ascii="Palatino Linotype" w:eastAsia="Palatino Linotype" w:hAnsi="Palatino Linotype" w:cs="Palatino Linotype"/>
          <w:color w:val="000000"/>
        </w:rPr>
        <w:t xml:space="preserve">la </w:t>
      </w:r>
      <w:r w:rsidR="00817434">
        <w:rPr>
          <w:rFonts w:ascii="Palatino Linotype" w:eastAsia="Palatino Linotype" w:hAnsi="Palatino Linotype" w:cs="Palatino Linotype"/>
          <w:b/>
          <w:color w:val="000000"/>
        </w:rPr>
        <w:t>RECURRENTE</w:t>
      </w:r>
      <w:r>
        <w:rPr>
          <w:rFonts w:ascii="Palatino Linotype" w:eastAsia="Palatino Linotype" w:hAnsi="Palatino Linotype" w:cs="Palatino Linotype"/>
        </w:rPr>
        <w:t xml:space="preserve"> se desistió por la vía idónea para realizar dicha acción, a saber, por el SARCOEM, resulta procedente </w:t>
      </w:r>
      <w:r>
        <w:rPr>
          <w:rFonts w:ascii="Palatino Linotype" w:eastAsia="Palatino Linotype" w:hAnsi="Palatino Linotype" w:cs="Palatino Linotype"/>
          <w:b/>
        </w:rPr>
        <w:t xml:space="preserve">SOBRESEER </w:t>
      </w:r>
      <w:r w:rsidR="00817434" w:rsidRPr="00817434">
        <w:rPr>
          <w:rFonts w:ascii="Palatino Linotype" w:eastAsia="Palatino Linotype" w:hAnsi="Palatino Linotype" w:cs="Palatino Linotype"/>
        </w:rPr>
        <w:t>los</w:t>
      </w:r>
      <w:r>
        <w:rPr>
          <w:rFonts w:ascii="Palatino Linotype" w:eastAsia="Palatino Linotype" w:hAnsi="Palatino Linotype" w:cs="Palatino Linotype"/>
        </w:rPr>
        <w:t xml:space="preserve"> Recurso</w:t>
      </w:r>
      <w:r w:rsidR="00817434">
        <w:rPr>
          <w:rFonts w:ascii="Palatino Linotype" w:eastAsia="Palatino Linotype" w:hAnsi="Palatino Linotype" w:cs="Palatino Linotype"/>
        </w:rPr>
        <w:t>s</w:t>
      </w:r>
      <w:r>
        <w:rPr>
          <w:rFonts w:ascii="Palatino Linotype" w:eastAsia="Palatino Linotype" w:hAnsi="Palatino Linotype" w:cs="Palatino Linotype"/>
        </w:rPr>
        <w:t xml:space="preserve"> de Revisión con númer</w:t>
      </w:r>
      <w:r w:rsidRPr="00EB76BB">
        <w:rPr>
          <w:rFonts w:ascii="Palatino Linotype" w:eastAsia="Palatino Linotype" w:hAnsi="Palatino Linotype" w:cs="Palatino Linotype"/>
        </w:rPr>
        <w:t xml:space="preserve">o </w:t>
      </w:r>
      <w:r>
        <w:rPr>
          <w:rFonts w:ascii="Palatino Linotype" w:eastAsia="Palatino Linotype" w:hAnsi="Palatino Linotype" w:cs="Palatino Linotype"/>
          <w:b/>
        </w:rPr>
        <w:t>052</w:t>
      </w:r>
      <w:r w:rsidR="00817434">
        <w:rPr>
          <w:rFonts w:ascii="Palatino Linotype" w:eastAsia="Palatino Linotype" w:hAnsi="Palatino Linotype" w:cs="Palatino Linotype"/>
          <w:b/>
        </w:rPr>
        <w:t>44</w:t>
      </w:r>
      <w:r w:rsidRPr="00EB76BB">
        <w:rPr>
          <w:rFonts w:ascii="Palatino Linotype" w:eastAsia="Palatino Linotype" w:hAnsi="Palatino Linotype" w:cs="Palatino Linotype"/>
          <w:b/>
        </w:rPr>
        <w:t>/INFOEM/AD/RR/2022</w:t>
      </w:r>
      <w:r w:rsidR="00817434">
        <w:rPr>
          <w:rFonts w:ascii="Palatino Linotype" w:eastAsia="Palatino Linotype" w:hAnsi="Palatino Linotype" w:cs="Palatino Linotype"/>
          <w:b/>
        </w:rPr>
        <w:t xml:space="preserve"> y 05245</w:t>
      </w:r>
      <w:r w:rsidR="00817434" w:rsidRPr="00EB76BB">
        <w:rPr>
          <w:rFonts w:ascii="Palatino Linotype" w:eastAsia="Palatino Linotype" w:hAnsi="Palatino Linotype" w:cs="Palatino Linotype"/>
          <w:b/>
        </w:rPr>
        <w:t>/INFOEM/AD/RR/2022</w:t>
      </w:r>
      <w:r w:rsidR="00817434">
        <w:rPr>
          <w:rFonts w:ascii="Palatino Linotype" w:eastAsia="Palatino Linotype" w:hAnsi="Palatino Linotype" w:cs="Palatino Linotype"/>
          <w:b/>
        </w:rPr>
        <w:t xml:space="preserve">  </w:t>
      </w:r>
      <w:r>
        <w:rPr>
          <w:rFonts w:ascii="Palatino Linotype" w:eastAsia="Palatino Linotype" w:hAnsi="Palatino Linotype" w:cs="Palatino Linotype"/>
          <w:b/>
        </w:rPr>
        <w:t xml:space="preserve"> </w:t>
      </w:r>
      <w:r>
        <w:rPr>
          <w:rFonts w:ascii="Palatino Linotype" w:eastAsia="Palatino Linotype" w:hAnsi="Palatino Linotype" w:cs="Palatino Linotype"/>
        </w:rPr>
        <w:t>al actualizarse el supuesto previsto en el artículo 139</w:t>
      </w:r>
      <w:r w:rsidRPr="006B15C0">
        <w:rPr>
          <w:rFonts w:ascii="Palatino Linotype" w:eastAsia="Palatino Linotype" w:hAnsi="Palatino Linotype" w:cs="Palatino Linotype"/>
        </w:rPr>
        <w:t xml:space="preserve"> fracción</w:t>
      </w:r>
      <w:r w:rsidRPr="00EB76BB">
        <w:rPr>
          <w:rFonts w:ascii="Palatino Linotype" w:eastAsia="Palatino Linotype" w:hAnsi="Palatino Linotype" w:cs="Palatino Linotype"/>
        </w:rPr>
        <w:t xml:space="preserve"> I, de la</w:t>
      </w:r>
      <w:r>
        <w:rPr>
          <w:rFonts w:ascii="Palatino Linotype" w:eastAsia="Palatino Linotype" w:hAnsi="Palatino Linotype" w:cs="Palatino Linotype"/>
        </w:rPr>
        <w:t xml:space="preserve"> </w:t>
      </w:r>
      <w:r w:rsidRPr="00EB76BB">
        <w:rPr>
          <w:rFonts w:ascii="Palatino Linotype" w:eastAsia="Palatino Linotype" w:hAnsi="Palatino Linotype" w:cs="Palatino Linotype"/>
        </w:rPr>
        <w:t>Ley de Protección de Datos Personales en Posesión de Sujetos Obligados del Estado de México y Municipios</w:t>
      </w:r>
      <w:r>
        <w:rPr>
          <w:rFonts w:ascii="Palatino Linotype" w:eastAsia="Palatino Linotype" w:hAnsi="Palatino Linotype" w:cs="Palatino Linotype"/>
        </w:rPr>
        <w:t>, en relación con el 186, fracción I de ese ordenamiento legal.</w:t>
      </w:r>
    </w:p>
    <w:p w14:paraId="7D86C60E" w14:textId="77777777" w:rsidR="0054468A" w:rsidRDefault="0054468A" w:rsidP="0054468A">
      <w:pPr>
        <w:pBdr>
          <w:top w:val="nil"/>
          <w:left w:val="nil"/>
          <w:bottom w:val="nil"/>
          <w:right w:val="nil"/>
          <w:between w:val="nil"/>
        </w:pBdr>
        <w:spacing w:before="280" w:after="280" w:line="360" w:lineRule="auto"/>
        <w:ind w:right="49"/>
        <w:jc w:val="both"/>
        <w:rPr>
          <w:color w:val="000000"/>
          <w:highlight w:val="yellow"/>
        </w:rPr>
      </w:pPr>
      <w:r>
        <w:rPr>
          <w:rFonts w:ascii="Palatino Linotype" w:eastAsia="Palatino Linotype" w:hAnsi="Palatino Linotype" w:cs="Palatino Linotype"/>
          <w:color w:val="000000"/>
        </w:rPr>
        <w:t xml:space="preserve">Así, con fundamento en lo prescrito en los artículos 5 </w:t>
      </w:r>
      <w:r>
        <w:rPr>
          <w:rFonts w:ascii="Palatino Linotype" w:eastAsia="Palatino Linotype" w:hAnsi="Palatino Linotype" w:cs="Palatino Linotype"/>
          <w:color w:val="000000"/>
          <w:highlight w:val="white"/>
        </w:rPr>
        <w:t xml:space="preserve">párrafos </w:t>
      </w:r>
      <w:r>
        <w:rPr>
          <w:rFonts w:ascii="Palatino Linotype" w:eastAsia="Palatino Linotype" w:hAnsi="Palatino Linotype" w:cs="Palatino Linotype"/>
          <w:color w:val="000000"/>
        </w:rPr>
        <w:t>trigésimo, trigésimo primero y trigésimo segundo de la Constitución Política del Estado Libre y Soberano de México; 2, fracción II; 29, 36 fracciones I y II; 176, 178, 179, 181 y 185 d</w:t>
      </w:r>
      <w:r w:rsidRPr="00EB76BB">
        <w:rPr>
          <w:rFonts w:ascii="Palatino Linotype" w:eastAsia="Palatino Linotype" w:hAnsi="Palatino Linotype" w:cs="Palatino Linotype"/>
          <w:color w:val="000000"/>
        </w:rPr>
        <w:t xml:space="preserve">e la Ley de Transparencia y Acceso a la Información Pública del Estado de México y Municipios, </w:t>
      </w:r>
      <w:r>
        <w:rPr>
          <w:rFonts w:ascii="Palatino Linotype" w:eastAsia="Palatino Linotype" w:hAnsi="Palatino Linotype" w:cs="Palatino Linotype"/>
          <w:color w:val="000000"/>
        </w:rPr>
        <w:t xml:space="preserve">de aplicación supletoria, y 137 fracción I de la </w:t>
      </w:r>
      <w:r w:rsidRPr="00EB76BB">
        <w:rPr>
          <w:rFonts w:ascii="Palatino Linotype" w:eastAsia="Palatino Linotype" w:hAnsi="Palatino Linotype" w:cs="Palatino Linotype"/>
        </w:rPr>
        <w:t>Ley de Protección de Datos Personales en Posesión d</w:t>
      </w:r>
      <w:r>
        <w:rPr>
          <w:rFonts w:ascii="Palatino Linotype" w:eastAsia="Palatino Linotype" w:hAnsi="Palatino Linotype" w:cs="Palatino Linotype"/>
        </w:rPr>
        <w:t>e Sujetos Obligados del Estado de México y Municipios</w:t>
      </w:r>
      <w:r w:rsidRPr="00EB76BB">
        <w:rPr>
          <w:rFonts w:ascii="Palatino Linotype" w:eastAsia="Palatino Linotype" w:hAnsi="Palatino Linotype" w:cs="Palatino Linotype"/>
          <w:color w:val="000000"/>
        </w:rPr>
        <w:t xml:space="preserve"> este Pleno:</w:t>
      </w:r>
    </w:p>
    <w:p w14:paraId="3668F468" w14:textId="77777777" w:rsidR="0054468A" w:rsidRDefault="0054468A" w:rsidP="0054468A">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color w:val="222222"/>
          <w:highlight w:val="white"/>
        </w:rPr>
        <w:t xml:space="preserve">III. </w:t>
      </w:r>
      <w:r>
        <w:rPr>
          <w:rFonts w:ascii="Palatino Linotype" w:eastAsia="Palatino Linotype" w:hAnsi="Palatino Linotype" w:cs="Palatino Linotype"/>
          <w:b/>
        </w:rPr>
        <w:t>R E S U E L V E</w:t>
      </w:r>
    </w:p>
    <w:p w14:paraId="73751438" w14:textId="77777777" w:rsidR="0054468A" w:rsidRDefault="00817434" w:rsidP="0054468A">
      <w:pPr>
        <w:spacing w:before="240" w:after="240" w:line="360" w:lineRule="auto"/>
        <w:jc w:val="both"/>
        <w:rPr>
          <w:rFonts w:ascii="Palatino Linotype" w:eastAsia="Palatino Linotype" w:hAnsi="Palatino Linotype" w:cs="Palatino Linotype"/>
          <w:shd w:val="clear" w:color="auto" w:fill="FF9900"/>
        </w:rPr>
      </w:pPr>
      <w:r>
        <w:rPr>
          <w:rFonts w:ascii="Palatino Linotype" w:eastAsia="Palatino Linotype" w:hAnsi="Palatino Linotype" w:cs="Palatino Linotype"/>
          <w:b/>
        </w:rPr>
        <w:t>PRIMERO</w:t>
      </w:r>
      <w:r w:rsidR="0054468A">
        <w:rPr>
          <w:rFonts w:ascii="Palatino Linotype" w:eastAsia="Palatino Linotype" w:hAnsi="Palatino Linotype" w:cs="Palatino Linotype"/>
        </w:rPr>
        <w:t xml:space="preserve">. Se </w:t>
      </w:r>
      <w:r w:rsidR="0054468A">
        <w:rPr>
          <w:rFonts w:ascii="Palatino Linotype" w:eastAsia="Palatino Linotype" w:hAnsi="Palatino Linotype" w:cs="Palatino Linotype"/>
          <w:b/>
        </w:rPr>
        <w:t>SOBRESEE</w:t>
      </w:r>
      <w:r>
        <w:rPr>
          <w:rFonts w:ascii="Palatino Linotype" w:eastAsia="Palatino Linotype" w:hAnsi="Palatino Linotype" w:cs="Palatino Linotype"/>
          <w:b/>
        </w:rPr>
        <w:t>N</w:t>
      </w:r>
      <w:r w:rsidR="0054468A">
        <w:rPr>
          <w:rFonts w:ascii="Palatino Linotype" w:eastAsia="Palatino Linotype" w:hAnsi="Palatino Linotype" w:cs="Palatino Linotype"/>
          <w:b/>
        </w:rPr>
        <w:t xml:space="preserve"> </w:t>
      </w:r>
      <w:r>
        <w:rPr>
          <w:rFonts w:ascii="Palatino Linotype" w:eastAsia="Palatino Linotype" w:hAnsi="Palatino Linotype" w:cs="Palatino Linotype"/>
        </w:rPr>
        <w:t>los R</w:t>
      </w:r>
      <w:r w:rsidR="0054468A">
        <w:rPr>
          <w:rFonts w:ascii="Palatino Linotype" w:eastAsia="Palatino Linotype" w:hAnsi="Palatino Linotype" w:cs="Palatino Linotype"/>
        </w:rPr>
        <w:t>ecurso</w:t>
      </w:r>
      <w:r>
        <w:rPr>
          <w:rFonts w:ascii="Palatino Linotype" w:eastAsia="Palatino Linotype" w:hAnsi="Palatino Linotype" w:cs="Palatino Linotype"/>
        </w:rPr>
        <w:t>s de R</w:t>
      </w:r>
      <w:r w:rsidR="0054468A">
        <w:rPr>
          <w:rFonts w:ascii="Palatino Linotype" w:eastAsia="Palatino Linotype" w:hAnsi="Palatino Linotype" w:cs="Palatino Linotype"/>
        </w:rPr>
        <w:t xml:space="preserve">evisión número </w:t>
      </w:r>
      <w:r w:rsidR="0054468A">
        <w:rPr>
          <w:rFonts w:ascii="Palatino Linotype" w:eastAsia="Palatino Linotype" w:hAnsi="Palatino Linotype" w:cs="Palatino Linotype"/>
          <w:b/>
        </w:rPr>
        <w:t>052</w:t>
      </w:r>
      <w:r>
        <w:rPr>
          <w:rFonts w:ascii="Palatino Linotype" w:eastAsia="Palatino Linotype" w:hAnsi="Palatino Linotype" w:cs="Palatino Linotype"/>
          <w:b/>
        </w:rPr>
        <w:t>44</w:t>
      </w:r>
      <w:r w:rsidR="0054468A" w:rsidRPr="00EB76BB">
        <w:rPr>
          <w:rFonts w:ascii="Palatino Linotype" w:eastAsia="Palatino Linotype" w:hAnsi="Palatino Linotype" w:cs="Palatino Linotype"/>
          <w:b/>
        </w:rPr>
        <w:t>/INFOEM/AD/RR/2022</w:t>
      </w:r>
      <w:r>
        <w:rPr>
          <w:rFonts w:ascii="Palatino Linotype" w:eastAsia="Palatino Linotype" w:hAnsi="Palatino Linotype" w:cs="Palatino Linotype"/>
          <w:b/>
        </w:rPr>
        <w:t xml:space="preserve"> y 05245</w:t>
      </w:r>
      <w:r w:rsidRPr="00EB76BB">
        <w:rPr>
          <w:rFonts w:ascii="Palatino Linotype" w:eastAsia="Palatino Linotype" w:hAnsi="Palatino Linotype" w:cs="Palatino Linotype"/>
          <w:b/>
        </w:rPr>
        <w:t>/INFOEM/AD/RR/2022</w:t>
      </w:r>
      <w:r w:rsidR="0054468A">
        <w:rPr>
          <w:rFonts w:ascii="Palatino Linotype" w:eastAsia="Palatino Linotype" w:hAnsi="Palatino Linotype" w:cs="Palatino Linotype"/>
        </w:rPr>
        <w:t xml:space="preserve">, en términos de la fracción I del artículo 139 de la </w:t>
      </w:r>
      <w:r w:rsidR="0054468A" w:rsidRPr="00EB76BB">
        <w:rPr>
          <w:rFonts w:ascii="Palatino Linotype" w:eastAsia="Palatino Linotype" w:hAnsi="Palatino Linotype" w:cs="Palatino Linotype"/>
        </w:rPr>
        <w:t>Ley de Protección de Datos Personales en Posesión d</w:t>
      </w:r>
      <w:r w:rsidR="0054468A">
        <w:rPr>
          <w:rFonts w:ascii="Palatino Linotype" w:eastAsia="Palatino Linotype" w:hAnsi="Palatino Linotype" w:cs="Palatino Linotype"/>
        </w:rPr>
        <w:t xml:space="preserve">e Sujetos Obligados del Estado de México y Municipios, por haberse desistido </w:t>
      </w:r>
      <w:r w:rsidR="0054468A">
        <w:rPr>
          <w:rFonts w:ascii="Palatino Linotype" w:eastAsia="Palatino Linotype" w:hAnsi="Palatino Linotype" w:cs="Palatino Linotype"/>
        </w:rPr>
        <w:lastRenderedPageBreak/>
        <w:t xml:space="preserve">expresamente la </w:t>
      </w:r>
      <w:r>
        <w:rPr>
          <w:rFonts w:ascii="Palatino Linotype" w:eastAsia="Palatino Linotype" w:hAnsi="Palatino Linotype" w:cs="Palatino Linotype"/>
          <w:b/>
        </w:rPr>
        <w:t>RECURRENTE</w:t>
      </w:r>
      <w:r w:rsidR="0054468A">
        <w:rPr>
          <w:rFonts w:ascii="Palatino Linotype" w:eastAsia="Palatino Linotype" w:hAnsi="Palatino Linotype" w:cs="Palatino Linotype"/>
        </w:rPr>
        <w:t xml:space="preserve">, en términos del </w:t>
      </w:r>
      <w:r w:rsidR="0054468A">
        <w:rPr>
          <w:rFonts w:ascii="Palatino Linotype" w:eastAsia="Palatino Linotype" w:hAnsi="Palatino Linotype" w:cs="Palatino Linotype"/>
          <w:b/>
        </w:rPr>
        <w:t xml:space="preserve">Considerando Tercero </w:t>
      </w:r>
      <w:r w:rsidR="0054468A">
        <w:rPr>
          <w:rFonts w:ascii="Palatino Linotype" w:eastAsia="Palatino Linotype" w:hAnsi="Palatino Linotype" w:cs="Palatino Linotype"/>
        </w:rPr>
        <w:t xml:space="preserve"> de la presente resolución.</w:t>
      </w:r>
    </w:p>
    <w:p w14:paraId="6D958B66" w14:textId="77777777" w:rsidR="0054468A" w:rsidRDefault="00817434" w:rsidP="005446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highlight w:val="white"/>
        </w:rPr>
        <w:t>SEGUNDO</w:t>
      </w:r>
      <w:r>
        <w:rPr>
          <w:rFonts w:ascii="Palatino Linotype" w:eastAsia="Palatino Linotype" w:hAnsi="Palatino Linotype" w:cs="Palatino Linotype"/>
          <w:b/>
          <w:sz w:val="28"/>
          <w:szCs w:val="28"/>
          <w:highlight w:val="white"/>
        </w:rPr>
        <w:t>.</w:t>
      </w:r>
      <w:r w:rsidR="0054468A">
        <w:rPr>
          <w:rFonts w:ascii="Palatino Linotype" w:eastAsia="Palatino Linotype" w:hAnsi="Palatino Linotype" w:cs="Palatino Linotype"/>
          <w:b/>
          <w:sz w:val="19"/>
          <w:szCs w:val="19"/>
          <w:highlight w:val="white"/>
        </w:rPr>
        <w:t xml:space="preserve"> </w:t>
      </w:r>
      <w:r w:rsidR="0054468A">
        <w:rPr>
          <w:rFonts w:ascii="Palatino Linotype" w:eastAsia="Palatino Linotype" w:hAnsi="Palatino Linotype" w:cs="Palatino Linotype"/>
          <w:b/>
        </w:rPr>
        <w:t>NOTIFÍQUESE</w:t>
      </w:r>
      <w:r w:rsidR="0054468A">
        <w:rPr>
          <w:rFonts w:ascii="Palatino Linotype" w:eastAsia="Palatino Linotype" w:hAnsi="Palatino Linotype" w:cs="Palatino Linotype"/>
        </w:rPr>
        <w:t xml:space="preserve"> vía </w:t>
      </w:r>
      <w:r w:rsidR="0054468A" w:rsidRPr="00EB76BB">
        <w:rPr>
          <w:rFonts w:ascii="Palatino Linotype" w:eastAsia="Palatino Linotype" w:hAnsi="Palatino Linotype" w:cs="Palatino Linotype"/>
          <w:b/>
        </w:rPr>
        <w:t>SARCOEM</w:t>
      </w:r>
      <w:r w:rsidR="0054468A">
        <w:rPr>
          <w:rFonts w:ascii="Palatino Linotype" w:eastAsia="Palatino Linotype" w:hAnsi="Palatino Linotype" w:cs="Palatino Linotype"/>
          <w:b/>
        </w:rPr>
        <w:t>,</w:t>
      </w:r>
      <w:r w:rsidR="0054468A">
        <w:rPr>
          <w:rFonts w:ascii="Palatino Linotype" w:eastAsia="Palatino Linotype" w:hAnsi="Palatino Linotype" w:cs="Palatino Linotype"/>
        </w:rPr>
        <w:t xml:space="preserve"> la presente resolución al Titular de la Unidad de Transparencia del </w:t>
      </w:r>
      <w:r w:rsidR="0054468A">
        <w:rPr>
          <w:rFonts w:ascii="Palatino Linotype" w:eastAsia="Palatino Linotype" w:hAnsi="Palatino Linotype" w:cs="Palatino Linotype"/>
          <w:b/>
        </w:rPr>
        <w:t>SUJETO OBLIGADO,</w:t>
      </w:r>
      <w:r w:rsidR="0054468A">
        <w:rPr>
          <w:rFonts w:ascii="Palatino Linotype" w:eastAsia="Palatino Linotype" w:hAnsi="Palatino Linotype" w:cs="Palatino Linotype"/>
        </w:rPr>
        <w:t xml:space="preserve"> para su conocimiento.</w:t>
      </w:r>
    </w:p>
    <w:p w14:paraId="1D11A6FE" w14:textId="77777777" w:rsidR="008E523D" w:rsidRDefault="00817434" w:rsidP="005446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highlight w:val="white"/>
        </w:rPr>
        <w:t>TERCERO</w:t>
      </w:r>
      <w:r w:rsidR="0054468A">
        <w:rPr>
          <w:rFonts w:ascii="Palatino Linotype" w:eastAsia="Palatino Linotype" w:hAnsi="Palatino Linotype" w:cs="Palatino Linotype"/>
          <w:b/>
          <w:highlight w:val="white"/>
        </w:rPr>
        <w:t>.</w:t>
      </w:r>
      <w:r w:rsidR="0054468A">
        <w:rPr>
          <w:rFonts w:ascii="Palatino Linotype" w:eastAsia="Palatino Linotype" w:hAnsi="Palatino Linotype" w:cs="Palatino Linotype"/>
          <w:b/>
          <w:sz w:val="28"/>
          <w:szCs w:val="28"/>
          <w:highlight w:val="white"/>
        </w:rPr>
        <w:t xml:space="preserve"> </w:t>
      </w:r>
      <w:r w:rsidR="0054468A">
        <w:rPr>
          <w:rFonts w:ascii="Palatino Linotype" w:eastAsia="Palatino Linotype" w:hAnsi="Palatino Linotype" w:cs="Palatino Linotype"/>
        </w:rPr>
        <w:t>Notifíq</w:t>
      </w:r>
      <w:r w:rsidR="0054468A">
        <w:rPr>
          <w:rFonts w:ascii="Palatino Linotype" w:eastAsia="Palatino Linotype" w:hAnsi="Palatino Linotype" w:cs="Palatino Linotype"/>
          <w:color w:val="222222"/>
        </w:rPr>
        <w:t xml:space="preserve">uese vía </w:t>
      </w:r>
      <w:r w:rsidR="0054468A" w:rsidRPr="00EB76BB">
        <w:rPr>
          <w:rFonts w:ascii="Palatino Linotype" w:eastAsia="Palatino Linotype" w:hAnsi="Palatino Linotype" w:cs="Palatino Linotype"/>
          <w:b/>
          <w:color w:val="222222"/>
        </w:rPr>
        <w:t>SARCOEM</w:t>
      </w:r>
      <w:r w:rsidR="0054468A">
        <w:rPr>
          <w:rFonts w:ascii="Palatino Linotype" w:eastAsia="Palatino Linotype" w:hAnsi="Palatino Linotype" w:cs="Palatino Linotype"/>
        </w:rPr>
        <w:t xml:space="preserve"> a la </w:t>
      </w:r>
      <w:r w:rsidR="00BE22C9">
        <w:rPr>
          <w:rFonts w:ascii="Palatino Linotype" w:eastAsia="Palatino Linotype" w:hAnsi="Palatino Linotype" w:cs="Palatino Linotype"/>
          <w:b/>
        </w:rPr>
        <w:t>RECURRENTE</w:t>
      </w:r>
      <w:r w:rsidR="0054468A">
        <w:rPr>
          <w:rFonts w:ascii="Palatino Linotype" w:eastAsia="Palatino Linotype" w:hAnsi="Palatino Linotype" w:cs="Palatino Linotype"/>
          <w:b/>
        </w:rPr>
        <w:t xml:space="preserve"> </w:t>
      </w:r>
      <w:r w:rsidR="0054468A">
        <w:rPr>
          <w:rFonts w:ascii="Palatino Linotype" w:eastAsia="Palatino Linotype" w:hAnsi="Palatino Linotype" w:cs="Palatino Linotype"/>
        </w:rPr>
        <w:t>la presente resolución, así como, que de conformidad con lo establecido en el artículo 142 de la Ley de Protección de Datos Personales en Posesión de Sujetos Obligados del Estado de México y Municipios, podrá impugnarla vía Juicio de Amparo en los términos de las leyes aplicables.</w:t>
      </w:r>
    </w:p>
    <w:p w14:paraId="49401725" w14:textId="77777777"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727CD">
        <w:rPr>
          <w:rFonts w:ascii="Palatino Linotype" w:eastAsia="Palatino Linotype" w:hAnsi="Palatino Linotype" w:cs="Palatino Linotype"/>
        </w:rPr>
        <w:t xml:space="preserve"> (AUSENCIA JUSTIFICADA)</w:t>
      </w:r>
      <w:r>
        <w:rPr>
          <w:rFonts w:ascii="Palatino Linotype" w:eastAsia="Palatino Linotype" w:hAnsi="Palatino Linotype" w:cs="Palatino Linotype"/>
        </w:rPr>
        <w:t xml:space="preserve">; LUIS GUSTAVO PARRA NORIEGA Y GUADALUPE RAMÍREZ PEÑA; EN LA </w:t>
      </w:r>
      <w:r w:rsidRPr="00253658">
        <w:rPr>
          <w:rFonts w:ascii="Palatino Linotype" w:eastAsia="Palatino Linotype" w:hAnsi="Palatino Linotype" w:cs="Palatino Linotype"/>
        </w:rPr>
        <w:t>VIGÉSIMA</w:t>
      </w:r>
      <w:r w:rsidR="00253658">
        <w:rPr>
          <w:rFonts w:ascii="Palatino Linotype" w:eastAsia="Palatino Linotype" w:hAnsi="Palatino Linotype" w:cs="Palatino Linotype"/>
        </w:rPr>
        <w:t xml:space="preserve"> </w:t>
      </w:r>
      <w:r w:rsidR="00817434">
        <w:rPr>
          <w:rFonts w:ascii="Palatino Linotype" w:eastAsia="Palatino Linotype" w:hAnsi="Palatino Linotype" w:cs="Palatino Linotype"/>
        </w:rPr>
        <w:t>QUINTA</w:t>
      </w:r>
      <w:r w:rsidR="00253658">
        <w:rPr>
          <w:rFonts w:ascii="Palatino Linotype" w:eastAsia="Palatino Linotype" w:hAnsi="Palatino Linotype" w:cs="Palatino Linotype"/>
        </w:rPr>
        <w:t xml:space="preserve"> </w:t>
      </w:r>
      <w:r w:rsidRPr="00253658">
        <w:rPr>
          <w:rFonts w:ascii="Palatino Linotype" w:eastAsia="Palatino Linotype" w:hAnsi="Palatino Linotype" w:cs="Palatino Linotype"/>
        </w:rPr>
        <w:t xml:space="preserve">SESIÓN ORDINARIA CELEBRADA EL </w:t>
      </w:r>
      <w:r w:rsidR="00817434">
        <w:rPr>
          <w:rFonts w:ascii="Palatino Linotype" w:eastAsia="Palatino Linotype" w:hAnsi="Palatino Linotype" w:cs="Palatino Linotype"/>
        </w:rPr>
        <w:t>SEIS</w:t>
      </w:r>
      <w:r>
        <w:rPr>
          <w:rFonts w:ascii="Palatino Linotype" w:eastAsia="Palatino Linotype" w:hAnsi="Palatino Linotype" w:cs="Palatino Linotype"/>
        </w:rPr>
        <w:t xml:space="preserve"> DE JU</w:t>
      </w:r>
      <w:r w:rsidR="00817434">
        <w:rPr>
          <w:rFonts w:ascii="Palatino Linotype" w:eastAsia="Palatino Linotype" w:hAnsi="Palatino Linotype" w:cs="Palatino Linotype"/>
        </w:rPr>
        <w:t>L</w:t>
      </w:r>
      <w:r>
        <w:rPr>
          <w:rFonts w:ascii="Palatino Linotype" w:eastAsia="Palatino Linotype" w:hAnsi="Palatino Linotype" w:cs="Palatino Linotype"/>
        </w:rPr>
        <w:t>IO DE DOS MIL VEINTIDÓS, ANTE EL SECRETARIO TÉCNICO DEL PLENO, ALEXIS TAPIA RAMÍREZ.</w:t>
      </w:r>
    </w:p>
    <w:p w14:paraId="3AC4BB1C" w14:textId="77777777" w:rsidR="008E523D" w:rsidRDefault="008E523D">
      <w:pPr>
        <w:spacing w:before="240" w:after="240" w:line="360" w:lineRule="auto"/>
        <w:jc w:val="both"/>
        <w:rPr>
          <w:rFonts w:ascii="Palatino Linotype" w:eastAsia="Palatino Linotype" w:hAnsi="Palatino Linotype" w:cs="Palatino Linotype"/>
        </w:rPr>
      </w:pPr>
    </w:p>
    <w:p w14:paraId="284B04C1" w14:textId="77777777" w:rsidR="008E523D" w:rsidRDefault="00B56496">
      <w:pPr>
        <w:spacing w:before="240" w:after="240" w:line="360" w:lineRule="auto"/>
        <w:jc w:val="both"/>
        <w:rPr>
          <w:rFonts w:ascii="Palatino Linotype" w:eastAsia="Palatino Linotype" w:hAnsi="Palatino Linotype" w:cs="Palatino Linotype"/>
        </w:rPr>
      </w:pPr>
      <w:r>
        <w:br w:type="page"/>
      </w:r>
    </w:p>
    <w:p w14:paraId="610222F3" w14:textId="77777777" w:rsidR="008E523D" w:rsidRDefault="008E523D"/>
    <w:sectPr w:rsidR="008E523D">
      <w:headerReference w:type="default" r:id="rId11"/>
      <w:footerReference w:type="default" r:id="rId12"/>
      <w:headerReference w:type="first" r:id="rId13"/>
      <w:footerReference w:type="first" r:id="rId14"/>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F7222" w14:textId="77777777" w:rsidR="00EF1A7F" w:rsidRDefault="00EF1A7F">
      <w:r>
        <w:separator/>
      </w:r>
    </w:p>
  </w:endnote>
  <w:endnote w:type="continuationSeparator" w:id="0">
    <w:p w14:paraId="26FB6BFA" w14:textId="77777777" w:rsidR="00EF1A7F" w:rsidRDefault="00EF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DCD83" w14:textId="77777777" w:rsidR="001A50CD" w:rsidRDefault="001A50C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041FE">
      <w:rPr>
        <w:rFonts w:ascii="Palatino Linotype" w:eastAsia="Palatino Linotype" w:hAnsi="Palatino Linotype" w:cs="Palatino Linotype"/>
        <w:b/>
        <w:noProof/>
        <w:color w:val="000000"/>
        <w:sz w:val="20"/>
        <w:szCs w:val="20"/>
      </w:rPr>
      <w:t>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041FE">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7DA202D0" w14:textId="77777777" w:rsidR="001A50CD" w:rsidRDefault="001A50CD">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82209" w14:textId="77777777" w:rsidR="001A50CD" w:rsidRDefault="001A50CD">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4041FE">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4041FE">
      <w:rPr>
        <w:rFonts w:ascii="Palatino Linotype" w:eastAsia="Palatino Linotype" w:hAnsi="Palatino Linotype" w:cs="Palatino Linotype"/>
        <w:b/>
        <w:noProof/>
        <w:sz w:val="20"/>
        <w:szCs w:val="20"/>
      </w:rPr>
      <w:t>20</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A797E" w14:textId="77777777" w:rsidR="00EF1A7F" w:rsidRDefault="00EF1A7F">
      <w:r>
        <w:separator/>
      </w:r>
    </w:p>
  </w:footnote>
  <w:footnote w:type="continuationSeparator" w:id="0">
    <w:p w14:paraId="2B9FB46C" w14:textId="77777777" w:rsidR="00EF1A7F" w:rsidRDefault="00EF1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14772" w14:textId="77777777" w:rsidR="001A50CD" w:rsidRDefault="001A50CD">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571E34C2" wp14:editId="3CDAE539">
          <wp:simplePos x="0" y="0"/>
          <wp:positionH relativeFrom="column">
            <wp:posOffset>-754373</wp:posOffset>
          </wp:positionH>
          <wp:positionV relativeFrom="paragraph">
            <wp:posOffset>6350</wp:posOffset>
          </wp:positionV>
          <wp:extent cx="7635163" cy="9944100"/>
          <wp:effectExtent l="0" t="0" r="0" b="0"/>
          <wp:wrapNone/>
          <wp:docPr id="28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8"/>
      <w:tblW w:w="5812" w:type="dxa"/>
      <w:tblInd w:w="2835" w:type="dxa"/>
      <w:tblLayout w:type="fixed"/>
      <w:tblLook w:val="0400" w:firstRow="0" w:lastRow="0" w:firstColumn="0" w:lastColumn="0" w:noHBand="0" w:noVBand="1"/>
    </w:tblPr>
    <w:tblGrid>
      <w:gridCol w:w="2551"/>
      <w:gridCol w:w="3261"/>
    </w:tblGrid>
    <w:tr w:rsidR="001A50CD" w14:paraId="2675D9EB" w14:textId="77777777">
      <w:tc>
        <w:tcPr>
          <w:tcW w:w="2551" w:type="dxa"/>
          <w:vAlign w:val="center"/>
        </w:tcPr>
        <w:p w14:paraId="5DFECE08" w14:textId="77777777" w:rsidR="001A50CD" w:rsidRDefault="001A50C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261" w:type="dxa"/>
          <w:vAlign w:val="center"/>
        </w:tcPr>
        <w:p w14:paraId="1332FF39" w14:textId="77777777" w:rsidR="001A50CD" w:rsidRDefault="001A50CD" w:rsidP="00916C5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05244/INFOEM/AD/RR/2022 y acumulados</w:t>
          </w:r>
        </w:p>
      </w:tc>
    </w:tr>
    <w:tr w:rsidR="001A50CD" w14:paraId="3C39F5DA" w14:textId="77777777">
      <w:trPr>
        <w:trHeight w:val="228"/>
      </w:trPr>
      <w:tc>
        <w:tcPr>
          <w:tcW w:w="2551" w:type="dxa"/>
          <w:vAlign w:val="center"/>
        </w:tcPr>
        <w:p w14:paraId="1235C64B" w14:textId="77777777" w:rsidR="001A50CD" w:rsidRDefault="001A50C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261" w:type="dxa"/>
          <w:vAlign w:val="center"/>
        </w:tcPr>
        <w:p w14:paraId="3404EE62" w14:textId="77777777" w:rsidR="001A50CD" w:rsidRDefault="001A50CD" w:rsidP="00171F53">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2"/>
              <w:szCs w:val="22"/>
            </w:rPr>
            <w:t>Ayuntamiento de Valle de Bravo</w:t>
          </w:r>
        </w:p>
      </w:tc>
    </w:tr>
    <w:tr w:rsidR="001A50CD" w14:paraId="02DA66DB" w14:textId="77777777">
      <w:tc>
        <w:tcPr>
          <w:tcW w:w="2551" w:type="dxa"/>
          <w:vAlign w:val="center"/>
        </w:tcPr>
        <w:p w14:paraId="16997447" w14:textId="77777777" w:rsidR="001A50CD" w:rsidRDefault="001A50C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14:paraId="180E9798" w14:textId="77777777" w:rsidR="001A50CD" w:rsidRDefault="001A50CD">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A8A1B9" w14:textId="77777777" w:rsidR="001A50CD" w:rsidRDefault="001A50CD">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41866" w14:textId="77777777" w:rsidR="001A50CD" w:rsidRDefault="001A50CD">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14:anchorId="34988104" wp14:editId="599A50F7">
          <wp:simplePos x="0" y="0"/>
          <wp:positionH relativeFrom="column">
            <wp:posOffset>-1188713</wp:posOffset>
          </wp:positionH>
          <wp:positionV relativeFrom="paragraph">
            <wp:posOffset>-447033</wp:posOffset>
          </wp:positionV>
          <wp:extent cx="7635163" cy="9944100"/>
          <wp:effectExtent l="0" t="0" r="0" b="0"/>
          <wp:wrapNone/>
          <wp:docPr id="28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7"/>
      <w:tblW w:w="5670" w:type="dxa"/>
      <w:tblInd w:w="3261" w:type="dxa"/>
      <w:tblLayout w:type="fixed"/>
      <w:tblLook w:val="0400" w:firstRow="0" w:lastRow="0" w:firstColumn="0" w:lastColumn="0" w:noHBand="0" w:noVBand="1"/>
    </w:tblPr>
    <w:tblGrid>
      <w:gridCol w:w="2551"/>
      <w:gridCol w:w="3119"/>
    </w:tblGrid>
    <w:tr w:rsidR="001A50CD" w14:paraId="7FDAD547" w14:textId="77777777">
      <w:tc>
        <w:tcPr>
          <w:tcW w:w="2551" w:type="dxa"/>
          <w:shd w:val="clear" w:color="auto" w:fill="auto"/>
          <w:vAlign w:val="center"/>
        </w:tcPr>
        <w:p w14:paraId="6938D86B" w14:textId="77777777" w:rsidR="001A50CD" w:rsidRDefault="001A50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4D37922" w14:textId="77777777" w:rsidR="001A50CD" w:rsidRDefault="001A50CD" w:rsidP="00916C54">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05244/INFOEM/AD/RR/2022 y acumulado</w:t>
          </w:r>
        </w:p>
      </w:tc>
    </w:tr>
    <w:tr w:rsidR="001A50CD" w14:paraId="1F3906F8" w14:textId="77777777">
      <w:trPr>
        <w:trHeight w:val="130"/>
      </w:trPr>
      <w:tc>
        <w:tcPr>
          <w:tcW w:w="2551" w:type="dxa"/>
          <w:shd w:val="clear" w:color="auto" w:fill="auto"/>
          <w:vAlign w:val="center"/>
        </w:tcPr>
        <w:p w14:paraId="09351363" w14:textId="77777777" w:rsidR="001A50CD" w:rsidRDefault="001A50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435638D" w14:textId="413313FF" w:rsidR="001A50CD" w:rsidRDefault="00F73433" w:rsidP="00F73433">
          <w:pPr>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w:t>
          </w:r>
          <w:r w:rsidR="0054468A">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w:t>
          </w:r>
          <w:r w:rsidR="0054468A">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w:t>
          </w:r>
          <w:r w:rsidR="0054468A">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w:t>
          </w:r>
        </w:p>
      </w:tc>
    </w:tr>
    <w:tr w:rsidR="001A50CD" w14:paraId="4AC1DE7C" w14:textId="77777777">
      <w:trPr>
        <w:trHeight w:val="228"/>
      </w:trPr>
      <w:tc>
        <w:tcPr>
          <w:tcW w:w="2551" w:type="dxa"/>
          <w:shd w:val="clear" w:color="auto" w:fill="auto"/>
          <w:vAlign w:val="center"/>
        </w:tcPr>
        <w:p w14:paraId="69CD1D66" w14:textId="77777777" w:rsidR="001A50CD" w:rsidRDefault="001A50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CEDD2EE" w14:textId="77777777" w:rsidR="001A50CD" w:rsidRDefault="001A50CD" w:rsidP="00171F53">
          <w:pPr>
            <w:ind w:left="-45"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Valle de Bravo</w:t>
          </w:r>
        </w:p>
      </w:tc>
    </w:tr>
    <w:tr w:rsidR="001A50CD" w14:paraId="114380CC" w14:textId="77777777">
      <w:tc>
        <w:tcPr>
          <w:tcW w:w="2551" w:type="dxa"/>
          <w:shd w:val="clear" w:color="auto" w:fill="auto"/>
          <w:vAlign w:val="center"/>
        </w:tcPr>
        <w:p w14:paraId="0A8115CA" w14:textId="77777777" w:rsidR="001A50CD" w:rsidRDefault="001A50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52D9896" w14:textId="77777777" w:rsidR="001A50CD" w:rsidRDefault="001A50CD">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5B0BE77" w14:textId="77777777" w:rsidR="001A50CD" w:rsidRDefault="001A50C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97DB3"/>
    <w:multiLevelType w:val="hybridMultilevel"/>
    <w:tmpl w:val="2EB2BF0E"/>
    <w:lvl w:ilvl="0" w:tplc="996A26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64304F"/>
    <w:multiLevelType w:val="multilevel"/>
    <w:tmpl w:val="1B24A41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5777E2"/>
    <w:multiLevelType w:val="multilevel"/>
    <w:tmpl w:val="E0E44E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1A6322"/>
    <w:multiLevelType w:val="hybridMultilevel"/>
    <w:tmpl w:val="559A6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301431"/>
    <w:multiLevelType w:val="multilevel"/>
    <w:tmpl w:val="8708A882"/>
    <w:lvl w:ilvl="0">
      <w:start w:val="1"/>
      <w:numFmt w:val="lowerLetter"/>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753816"/>
    <w:multiLevelType w:val="multilevel"/>
    <w:tmpl w:val="BD3884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5"/>
  </w:num>
  <w:num w:numId="3">
    <w:abstractNumId w:val="4"/>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3D"/>
    <w:rsid w:val="00151D4F"/>
    <w:rsid w:val="00171F53"/>
    <w:rsid w:val="001A50CD"/>
    <w:rsid w:val="00212123"/>
    <w:rsid w:val="00253658"/>
    <w:rsid w:val="002727CD"/>
    <w:rsid w:val="002E5FB4"/>
    <w:rsid w:val="004041FE"/>
    <w:rsid w:val="00451A3D"/>
    <w:rsid w:val="00484834"/>
    <w:rsid w:val="004958B3"/>
    <w:rsid w:val="0054468A"/>
    <w:rsid w:val="0056417B"/>
    <w:rsid w:val="00817434"/>
    <w:rsid w:val="008E523D"/>
    <w:rsid w:val="00916C54"/>
    <w:rsid w:val="009331BE"/>
    <w:rsid w:val="009B621A"/>
    <w:rsid w:val="00A06DF4"/>
    <w:rsid w:val="00A91840"/>
    <w:rsid w:val="00AB6365"/>
    <w:rsid w:val="00B56496"/>
    <w:rsid w:val="00BE22C9"/>
    <w:rsid w:val="00BF4C57"/>
    <w:rsid w:val="00C71B19"/>
    <w:rsid w:val="00D75103"/>
    <w:rsid w:val="00DC684A"/>
    <w:rsid w:val="00EF1A7F"/>
    <w:rsid w:val="00F734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AFC6"/>
  <w15:docId w15:val="{261909D4-5757-408F-A23D-2AE00DE7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08" w:type="dxa"/>
        <w:right w:w="108" w:type="dxa"/>
      </w:tblCellMar>
    </w:tblPr>
  </w:style>
  <w:style w:type="table" w:customStyle="1" w:styleId="a0">
    <w:basedOn w:val="TableNormal6"/>
    <w:tblPr>
      <w:tblStyleRowBandSize w:val="1"/>
      <w:tblStyleColBandSize w:val="1"/>
      <w:tblCellMar>
        <w:left w:w="108" w:type="dxa"/>
        <w:right w:w="108" w:type="dxa"/>
      </w:tblCellMar>
    </w:tblPr>
  </w:style>
  <w:style w:type="table" w:customStyle="1" w:styleId="a1">
    <w:basedOn w:val="TableNormal6"/>
    <w:tblPr>
      <w:tblStyleRowBandSize w:val="1"/>
      <w:tblStyleColBandSize w:val="1"/>
      <w:tblCellMar>
        <w:left w:w="115" w:type="dxa"/>
        <w:right w:w="115" w:type="dxa"/>
      </w:tblCellMar>
    </w:tblPr>
  </w:style>
  <w:style w:type="table" w:customStyle="1" w:styleId="a2">
    <w:basedOn w:val="TableNormal6"/>
    <w:tblPr>
      <w:tblStyleRowBandSize w:val="1"/>
      <w:tblStyleColBandSize w:val="1"/>
      <w:tblCellMar>
        <w:left w:w="108" w:type="dxa"/>
        <w:right w:w="108"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6"/>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6"/>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table" w:customStyle="1" w:styleId="a9">
    <w:basedOn w:val="TableNormal6"/>
    <w:tblPr>
      <w:tblStyleRowBandSize w:val="1"/>
      <w:tblStyleColBandSize w:val="1"/>
      <w:tblCellMar>
        <w:left w:w="115" w:type="dxa"/>
        <w:right w:w="115" w:type="dxa"/>
      </w:tblCellMar>
    </w:tblPr>
  </w:style>
  <w:style w:type="table" w:customStyle="1" w:styleId="aa">
    <w:basedOn w:val="TableNormal6"/>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07512A"/>
    <w:pPr>
      <w:numPr>
        <w:numId w:val="3"/>
      </w:numPr>
      <w:contextualSpacing/>
    </w:pPr>
    <w:rPr>
      <w:lang w:eastAsia="es-MX"/>
    </w:rPr>
  </w:style>
  <w:style w:type="table" w:customStyle="1" w:styleId="ad">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e">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2">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3">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4">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5">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6">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7">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8">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9">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a">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b">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c">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d">
    <w:basedOn w:val="TableNormal3"/>
    <w:tblPr>
      <w:tblStyleRowBandSize w:val="1"/>
      <w:tblStyleColBandSize w:val="1"/>
      <w:tblCellMar>
        <w:left w:w="115" w:type="dxa"/>
        <w:right w:w="115" w:type="dxa"/>
      </w:tblCellMar>
    </w:tblPr>
  </w:style>
  <w:style w:type="table" w:customStyle="1" w:styleId="afe">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0">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1">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2">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3">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4">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5">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6">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7">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8">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9">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a">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b">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c">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d">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e">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0">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1">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2">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3">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4">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5">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6">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7">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8">
    <w:basedOn w:val="TableNormal0"/>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zf7K3mclCnEZaZCajijKh28qmQ==">AMUW2mUH25YoQTDDlWLobZkFQlQChtOlMreYIrKsch9ZXDa1kCOi5uYe+D3dTumLR66EHCR9ggWFQpDz4MrTlQw/URhs5FpJPdLAHaKzwgJ9snroDeYtOovSzWeWHhk73rmKNS/1LqpuxkIHd9iLcfRqoVZhCoKaWzea9AJZsi8mbrEi8ahgb6+ilOVROGPvWraJ3ketyXzW5o+/j0EMkr8eEujexKLdAcu1R6wLJu1cFHNHuBgVNW8=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3781</Words>
  <Characters>20799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24531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USUARIO</cp:lastModifiedBy>
  <cp:revision>2</cp:revision>
  <cp:lastPrinted>2022-07-08T17:35:00Z</cp:lastPrinted>
  <dcterms:created xsi:type="dcterms:W3CDTF">2022-08-04T22:38:00Z</dcterms:created>
  <dcterms:modified xsi:type="dcterms:W3CDTF">2022-08-04T22:38:00Z</dcterms:modified>
</cp:coreProperties>
</file>