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E46C5" w14:textId="77777777" w:rsidR="008D0CF1" w:rsidRDefault="008D0CF1">
      <w:pPr>
        <w:widowControl w:val="0"/>
        <w:pBdr>
          <w:top w:val="nil"/>
          <w:left w:val="nil"/>
          <w:bottom w:val="nil"/>
          <w:right w:val="nil"/>
          <w:between w:val="nil"/>
        </w:pBdr>
        <w:spacing w:line="276" w:lineRule="auto"/>
      </w:pPr>
    </w:p>
    <w:p w14:paraId="17FDBAFA" w14:textId="77777777" w:rsidR="008D0CF1" w:rsidRDefault="00402401">
      <w:pPr>
        <w:tabs>
          <w:tab w:val="left" w:pos="3465"/>
        </w:tabs>
        <w:spacing w:line="360" w:lineRule="auto"/>
        <w:ind w:right="-787"/>
        <w:jc w:val="both"/>
        <w:rPr>
          <w:rFonts w:ascii="Palatino Linotype" w:eastAsia="Palatino Linotype" w:hAnsi="Palatino Linotype" w:cs="Palatino Linotype"/>
        </w:rPr>
      </w:pPr>
      <w:bookmarkStart w:id="0" w:name="_heading=h.gjdgxs" w:colFirst="0" w:colLast="0"/>
      <w:bookmarkEnd w:id="0"/>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once (11) de septiembre de dos mil veinticuatro.</w:t>
      </w:r>
    </w:p>
    <w:p w14:paraId="7BFAC044" w14:textId="77777777" w:rsidR="008D0CF1" w:rsidRDefault="008D0CF1">
      <w:pPr>
        <w:tabs>
          <w:tab w:val="left" w:pos="3465"/>
        </w:tabs>
        <w:spacing w:line="360" w:lineRule="auto"/>
        <w:ind w:right="-787"/>
        <w:jc w:val="both"/>
        <w:rPr>
          <w:rFonts w:ascii="Palatino Linotype" w:eastAsia="Palatino Linotype" w:hAnsi="Palatino Linotype" w:cs="Palatino Linotype"/>
        </w:rPr>
      </w:pPr>
    </w:p>
    <w:p w14:paraId="5DAEDA6D" w14:textId="5A5C954D" w:rsidR="008D0CF1" w:rsidRDefault="00402401">
      <w:p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 xml:space="preserve">VISTAS </w:t>
      </w:r>
      <w:r>
        <w:rPr>
          <w:rFonts w:ascii="Palatino Linotype" w:eastAsia="Palatino Linotype" w:hAnsi="Palatino Linotype" w:cs="Palatino Linotype"/>
        </w:rPr>
        <w:t xml:space="preserve">las constancias para resolver el Recurso de Revisión presentado por </w:t>
      </w:r>
      <w:r w:rsidR="00BB5823">
        <w:rPr>
          <w:rFonts w:ascii="Palatino Linotype" w:eastAsia="Palatino Linotype" w:hAnsi="Palatino Linotype" w:cs="Palatino Linotype"/>
          <w:b/>
        </w:rPr>
        <w:t xml:space="preserve">XXX </w:t>
      </w:r>
      <w:proofErr w:type="spellStart"/>
      <w:r w:rsidR="00BB5823">
        <w:rPr>
          <w:rFonts w:ascii="Palatino Linotype" w:eastAsia="Palatino Linotype" w:hAnsi="Palatino Linotype" w:cs="Palatino Linotype"/>
          <w:b/>
        </w:rPr>
        <w:t>XXX</w:t>
      </w:r>
      <w:proofErr w:type="spellEnd"/>
      <w:r w:rsidR="00BB5823">
        <w:rPr>
          <w:rFonts w:ascii="Palatino Linotype" w:eastAsia="Palatino Linotype" w:hAnsi="Palatino Linotype" w:cs="Palatino Linotype"/>
          <w:b/>
        </w:rPr>
        <w:t xml:space="preserve"> </w:t>
      </w:r>
      <w:proofErr w:type="spellStart"/>
      <w:r w:rsidR="00BB5823">
        <w:rPr>
          <w:rFonts w:ascii="Palatino Linotype" w:eastAsia="Palatino Linotype" w:hAnsi="Palatino Linotype" w:cs="Palatino Linotype"/>
          <w:b/>
        </w:rPr>
        <w:t>XXX</w:t>
      </w:r>
      <w:proofErr w:type="spellEnd"/>
      <w:r w:rsidRPr="00F23131">
        <w:rPr>
          <w:rFonts w:ascii="Palatino Linotype" w:eastAsia="Palatino Linotype" w:hAnsi="Palatino Linotype" w:cs="Palatino Linotype"/>
          <w:b/>
        </w:rPr>
        <w:t>,</w:t>
      </w:r>
      <w:r w:rsidRPr="00F23131">
        <w:rPr>
          <w:rFonts w:ascii="Palatino Linotype" w:eastAsia="Palatino Linotype" w:hAnsi="Palatino Linotype" w:cs="Palatino Linotype"/>
        </w:rPr>
        <w:t xml:space="preserve"> en lo sucesivo la </w:t>
      </w:r>
      <w:r w:rsidRPr="00F23131">
        <w:rPr>
          <w:rFonts w:ascii="Palatino Linotype" w:eastAsia="Palatino Linotype" w:hAnsi="Palatino Linotype" w:cs="Palatino Linotype"/>
          <w:b/>
        </w:rPr>
        <w:t>RECURRENTE,</w:t>
      </w:r>
      <w:r w:rsidRPr="00F23131">
        <w:rPr>
          <w:rFonts w:ascii="Palatino Linotype" w:eastAsia="Palatino Linotype" w:hAnsi="Palatino Linotype" w:cs="Palatino Linotype"/>
        </w:rPr>
        <w:t xml:space="preserve"> en contra de la respuesta otorgada a la solicitud de </w:t>
      </w:r>
      <w:r w:rsidR="00837D8F" w:rsidRPr="00F23131">
        <w:rPr>
          <w:rFonts w:ascii="Palatino Linotype" w:eastAsia="Palatino Linotype" w:hAnsi="Palatino Linotype" w:cs="Palatino Linotype"/>
        </w:rPr>
        <w:t>acceso a datos personales</w:t>
      </w:r>
      <w:r w:rsidRPr="00F23131">
        <w:rPr>
          <w:rFonts w:ascii="Palatino Linotype" w:eastAsia="Palatino Linotype" w:hAnsi="Palatino Linotype" w:cs="Palatino Linotype"/>
        </w:rPr>
        <w:t xml:space="preserve"> con número</w:t>
      </w:r>
      <w:r>
        <w:rPr>
          <w:rFonts w:ascii="Palatino Linotype" w:eastAsia="Palatino Linotype" w:hAnsi="Palatino Linotype" w:cs="Palatino Linotype"/>
        </w:rPr>
        <w:t xml:space="preserve"> de folio </w:t>
      </w:r>
      <w:r>
        <w:rPr>
          <w:rFonts w:ascii="Palatino Linotype" w:eastAsia="Palatino Linotype" w:hAnsi="Palatino Linotype" w:cs="Palatino Linotype"/>
          <w:b/>
        </w:rPr>
        <w:t>00867/ISSEMYM/AD/2023</w:t>
      </w:r>
      <w:r>
        <w:rPr>
          <w:rFonts w:ascii="Palatino Linotype" w:eastAsia="Palatino Linotype" w:hAnsi="Palatino Linotype" w:cs="Palatino Linotype"/>
        </w:rPr>
        <w:t xml:space="preserve">, que dio origen al Recurso de Revisión </w:t>
      </w:r>
      <w:r>
        <w:rPr>
          <w:rFonts w:ascii="Palatino Linotype" w:eastAsia="Palatino Linotype" w:hAnsi="Palatino Linotype" w:cs="Palatino Linotype"/>
          <w:b/>
        </w:rPr>
        <w:t>00058/INFOEM/AD/RR/2024</w:t>
      </w:r>
      <w:r>
        <w:rPr>
          <w:rFonts w:ascii="Palatino Linotype" w:eastAsia="Palatino Linotype" w:hAnsi="Palatino Linotype" w:cs="Palatino Linotype"/>
        </w:rPr>
        <w:t xml:space="preserve">, por parte del </w:t>
      </w:r>
      <w:r>
        <w:rPr>
          <w:rFonts w:ascii="Palatino Linotype" w:eastAsia="Palatino Linotype" w:hAnsi="Palatino Linotype" w:cs="Palatino Linotype"/>
          <w:b/>
        </w:rPr>
        <w:t xml:space="preserve">Instituto de Seguridad Social del Estado de México y Municipios </w:t>
      </w:r>
      <w:r>
        <w:rPr>
          <w:rFonts w:ascii="Palatino Linotype" w:eastAsia="Palatino Linotype" w:hAnsi="Palatino Linotype" w:cs="Palatino Linotype"/>
        </w:rPr>
        <w:t xml:space="preserve">en adelante </w:t>
      </w:r>
      <w:r>
        <w:rPr>
          <w:rFonts w:ascii="Palatino Linotype" w:eastAsia="Palatino Linotype" w:hAnsi="Palatino Linotype" w:cs="Palatino Linotype"/>
          <w:b/>
        </w:rPr>
        <w:t>el SUJETO OBLIGADO</w:t>
      </w:r>
      <w:r>
        <w:rPr>
          <w:rFonts w:ascii="Palatino Linotype" w:eastAsia="Palatino Linotype" w:hAnsi="Palatino Linotype" w:cs="Palatino Linotype"/>
        </w:rPr>
        <w:t>, se emite la presente resolución con base en los siguientes:</w:t>
      </w:r>
    </w:p>
    <w:p w14:paraId="17FE6CD4" w14:textId="77777777" w:rsidR="008D0CF1" w:rsidRDefault="008D0CF1">
      <w:pPr>
        <w:spacing w:line="360" w:lineRule="auto"/>
        <w:ind w:right="-787"/>
        <w:jc w:val="both"/>
        <w:rPr>
          <w:rFonts w:ascii="Palatino Linotype" w:eastAsia="Palatino Linotype" w:hAnsi="Palatino Linotype" w:cs="Palatino Linotype"/>
          <w:b/>
        </w:rPr>
      </w:pPr>
    </w:p>
    <w:p w14:paraId="16A1C3B4" w14:textId="77777777" w:rsidR="008D0CF1" w:rsidRDefault="00402401">
      <w:pPr>
        <w:pStyle w:val="Ttulo1"/>
        <w:spacing w:before="0" w:line="360" w:lineRule="auto"/>
        <w:ind w:right="-787"/>
        <w:jc w:val="center"/>
        <w:rPr>
          <w:rFonts w:ascii="Palatino Linotype" w:eastAsia="Palatino Linotype" w:hAnsi="Palatino Linotype" w:cs="Palatino Linotype"/>
          <w:b/>
          <w:color w:val="000000"/>
          <w:sz w:val="24"/>
          <w:szCs w:val="24"/>
        </w:rPr>
      </w:pPr>
      <w:bookmarkStart w:id="1" w:name="_heading=h.30j0zll" w:colFirst="0" w:colLast="0"/>
      <w:bookmarkEnd w:id="1"/>
      <w:r>
        <w:rPr>
          <w:rFonts w:ascii="Palatino Linotype" w:eastAsia="Palatino Linotype" w:hAnsi="Palatino Linotype" w:cs="Palatino Linotype"/>
          <w:b/>
          <w:color w:val="000000"/>
          <w:sz w:val="24"/>
          <w:szCs w:val="24"/>
        </w:rPr>
        <w:t>A N T E C E D E N T E S</w:t>
      </w:r>
    </w:p>
    <w:p w14:paraId="56DD9D31" w14:textId="77777777" w:rsidR="008D0CF1" w:rsidRDefault="008D0CF1">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u w:val="single"/>
        </w:rPr>
      </w:pPr>
    </w:p>
    <w:p w14:paraId="0EE4419D" w14:textId="77777777" w:rsidR="008D0CF1" w:rsidRDefault="00402401">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veintidós de noviembre de dos mil veintitrés</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 presentó ante el Sujeto Obligado vía </w:t>
      </w:r>
      <w:r>
        <w:rPr>
          <w:rFonts w:ascii="Palatino Linotype" w:eastAsia="Palatino Linotype" w:hAnsi="Palatino Linotype" w:cs="Palatino Linotype"/>
        </w:rPr>
        <w:t>Sistema de Acceso, Rectificación, Cancelación y Oposición de Datos Personales en el Estado de México en lo subsecuente SARCOEM</w:t>
      </w:r>
      <w:r>
        <w:rPr>
          <w:rFonts w:ascii="Palatino Linotype" w:eastAsia="Palatino Linotype" w:hAnsi="Palatino Linotype" w:cs="Palatino Linotype"/>
          <w:color w:val="000000"/>
        </w:rPr>
        <w:t>, la siguiente solicitud de acceso a datos:</w:t>
      </w:r>
    </w:p>
    <w:p w14:paraId="65B5CB38" w14:textId="77777777" w:rsidR="008D0CF1" w:rsidRDefault="008D0CF1">
      <w:pPr>
        <w:pBdr>
          <w:top w:val="nil"/>
          <w:left w:val="nil"/>
          <w:bottom w:val="nil"/>
          <w:right w:val="nil"/>
          <w:between w:val="nil"/>
        </w:pBdr>
        <w:tabs>
          <w:tab w:val="left" w:pos="0"/>
        </w:tabs>
        <w:spacing w:line="360" w:lineRule="auto"/>
        <w:ind w:left="502" w:right="-787"/>
        <w:jc w:val="both"/>
        <w:rPr>
          <w:rFonts w:ascii="Palatino Linotype" w:eastAsia="Palatino Linotype" w:hAnsi="Palatino Linotype" w:cs="Palatino Linotype"/>
        </w:rPr>
      </w:pPr>
    </w:p>
    <w:p w14:paraId="0A42237A" w14:textId="5E231822" w:rsidR="008D0CF1" w:rsidRDefault="00402401">
      <w:pPr>
        <w:pBdr>
          <w:top w:val="nil"/>
          <w:left w:val="nil"/>
          <w:bottom w:val="nil"/>
          <w:right w:val="nil"/>
          <w:between w:val="nil"/>
        </w:pBdr>
        <w:ind w:left="425" w:right="-78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“SOLICITO MI DICTAMEN DE INHABILITACION PERMANENTE DE INCAPACIDAD POR RIESGOS DE TRABAJO, LO REQUIERO EN 5 COPIAS CERTIFICADAS, CON CLAVE ISSEMYM </w:t>
      </w:r>
      <w:r w:rsidR="00BB5823">
        <w:rPr>
          <w:rFonts w:ascii="Palatino Linotype" w:eastAsia="Palatino Linotype" w:hAnsi="Palatino Linotype" w:cs="Palatino Linotype"/>
          <w:i/>
          <w:color w:val="000000"/>
        </w:rPr>
        <w:t xml:space="preserve">XXX </w:t>
      </w:r>
      <w:proofErr w:type="spellStart"/>
      <w:r w:rsidR="00BB5823">
        <w:rPr>
          <w:rFonts w:ascii="Palatino Linotype" w:eastAsia="Palatino Linotype" w:hAnsi="Palatino Linotype" w:cs="Palatino Linotype"/>
          <w:i/>
          <w:color w:val="000000"/>
        </w:rPr>
        <w:t>XXX</w:t>
      </w:r>
      <w:proofErr w:type="spellEnd"/>
      <w:r>
        <w:rPr>
          <w:rFonts w:ascii="Palatino Linotype" w:eastAsia="Palatino Linotype" w:hAnsi="Palatino Linotype" w:cs="Palatino Linotype"/>
          <w:i/>
          <w:color w:val="000000"/>
        </w:rPr>
        <w:t>, DEL CENTRO MÉDICO ISSEMYM TOLUCA”</w:t>
      </w:r>
    </w:p>
    <w:p w14:paraId="0CF56880" w14:textId="3DB6AFBF" w:rsidR="00BB5823" w:rsidRDefault="00BB5823">
      <w:pPr>
        <w:pBdr>
          <w:top w:val="nil"/>
          <w:left w:val="nil"/>
          <w:bottom w:val="nil"/>
          <w:right w:val="nil"/>
          <w:between w:val="nil"/>
        </w:pBdr>
        <w:ind w:left="425" w:right="-787"/>
        <w:jc w:val="both"/>
        <w:rPr>
          <w:rFonts w:ascii="Palatino Linotype" w:eastAsia="Palatino Linotype" w:hAnsi="Palatino Linotype" w:cs="Palatino Linotype"/>
          <w:i/>
          <w:color w:val="000000"/>
        </w:rPr>
      </w:pPr>
    </w:p>
    <w:p w14:paraId="2657A3AA" w14:textId="0361B642" w:rsidR="008D0CF1" w:rsidRDefault="008D0CF1" w:rsidP="00BB5823">
      <w:pPr>
        <w:pBdr>
          <w:top w:val="nil"/>
          <w:left w:val="nil"/>
          <w:bottom w:val="nil"/>
          <w:right w:val="nil"/>
          <w:between w:val="nil"/>
        </w:pBdr>
        <w:ind w:right="-787"/>
        <w:jc w:val="both"/>
        <w:rPr>
          <w:rFonts w:ascii="Palatino Linotype" w:eastAsia="Palatino Linotype" w:hAnsi="Palatino Linotype" w:cs="Palatino Linotype"/>
          <w:i/>
          <w:color w:val="000000"/>
        </w:rPr>
      </w:pPr>
    </w:p>
    <w:p w14:paraId="5699B6A6" w14:textId="77777777" w:rsidR="00BB5823" w:rsidRDefault="00BB5823" w:rsidP="00BB5823">
      <w:pPr>
        <w:pBdr>
          <w:top w:val="nil"/>
          <w:left w:val="nil"/>
          <w:bottom w:val="nil"/>
          <w:right w:val="nil"/>
          <w:between w:val="nil"/>
        </w:pBdr>
        <w:ind w:right="-787"/>
        <w:jc w:val="both"/>
        <w:rPr>
          <w:rFonts w:ascii="Palatino Linotype" w:eastAsia="Palatino Linotype" w:hAnsi="Palatino Linotype" w:cs="Palatino Linotype"/>
          <w:i/>
        </w:rPr>
      </w:pPr>
    </w:p>
    <w:p w14:paraId="0B2E67E9" w14:textId="3249E7D2" w:rsidR="008D0CF1" w:rsidRDefault="00402401">
      <w:pPr>
        <w:numPr>
          <w:ilvl w:val="0"/>
          <w:numId w:val="5"/>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Se adjuntó el archivo denominado </w:t>
      </w:r>
      <w:r w:rsidR="00BB5823">
        <w:rPr>
          <w:rFonts w:ascii="Palatino Linotype" w:eastAsia="Palatino Linotype" w:hAnsi="Palatino Linotype" w:cs="Palatino Linotype"/>
          <w:b/>
          <w:color w:val="000000"/>
        </w:rPr>
        <w:t xml:space="preserve">XXX </w:t>
      </w:r>
      <w:proofErr w:type="spellStart"/>
      <w:r w:rsidR="00BB5823">
        <w:rPr>
          <w:rFonts w:ascii="Palatino Linotype" w:eastAsia="Palatino Linotype" w:hAnsi="Palatino Linotype" w:cs="Palatino Linotype"/>
          <w:b/>
          <w:color w:val="000000"/>
        </w:rPr>
        <w:t>XXX</w:t>
      </w:r>
      <w:proofErr w:type="spellEnd"/>
      <w:r w:rsidR="00BB5823">
        <w:rPr>
          <w:rFonts w:ascii="Palatino Linotype" w:eastAsia="Palatino Linotype" w:hAnsi="Palatino Linotype" w:cs="Palatino Linotype"/>
          <w:b/>
          <w:color w:val="000000"/>
        </w:rPr>
        <w:t xml:space="preserve"> XXX</w:t>
      </w:r>
      <w:r>
        <w:rPr>
          <w:rFonts w:ascii="Palatino Linotype" w:eastAsia="Palatino Linotype" w:hAnsi="Palatino Linotype" w:cs="Palatino Linotype"/>
          <w:b/>
          <w:color w:val="000000"/>
        </w:rPr>
        <w:t xml:space="preserve">.pdf, </w:t>
      </w:r>
      <w:r>
        <w:rPr>
          <w:rFonts w:ascii="Palatino Linotype" w:eastAsia="Palatino Linotype" w:hAnsi="Palatino Linotype" w:cs="Palatino Linotype"/>
          <w:color w:val="000000"/>
        </w:rPr>
        <w:t>cuyo contenido corresponde a la credencial para votar y de derechohabiente del Instituto de Seguridad Social del Estado de México y Municipios, pertenecientes a la hoy Recurrente.</w:t>
      </w:r>
    </w:p>
    <w:p w14:paraId="0E54FD23" w14:textId="77777777" w:rsidR="008D0CF1" w:rsidRDefault="008D0CF1">
      <w:pPr>
        <w:pBdr>
          <w:top w:val="nil"/>
          <w:left w:val="nil"/>
          <w:bottom w:val="nil"/>
          <w:right w:val="nil"/>
          <w:between w:val="nil"/>
        </w:pBdr>
        <w:spacing w:line="360" w:lineRule="auto"/>
        <w:ind w:left="1080" w:right="-787"/>
        <w:jc w:val="both"/>
        <w:rPr>
          <w:rFonts w:ascii="Palatino Linotype" w:eastAsia="Palatino Linotype" w:hAnsi="Palatino Linotype" w:cs="Palatino Linotype"/>
          <w:color w:val="000000"/>
        </w:rPr>
      </w:pPr>
    </w:p>
    <w:p w14:paraId="6D7FD0A0" w14:textId="77777777" w:rsidR="008D0CF1" w:rsidRDefault="00402401">
      <w:pPr>
        <w:numPr>
          <w:ilvl w:val="0"/>
          <w:numId w:val="5"/>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w:t>
      </w:r>
      <w:r>
        <w:rPr>
          <w:rFonts w:ascii="Palatino Linotype" w:eastAsia="Palatino Linotype" w:hAnsi="Palatino Linotype" w:cs="Palatino Linotype"/>
          <w:b/>
          <w:color w:val="000000"/>
        </w:rPr>
        <w:t>Copias certificadas con costo.</w:t>
      </w:r>
    </w:p>
    <w:p w14:paraId="5B736AB5" w14:textId="77777777" w:rsidR="008D0CF1" w:rsidRDefault="008D0CF1">
      <w:pPr>
        <w:pBdr>
          <w:top w:val="nil"/>
          <w:left w:val="nil"/>
          <w:bottom w:val="nil"/>
          <w:right w:val="nil"/>
          <w:between w:val="nil"/>
        </w:pBdr>
        <w:spacing w:line="360" w:lineRule="auto"/>
        <w:ind w:left="1080" w:right="-787"/>
        <w:jc w:val="both"/>
        <w:rPr>
          <w:rFonts w:ascii="Palatino Linotype" w:eastAsia="Palatino Linotype" w:hAnsi="Palatino Linotype" w:cs="Palatino Linotype"/>
        </w:rPr>
      </w:pPr>
    </w:p>
    <w:p w14:paraId="75D180D6" w14:textId="77777777" w:rsidR="008D0CF1" w:rsidRDefault="00402401">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veinte de diciembre de dos mil veintitrés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el </w:t>
      </w:r>
      <w:r>
        <w:rPr>
          <w:rFonts w:ascii="Palatino Linotype" w:eastAsia="Palatino Linotype" w:hAnsi="Palatino Linotype" w:cs="Palatino Linotype"/>
          <w:b/>
        </w:rPr>
        <w:t>Sujeto Obligado</w:t>
      </w:r>
      <w:r>
        <w:rPr>
          <w:rFonts w:ascii="Palatino Linotype" w:eastAsia="Palatino Linotype" w:hAnsi="Palatino Linotype" w:cs="Palatino Linotype"/>
          <w:color w:val="000000"/>
        </w:rPr>
        <w:t xml:space="preserve"> emitió su respuesta a través del archivo electrónico denominado </w:t>
      </w:r>
      <w:r>
        <w:rPr>
          <w:rFonts w:ascii="Palatino Linotype" w:eastAsia="Palatino Linotype" w:hAnsi="Palatino Linotype" w:cs="Palatino Linotype"/>
          <w:b/>
          <w:color w:val="000000"/>
        </w:rPr>
        <w:t xml:space="preserve">RESPUESTA 867.AD.pdf, </w:t>
      </w:r>
      <w:r>
        <w:rPr>
          <w:rFonts w:ascii="Palatino Linotype" w:eastAsia="Palatino Linotype" w:hAnsi="Palatino Linotype" w:cs="Palatino Linotype"/>
          <w:color w:val="000000"/>
        </w:rPr>
        <w:t xml:space="preserve">que contiene el oficio número </w:t>
      </w:r>
      <w:r>
        <w:rPr>
          <w:rFonts w:ascii="Palatino Linotype" w:eastAsia="Palatino Linotype" w:hAnsi="Palatino Linotype" w:cs="Palatino Linotype"/>
          <w:b/>
          <w:color w:val="000000"/>
        </w:rPr>
        <w:t>207C 0401210001S-UT-2478-2023</w:t>
      </w:r>
      <w:r>
        <w:rPr>
          <w:rFonts w:ascii="Palatino Linotype" w:eastAsia="Palatino Linotype" w:hAnsi="Palatino Linotype" w:cs="Palatino Linotype"/>
          <w:color w:val="000000"/>
        </w:rPr>
        <w:t xml:space="preserve"> dirigido a la ahora Recurrente y signado por el Responsable y Titular de la Unidad de Transparencia, a través del cual hace de su conocimiento que el Servidor Público Habilitado Competente de la Coordinación de Servicios de Salud, informa que se localizó el Dictamen de Inhabilitación de fecha 5 de diciembre de 2023, elaborado en el Centro </w:t>
      </w:r>
      <w:r>
        <w:rPr>
          <w:rFonts w:ascii="Palatino Linotype" w:eastAsia="Palatino Linotype" w:hAnsi="Palatino Linotype" w:cs="Palatino Linotype"/>
        </w:rPr>
        <w:t>Médico</w:t>
      </w:r>
      <w:r>
        <w:rPr>
          <w:rFonts w:ascii="Palatino Linotype" w:eastAsia="Palatino Linotype" w:hAnsi="Palatino Linotype" w:cs="Palatino Linotype"/>
          <w:color w:val="000000"/>
        </w:rPr>
        <w:t xml:space="preserve"> ISSEMyM Toluca, que consta de 1 foja de la cual se proporcionan 5 copias, por así solicitarlo, sin que exista impedimento para el acceso a dichos datos. </w:t>
      </w:r>
    </w:p>
    <w:p w14:paraId="01487ED8" w14:textId="77777777" w:rsidR="008D0CF1" w:rsidRDefault="008D0CF1">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color w:val="000000"/>
        </w:rPr>
      </w:pPr>
    </w:p>
    <w:p w14:paraId="5536C390" w14:textId="77777777" w:rsidR="008D0CF1" w:rsidRDefault="00402401">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que considerando que el acceso fue en modalidad de copias certificadas con costo, se informó a la particular que la información solicitada se pone a su disposición en el </w:t>
      </w:r>
      <w:r>
        <w:rPr>
          <w:rFonts w:ascii="Palatino Linotype" w:eastAsia="Palatino Linotype" w:hAnsi="Palatino Linotype" w:cs="Palatino Linotype"/>
        </w:rPr>
        <w:t>Módulo</w:t>
      </w:r>
      <w:r>
        <w:rPr>
          <w:rFonts w:ascii="Palatino Linotype" w:eastAsia="Palatino Linotype" w:hAnsi="Palatino Linotype" w:cs="Palatino Linotype"/>
          <w:color w:val="000000"/>
        </w:rPr>
        <w:t xml:space="preserve"> de Acceso de ese organismo auxiliar, debiendo presentarse con la documentación que acredite su representación, así como una identificación oficial vigente con fotografía mediante la cual acredite su identidad y personalidad.</w:t>
      </w:r>
    </w:p>
    <w:p w14:paraId="30F953C4" w14:textId="77777777" w:rsidR="008D0CF1" w:rsidRDefault="008D0CF1">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14:paraId="680F4D15" w14:textId="77777777" w:rsidR="008D0CF1" w:rsidRDefault="00402401">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El</w:t>
      </w:r>
      <w:r>
        <w:rPr>
          <w:rFonts w:ascii="Palatino Linotype" w:eastAsia="Palatino Linotype" w:hAnsi="Palatino Linotype" w:cs="Palatino Linotype"/>
          <w:b/>
          <w:color w:val="000000"/>
        </w:rPr>
        <w:t xml:space="preserve"> diez de enero de dos mil veinticuatro</w:t>
      </w:r>
      <w:r>
        <w:rPr>
          <w:rFonts w:ascii="Palatino Linotype" w:eastAsia="Palatino Linotype" w:hAnsi="Palatino Linotype" w:cs="Palatino Linotype"/>
          <w:color w:val="000000"/>
        </w:rPr>
        <w:t>, la particular interpuso el Recurso de Revisión en contra de la respuesta, realizando las siguientes manifestaciones:</w:t>
      </w:r>
    </w:p>
    <w:p w14:paraId="2E0D1864" w14:textId="77777777" w:rsidR="008D0CF1" w:rsidRDefault="00402401">
      <w:pPr>
        <w:numPr>
          <w:ilvl w:val="0"/>
          <w:numId w:val="4"/>
        </w:numPr>
        <w:pBdr>
          <w:top w:val="nil"/>
          <w:left w:val="nil"/>
          <w:bottom w:val="nil"/>
          <w:right w:val="nil"/>
          <w:between w:val="nil"/>
        </w:pBdr>
        <w:ind w:right="-79" w:hanging="359"/>
        <w:jc w:val="both"/>
        <w:rPr>
          <w:rFonts w:ascii="Palatino Linotype" w:eastAsia="Palatino Linotype" w:hAnsi="Palatino Linotype" w:cs="Palatino Linotype"/>
          <w:i/>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“DIAGNOSTICO INCORRECTO”</w:t>
      </w:r>
    </w:p>
    <w:p w14:paraId="476D6E2C" w14:textId="77777777" w:rsidR="008D0CF1" w:rsidRDefault="00402401">
      <w:pPr>
        <w:numPr>
          <w:ilvl w:val="0"/>
          <w:numId w:val="4"/>
        </w:numPr>
        <w:pBdr>
          <w:top w:val="nil"/>
          <w:left w:val="nil"/>
          <w:bottom w:val="nil"/>
          <w:right w:val="nil"/>
          <w:between w:val="nil"/>
        </w:pBdr>
        <w:ind w:right="-79" w:hanging="359"/>
        <w:jc w:val="both"/>
        <w:rPr>
          <w:rFonts w:ascii="Palatino Linotype" w:eastAsia="Palatino Linotype" w:hAnsi="Palatino Linotype" w:cs="Palatino Linotype"/>
          <w:i/>
          <w:color w:val="000000"/>
          <w:sz w:val="22"/>
          <w:szCs w:val="22"/>
        </w:rPr>
      </w:pPr>
      <w:bookmarkStart w:id="3" w:name="_heading=h.3znysh7" w:colFirst="0" w:colLast="0"/>
      <w:bookmarkEnd w:id="3"/>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 xml:space="preserve">“EN EL DICTAMEN ESTA INCORRECTO EL DIAGNISTICO. DICE FRACTURA DE METATARSO Y DEBE SER FRACTURA DE CALCANEO.” </w:t>
      </w:r>
      <w:r>
        <w:rPr>
          <w:rFonts w:ascii="Palatino Linotype" w:eastAsia="Palatino Linotype" w:hAnsi="Palatino Linotype" w:cs="Palatino Linotype"/>
          <w:color w:val="000000"/>
          <w:sz w:val="22"/>
          <w:szCs w:val="22"/>
        </w:rPr>
        <w:t>(Sic)</w:t>
      </w:r>
    </w:p>
    <w:p w14:paraId="4C287084" w14:textId="77777777" w:rsidR="008D0CF1" w:rsidRDefault="008D0CF1">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14:paraId="46714C53" w14:textId="77777777" w:rsidR="008D0CF1" w:rsidRDefault="00402401">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 registró el Recurso de Revisión bajo el número de expediente al rubro indicado, asimismo con fundamento en lo dispuesto por los artículos 11 y 127 de la </w:t>
      </w:r>
      <w:r>
        <w:rPr>
          <w:rFonts w:ascii="Palatino Linotype" w:eastAsia="Palatino Linotype" w:hAnsi="Palatino Linotype" w:cs="Palatino Linotype"/>
          <w:b/>
        </w:rPr>
        <w:t xml:space="preserve">Ley de Protección de Datos Personales en Posesión de Sujetos Obligados del Estado de México y Municipios, </w:t>
      </w:r>
      <w:r>
        <w:rPr>
          <w:rFonts w:ascii="Palatino Linotype" w:eastAsia="Palatino Linotype" w:hAnsi="Palatino Linotype" w:cs="Palatino Linotype"/>
        </w:rPr>
        <w:t xml:space="preserve">en relación con el artículo 185 fracción I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 xml:space="preserve">de aplicación supletoria, se turna a la </w:t>
      </w:r>
      <w:r>
        <w:rPr>
          <w:rFonts w:ascii="Palatino Linotype" w:eastAsia="Palatino Linotype" w:hAnsi="Palatino Linotype" w:cs="Palatino Linotype"/>
          <w:b/>
        </w:rPr>
        <w:t xml:space="preserve">Comisionada María del Rosario  Mejía Ayala, </w:t>
      </w:r>
      <w:r>
        <w:rPr>
          <w:rFonts w:ascii="Palatino Linotype" w:eastAsia="Palatino Linotype" w:hAnsi="Palatino Linotype" w:cs="Palatino Linotype"/>
        </w:rPr>
        <w:t xml:space="preserve">para su análisis. </w:t>
      </w:r>
    </w:p>
    <w:p w14:paraId="0389D3DD" w14:textId="77777777" w:rsidR="008D0CF1" w:rsidRDefault="008D0CF1">
      <w:pPr>
        <w:spacing w:line="360" w:lineRule="auto"/>
        <w:ind w:right="-787"/>
        <w:jc w:val="both"/>
        <w:rPr>
          <w:rFonts w:ascii="Palatino Linotype" w:eastAsia="Palatino Linotype" w:hAnsi="Palatino Linotype" w:cs="Palatino Linotype"/>
        </w:rPr>
      </w:pPr>
    </w:p>
    <w:p w14:paraId="5991723E" w14:textId="77777777" w:rsidR="008D0CF1" w:rsidRDefault="00402401">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Seguidamente el </w:t>
      </w:r>
      <w:r>
        <w:rPr>
          <w:rFonts w:ascii="Palatino Linotype" w:eastAsia="Palatino Linotype" w:hAnsi="Palatino Linotype" w:cs="Palatino Linotype"/>
          <w:b/>
        </w:rPr>
        <w:t>dieciséis de enero dos mil veinticuatro, c</w:t>
      </w:r>
      <w:r>
        <w:rPr>
          <w:rFonts w:ascii="Palatino Linotype" w:eastAsia="Palatino Linotype" w:hAnsi="Palatino Linotype" w:cs="Palatino Linotype"/>
        </w:rPr>
        <w:t xml:space="preserve">on fundamento en los artículos 11, 127 y 131 de la </w:t>
      </w:r>
      <w:r>
        <w:rPr>
          <w:rFonts w:ascii="Palatino Linotype" w:eastAsia="Palatino Linotype" w:hAnsi="Palatino Linotype" w:cs="Palatino Linotype"/>
          <w:b/>
        </w:rPr>
        <w:t>Ley de Protección de Datos Personales en Posesión de Sujetos Obligados del Estado de México y Municipios</w:t>
      </w:r>
      <w:r>
        <w:rPr>
          <w:rFonts w:ascii="Palatino Linotype" w:eastAsia="Palatino Linotype" w:hAnsi="Palatino Linotype" w:cs="Palatino Linotype"/>
        </w:rPr>
        <w:t xml:space="preserve"> y 185 fracciones I, II y IV de la Ley de Transparencia y Acceso a la Información Pública del Estado de México y Municipios de aplicación supletoria, se acordó la admisión a trámite</w:t>
      </w:r>
    </w:p>
    <w:p w14:paraId="3BD88DC3" w14:textId="77777777" w:rsidR="008D0CF1" w:rsidRDefault="008D0CF1">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14:paraId="7DC3587D" w14:textId="77777777" w:rsidR="008D0CF1" w:rsidRDefault="00402401">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fecha </w:t>
      </w:r>
      <w:r>
        <w:rPr>
          <w:rFonts w:ascii="Palatino Linotype" w:eastAsia="Palatino Linotype" w:hAnsi="Palatino Linotype" w:cs="Palatino Linotype"/>
          <w:b/>
        </w:rPr>
        <w:t>veinticuatro de mayo de dos mil veinticuatro</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se exhortó a las partes a que por cualquier medio manifestaron su voluntad a conciliar en el presente asunto. Atento a lo anterior el día treinta del mismo mes y año el Sujeto Obligado a través del Responsable y Titular de la Unidad de Transparencia, manifestó su voluntad a conciliar en el presente asunto; no obstante la parte Recurrente fue omisa en realizar manifestación al respecto, por </w:t>
      </w:r>
      <w:r>
        <w:rPr>
          <w:rFonts w:ascii="Palatino Linotype" w:eastAsia="Palatino Linotype" w:hAnsi="Palatino Linotype" w:cs="Palatino Linotype"/>
        </w:rPr>
        <w:lastRenderedPageBreak/>
        <w:t xml:space="preserve">lo que al no existir voluntad de ambas partes en fecha </w:t>
      </w:r>
      <w:r>
        <w:rPr>
          <w:rFonts w:ascii="Palatino Linotype" w:eastAsia="Palatino Linotype" w:hAnsi="Palatino Linotype" w:cs="Palatino Linotype"/>
          <w:b/>
        </w:rPr>
        <w:t>siete de junio del año en curso</w:t>
      </w:r>
      <w:r>
        <w:rPr>
          <w:rFonts w:ascii="Palatino Linotype" w:eastAsia="Palatino Linotype" w:hAnsi="Palatino Linotype" w:cs="Palatino Linotype"/>
        </w:rPr>
        <w:t xml:space="preserve"> se decretó el cierre de la etapa de conciliación y se inició la de manifestaciones a efecto de que el Sujeto Obligado rindiera el informe justificado correspondiente, mismo que desde manera anterior remitió en fecha </w:t>
      </w:r>
      <w:r>
        <w:rPr>
          <w:rFonts w:ascii="Palatino Linotype" w:eastAsia="Palatino Linotype" w:hAnsi="Palatino Linotype" w:cs="Palatino Linotype"/>
          <w:b/>
        </w:rPr>
        <w:t>tres de junio de dos mil veinticuatro</w:t>
      </w:r>
      <w:r>
        <w:rPr>
          <w:rFonts w:ascii="Palatino Linotype" w:eastAsia="Palatino Linotype" w:hAnsi="Palatino Linotype" w:cs="Palatino Linotype"/>
        </w:rPr>
        <w:t xml:space="preserve">, manifestando </w:t>
      </w:r>
      <w:r>
        <w:rPr>
          <w:rFonts w:ascii="Palatino Linotype" w:eastAsia="Palatino Linotype" w:hAnsi="Palatino Linotype" w:cs="Palatino Linotype"/>
          <w:i/>
        </w:rPr>
        <w:t>grosso modo</w:t>
      </w:r>
      <w:r>
        <w:rPr>
          <w:rFonts w:ascii="Palatino Linotype" w:eastAsia="Palatino Linotype" w:hAnsi="Palatino Linotype" w:cs="Palatino Linotype"/>
        </w:rPr>
        <w:t xml:space="preserve"> que el derecho de acceso a los datos personales se colmó otorgando el dictamen solicitando tal cual obra en sus archivos, al haber sido entregado a la solicitante, adjuntando la evidencia correspondiente, consistente en copia del oficio </w:t>
      </w:r>
      <w:r>
        <w:rPr>
          <w:rFonts w:ascii="Palatino Linotype" w:eastAsia="Palatino Linotype" w:hAnsi="Palatino Linotype" w:cs="Palatino Linotype"/>
          <w:b/>
        </w:rPr>
        <w:t>207C 0401210001S-UT-2478/2023</w:t>
      </w:r>
      <w:r>
        <w:rPr>
          <w:rFonts w:ascii="Palatino Linotype" w:eastAsia="Palatino Linotype" w:hAnsi="Palatino Linotype" w:cs="Palatino Linotype"/>
        </w:rPr>
        <w:t xml:space="preserve"> en donde la hoy Recurrente firma de recibido.</w:t>
      </w:r>
    </w:p>
    <w:p w14:paraId="4A26ADC5" w14:textId="77777777" w:rsidR="008D0CF1" w:rsidRDefault="008D0CF1">
      <w:pPr>
        <w:spacing w:line="360" w:lineRule="auto"/>
        <w:ind w:right="-787"/>
        <w:jc w:val="both"/>
        <w:rPr>
          <w:rFonts w:ascii="Palatino Linotype" w:eastAsia="Palatino Linotype" w:hAnsi="Palatino Linotype" w:cs="Palatino Linotype"/>
        </w:rPr>
      </w:pPr>
    </w:p>
    <w:p w14:paraId="48E529DE" w14:textId="77777777" w:rsidR="008D0CF1" w:rsidRDefault="00402401">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Por su parte, la Recurrente fue omisa en realizar manifestaciones que a su derecho conviniera y asistiera.</w:t>
      </w:r>
    </w:p>
    <w:p w14:paraId="1A84188B" w14:textId="77777777" w:rsidR="008D0CF1" w:rsidRDefault="008D0CF1">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14:paraId="58AE5FBE" w14:textId="77777777" w:rsidR="008D0CF1" w:rsidRDefault="004024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dentro del primer semestre de los que va del año.</w:t>
      </w:r>
    </w:p>
    <w:p w14:paraId="349BCE4C" w14:textId="77777777" w:rsidR="008D0CF1" w:rsidRDefault="00402401">
      <w:pPr>
        <w:tabs>
          <w:tab w:val="left" w:pos="3604"/>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b/>
      </w:r>
    </w:p>
    <w:p w14:paraId="5845FE05" w14:textId="77777777" w:rsidR="008D0CF1" w:rsidRDefault="004024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02ED971" w14:textId="77777777" w:rsidR="008D0CF1" w:rsidRDefault="008D0CF1">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70586C6F" w14:textId="77777777" w:rsidR="008D0CF1" w:rsidRDefault="004024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w:t>
      </w:r>
      <w:r>
        <w:rPr>
          <w:rFonts w:ascii="Palatino Linotype" w:eastAsia="Palatino Linotype" w:hAnsi="Palatino Linotype" w:cs="Palatino Linotype"/>
          <w:color w:val="000000"/>
        </w:rPr>
        <w:lastRenderedPageBreak/>
        <w:t xml:space="preserve">jurisdiccionales o cuasi jurisdiccionales, tanto por la complejidad de los hechos, como por el número de casos que conocen. </w:t>
      </w:r>
    </w:p>
    <w:p w14:paraId="0B44DADC" w14:textId="77777777" w:rsidR="008D0CF1" w:rsidRDefault="008D0CF1">
      <w:pPr>
        <w:pBdr>
          <w:top w:val="nil"/>
          <w:left w:val="nil"/>
          <w:bottom w:val="nil"/>
          <w:right w:val="nil"/>
          <w:between w:val="nil"/>
        </w:pBdr>
        <w:ind w:left="720" w:right="-787"/>
        <w:rPr>
          <w:rFonts w:ascii="Palatino Linotype" w:eastAsia="Palatino Linotype" w:hAnsi="Palatino Linotype" w:cs="Palatino Linotype"/>
          <w:color w:val="000000"/>
        </w:rPr>
      </w:pPr>
    </w:p>
    <w:p w14:paraId="6B8CD933" w14:textId="77777777" w:rsidR="008D0CF1" w:rsidRDefault="004024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15756AF9" w14:textId="77777777" w:rsidR="008D0CF1" w:rsidRDefault="00402401">
      <w:pPr>
        <w:numPr>
          <w:ilvl w:val="0"/>
          <w:numId w:val="6"/>
        </w:numPr>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5495863B" w14:textId="77777777" w:rsidR="008D0CF1" w:rsidRDefault="00402401">
      <w:pPr>
        <w:numPr>
          <w:ilvl w:val="0"/>
          <w:numId w:val="6"/>
        </w:numPr>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074B72FC" w14:textId="77777777" w:rsidR="008D0CF1" w:rsidRDefault="00402401">
      <w:pPr>
        <w:numPr>
          <w:ilvl w:val="0"/>
          <w:numId w:val="6"/>
        </w:numPr>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7486D016" w14:textId="77777777" w:rsidR="008D0CF1" w:rsidRDefault="00402401">
      <w:pPr>
        <w:spacing w:line="360" w:lineRule="auto"/>
        <w:ind w:left="851" w:right="62" w:hanging="28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d)</w:t>
      </w:r>
      <w:r>
        <w:rPr>
          <w:rFonts w:ascii="Palatino Linotype" w:eastAsia="Palatino Linotype" w:hAnsi="Palatino Linotype" w:cs="Palatino Linotype"/>
          <w:color w:val="000000"/>
          <w:sz w:val="22"/>
          <w:szCs w:val="22"/>
        </w:rPr>
        <w:t xml:space="preserve"> La afectación generada en la situación jurídica de la persona involucrada en el proceso: Violación a sus derechos humanos.</w:t>
      </w:r>
    </w:p>
    <w:p w14:paraId="72E9D214" w14:textId="77777777" w:rsidR="008D0CF1" w:rsidRDefault="008D0CF1">
      <w:pPr>
        <w:spacing w:line="360" w:lineRule="auto"/>
        <w:ind w:left="851" w:right="-787" w:hanging="284"/>
        <w:jc w:val="both"/>
        <w:rPr>
          <w:rFonts w:ascii="Palatino Linotype" w:eastAsia="Palatino Linotype" w:hAnsi="Palatino Linotype" w:cs="Palatino Linotype"/>
          <w:color w:val="000000"/>
        </w:rPr>
      </w:pPr>
    </w:p>
    <w:p w14:paraId="0F2D2D4C" w14:textId="77777777" w:rsidR="008D0CF1" w:rsidRDefault="004024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w:t>
      </w:r>
      <w:r>
        <w:rPr>
          <w:rFonts w:ascii="Palatino Linotype" w:eastAsia="Palatino Linotype" w:hAnsi="Palatino Linotype" w:cs="Palatino Linotype"/>
          <w:i/>
          <w:color w:val="000000"/>
        </w:rPr>
        <w:t xml:space="preserve">cuasi jurisdiccional </w:t>
      </w:r>
      <w:r>
        <w:rPr>
          <w:rFonts w:ascii="Palatino Linotype" w:eastAsia="Palatino Linotype" w:hAnsi="Palatino Linotype" w:cs="Palatino Linotype"/>
          <w:color w:val="000000"/>
        </w:rPr>
        <w:t>respectivo supere notoriamente al que podría considerarse normal, debe concluirse que es una excluyente de responsabilidad en relación con la actuación del funcionario, como ha acontecido en el caso que nos ocupa.</w:t>
      </w:r>
    </w:p>
    <w:p w14:paraId="532F82F7" w14:textId="77777777" w:rsidR="008D0CF1" w:rsidRDefault="008D0CF1">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60C02D12" w14:textId="77777777" w:rsidR="008D0CF1" w:rsidRDefault="004024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 xml:space="preserve">“TÉRMINOS PROCESALES. PARA DETERMINAR SI UN FUNCIONARIO JUDICIAL ACTUÓ INDEBIDAMENTE POR NO RESPETARLOS SE DEBE ATENDER AL PRESUPUESTO QUE CONSIDERÓ EL </w:t>
      </w:r>
      <w:r>
        <w:rPr>
          <w:rFonts w:ascii="Palatino Linotype" w:eastAsia="Palatino Linotype" w:hAnsi="Palatino Linotype" w:cs="Palatino Linotype"/>
          <w:i/>
          <w:color w:val="000000"/>
        </w:rPr>
        <w:lastRenderedPageBreak/>
        <w:t>LEGISLADOR AL FIJARLOS Y LAS 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478E0898" w14:textId="77777777" w:rsidR="008D0CF1" w:rsidRDefault="008D0CF1">
      <w:pPr>
        <w:spacing w:line="360" w:lineRule="auto"/>
        <w:ind w:right="-787"/>
        <w:jc w:val="both"/>
        <w:rPr>
          <w:rFonts w:ascii="Palatino Linotype" w:eastAsia="Palatino Linotype" w:hAnsi="Palatino Linotype" w:cs="Palatino Linotype"/>
          <w:color w:val="000000"/>
        </w:rPr>
      </w:pPr>
    </w:p>
    <w:p w14:paraId="2EEC8F21" w14:textId="77777777" w:rsidR="008D0CF1" w:rsidRDefault="004024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w:t>
      </w:r>
      <w:r w:rsidR="00837D8F">
        <w:rPr>
          <w:rFonts w:ascii="Palatino Linotype" w:eastAsia="Palatino Linotype" w:hAnsi="Palatino Linotype" w:cs="Palatino Linotype"/>
          <w:color w:val="000000"/>
        </w:rPr>
        <w:t xml:space="preserve"> de aplicación supletoria</w:t>
      </w:r>
      <w:r>
        <w:rPr>
          <w:rFonts w:ascii="Palatino Linotype" w:eastAsia="Palatino Linotype" w:hAnsi="Palatino Linotype" w:cs="Palatino Linotype"/>
          <w:color w:val="000000"/>
        </w:rPr>
        <w:t>,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43BABA5" w14:textId="77777777" w:rsidR="008D0CF1" w:rsidRDefault="008D0CF1">
      <w:pPr>
        <w:spacing w:line="360" w:lineRule="auto"/>
        <w:ind w:right="-787"/>
        <w:jc w:val="both"/>
        <w:rPr>
          <w:rFonts w:ascii="Palatino Linotype" w:eastAsia="Palatino Linotype" w:hAnsi="Palatino Linotype" w:cs="Palatino Linotype"/>
          <w:color w:val="000000"/>
        </w:rPr>
      </w:pPr>
    </w:p>
    <w:p w14:paraId="4034BDCC" w14:textId="77777777" w:rsidR="008D0CF1" w:rsidRDefault="004024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42620151" w14:textId="77777777" w:rsidR="008D0CF1" w:rsidRDefault="00402401">
      <w:pPr>
        <w:ind w:left="425"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“PLAZO RAZONABLE PARA RESOLVER. DIMENSIÓN Y EFECTOS DE ESTE CONCEPTO CUANDO SE ADUCE EXCESIVA CARGA DE TRABAJO.”</w:t>
      </w:r>
      <w:r>
        <w:rPr>
          <w:rFonts w:ascii="Palatino Linotype" w:eastAsia="Palatino Linotype" w:hAnsi="Palatino Linotype" w:cs="Palatino Linotype"/>
          <w:color w:val="000000"/>
          <w:sz w:val="22"/>
          <w:szCs w:val="22"/>
        </w:rPr>
        <w:t xml:space="preserve"> </w:t>
      </w:r>
    </w:p>
    <w:p w14:paraId="44D961D5" w14:textId="77777777" w:rsidR="008D0CF1" w:rsidRDefault="008D0CF1">
      <w:pPr>
        <w:ind w:left="425" w:right="62"/>
        <w:jc w:val="both"/>
        <w:rPr>
          <w:rFonts w:ascii="Palatino Linotype" w:eastAsia="Palatino Linotype" w:hAnsi="Palatino Linotype" w:cs="Palatino Linotype"/>
          <w:color w:val="000000"/>
          <w:sz w:val="22"/>
          <w:szCs w:val="22"/>
        </w:rPr>
      </w:pPr>
    </w:p>
    <w:p w14:paraId="628B0750" w14:textId="77777777" w:rsidR="008D0CF1" w:rsidRDefault="00402401">
      <w:pPr>
        <w:ind w:left="425"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“PLAZO RAZONABLE PARA RESOLVER. CONCEPTO Y ELEMENTOS QUE LO INTEGRAN A LA LUZ DEL DERECHO INTERNACIONAL DE LOS DERECHOS HUMANOS.”</w:t>
      </w:r>
    </w:p>
    <w:p w14:paraId="0AA4673A" w14:textId="77777777" w:rsidR="008D0CF1" w:rsidRDefault="008D0CF1">
      <w:pPr>
        <w:spacing w:line="360" w:lineRule="auto"/>
        <w:ind w:left="425" w:right="-787"/>
        <w:jc w:val="both"/>
        <w:rPr>
          <w:rFonts w:ascii="Palatino Linotype" w:eastAsia="Palatino Linotype" w:hAnsi="Palatino Linotype" w:cs="Palatino Linotype"/>
          <w:i/>
          <w:color w:val="000000"/>
        </w:rPr>
      </w:pPr>
    </w:p>
    <w:p w14:paraId="6018C368" w14:textId="77777777" w:rsidR="008D0CF1" w:rsidRDefault="004024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bookmarkStart w:id="4" w:name="_heading=h.2et92p0" w:colFirst="0" w:colLast="0"/>
      <w:bookmarkEnd w:id="4"/>
      <w:r>
        <w:rPr>
          <w:rFonts w:ascii="Palatino Linotype" w:eastAsia="Palatino Linotype" w:hAnsi="Palatino Linotype" w:cs="Palatino Linotype"/>
          <w:color w:val="000000"/>
        </w:rPr>
        <w:t xml:space="preserve">Seguidamente, en fecha </w:t>
      </w:r>
      <w:r>
        <w:rPr>
          <w:rFonts w:ascii="Palatino Linotype" w:eastAsia="Palatino Linotype" w:hAnsi="Palatino Linotype" w:cs="Palatino Linotype"/>
          <w:b/>
          <w:color w:val="000000"/>
        </w:rPr>
        <w:t>nueve de septiembre de dos mil veinticuatro</w:t>
      </w:r>
      <w:r>
        <w:rPr>
          <w:rFonts w:ascii="Palatino Linotype" w:eastAsia="Palatino Linotype" w:hAnsi="Palatino Linotype" w:cs="Palatino Linotype"/>
          <w:color w:val="000000"/>
        </w:rPr>
        <w:t>, la Comisionada Ponente dictó el cierre del periodo de instrucción y, ordenó la resolución que conforme a Derecho proceda, de acuerdo a las siguientes:</w:t>
      </w:r>
    </w:p>
    <w:p w14:paraId="310D547C" w14:textId="77777777" w:rsidR="008D0CF1" w:rsidRDefault="00402401">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C O N S I D E R A C I O N E S</w:t>
      </w:r>
    </w:p>
    <w:p w14:paraId="676EDB82" w14:textId="77777777" w:rsidR="008D0CF1" w:rsidRDefault="008D0CF1">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14:paraId="22E7E87D" w14:textId="77777777" w:rsidR="008D0CF1" w:rsidRDefault="00402401">
      <w:pPr>
        <w:pStyle w:val="Ttulo2"/>
        <w:spacing w:before="0" w:line="360" w:lineRule="auto"/>
        <w:ind w:right="-787"/>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PRIMERA. Competencia</w:t>
      </w:r>
    </w:p>
    <w:p w14:paraId="35CECA38" w14:textId="77777777" w:rsidR="008D0CF1" w:rsidRDefault="00402401">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14:paraId="593092C5" w14:textId="77777777" w:rsidR="008D0CF1" w:rsidRDefault="008D0CF1">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377B73E5" w14:textId="77777777" w:rsidR="008D0CF1" w:rsidRDefault="00402401">
      <w:pPr>
        <w:pStyle w:val="Ttulo2"/>
        <w:spacing w:before="0" w:line="360" w:lineRule="auto"/>
        <w:ind w:right="-787"/>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SEGUNDA. Procedencia.</w:t>
      </w:r>
    </w:p>
    <w:p w14:paraId="1619FA5A" w14:textId="77777777" w:rsidR="008D0CF1" w:rsidRDefault="00402401">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Recurso de Revisión fue interpuesto dentro del plazo de quince días hábiles, hábiles contados a partir del día siguiente a la fecha de notificación de la respuesta impugnada, tal </w:t>
      </w:r>
      <w:r>
        <w:rPr>
          <w:rFonts w:ascii="Palatino Linotype" w:eastAsia="Palatino Linotype" w:hAnsi="Palatino Linotype" w:cs="Palatino Linotype"/>
        </w:rPr>
        <w:lastRenderedPageBreak/>
        <w:t xml:space="preserve">y como lo prevé el artículo 128 de la Ley de Protección de Datos Personales en Posesión de Sujetos Obligados del Estado de México y Municipios, que establece: </w:t>
      </w:r>
    </w:p>
    <w:p w14:paraId="7DA60038" w14:textId="77777777" w:rsidR="008D0CF1" w:rsidRDefault="00402401">
      <w:pPr>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128.</w:t>
      </w:r>
      <w:r>
        <w:rPr>
          <w:rFonts w:ascii="Palatino Linotype" w:eastAsia="Palatino Linotype" w:hAnsi="Palatino Linotype" w:cs="Palatino Linotype"/>
          <w:i/>
          <w:sz w:val="22"/>
          <w:szCs w:val="22"/>
        </w:rPr>
        <w:t xml:space="preserve"> 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64636704" w14:textId="77777777" w:rsidR="008D0CF1" w:rsidRDefault="008D0CF1">
      <w:pPr>
        <w:ind w:left="567" w:right="-79"/>
        <w:jc w:val="both"/>
        <w:rPr>
          <w:rFonts w:ascii="Palatino Linotype" w:eastAsia="Palatino Linotype" w:hAnsi="Palatino Linotype" w:cs="Palatino Linotype"/>
          <w:i/>
          <w:sz w:val="22"/>
          <w:szCs w:val="22"/>
        </w:rPr>
      </w:pPr>
    </w:p>
    <w:p w14:paraId="5473FC43" w14:textId="77777777" w:rsidR="008D0CF1" w:rsidRDefault="00402401">
      <w:pPr>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 </w:t>
      </w:r>
    </w:p>
    <w:p w14:paraId="00A18131" w14:textId="77777777" w:rsidR="008D0CF1" w:rsidRDefault="008D0CF1">
      <w:pPr>
        <w:spacing w:line="360" w:lineRule="auto"/>
        <w:ind w:right="-787"/>
        <w:jc w:val="both"/>
        <w:rPr>
          <w:rFonts w:ascii="Palatino Linotype" w:eastAsia="Palatino Linotype" w:hAnsi="Palatino Linotype" w:cs="Palatino Linotype"/>
        </w:rPr>
      </w:pPr>
    </w:p>
    <w:p w14:paraId="4EE5E906" w14:textId="77777777" w:rsidR="008D0CF1" w:rsidRDefault="00402401">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esa tesitura, atendiendo 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notificó la respuesta a la solicitud de acceso a datos personales el </w:t>
      </w:r>
      <w:r>
        <w:rPr>
          <w:rFonts w:ascii="Palatino Linotype" w:eastAsia="Palatino Linotype" w:hAnsi="Palatino Linotype" w:cs="Palatino Linotype"/>
          <w:b/>
        </w:rPr>
        <w:t>veinte de diciembre de dos mil veintitrés</w:t>
      </w:r>
      <w:r>
        <w:rPr>
          <w:rFonts w:ascii="Palatino Linotype" w:eastAsia="Palatino Linotype" w:hAnsi="Palatino Linotype" w:cs="Palatino Linotype"/>
        </w:rPr>
        <w:t xml:space="preserve">, el plazo de quince días hábiles que contempla el artículo 128 de la Ley de Protección de Datos Personales en Posesión de Sujetos Obligados del Estado de México y Municipios, transcurrió </w:t>
      </w:r>
      <w:r>
        <w:rPr>
          <w:rFonts w:ascii="Palatino Linotype" w:eastAsia="Palatino Linotype" w:hAnsi="Palatino Linotype" w:cs="Palatino Linotype"/>
          <w:b/>
        </w:rPr>
        <w:t>del once al treinta y uno de enero de dos mil veinticuatro</w:t>
      </w:r>
      <w:r>
        <w:rPr>
          <w:rFonts w:ascii="Palatino Linotype" w:eastAsia="Palatino Linotype" w:hAnsi="Palatino Linotype" w:cs="Palatino Linotype"/>
        </w:rPr>
        <w:t xml:space="preserve">;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 </w:t>
      </w:r>
    </w:p>
    <w:p w14:paraId="65297C2C" w14:textId="77777777" w:rsidR="008D0CF1" w:rsidRDefault="008D0CF1">
      <w:pPr>
        <w:spacing w:line="360" w:lineRule="auto"/>
        <w:ind w:right="-787"/>
        <w:jc w:val="both"/>
        <w:rPr>
          <w:rFonts w:ascii="Palatino Linotype" w:eastAsia="Palatino Linotype" w:hAnsi="Palatino Linotype" w:cs="Palatino Linotype"/>
        </w:rPr>
      </w:pPr>
    </w:p>
    <w:p w14:paraId="038D85FF" w14:textId="77777777" w:rsidR="008D0CF1" w:rsidRDefault="00402401">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Con base a esta cronología, si el recurso de revisión que nos ocupa se interpuso el </w:t>
      </w:r>
      <w:r>
        <w:rPr>
          <w:rFonts w:ascii="Palatino Linotype" w:eastAsia="Palatino Linotype" w:hAnsi="Palatino Linotype" w:cs="Palatino Linotype"/>
          <w:b/>
        </w:rPr>
        <w:t>once de enero de dos mil veinticuatro</w:t>
      </w:r>
      <w:r>
        <w:rPr>
          <w:rFonts w:ascii="Palatino Linotype" w:eastAsia="Palatino Linotype" w:hAnsi="Palatino Linotype" w:cs="Palatino Linotype"/>
        </w:rPr>
        <w:t>; es decir que se encuentra dentro de los márgenes temporales previstos en el artículo 128 de la Ley de Protección de Datos Personales en Posesión de Sujetos Obligados del Estado de México y Municipios y, por tanto, su interposición se considera oportuna.</w:t>
      </w:r>
    </w:p>
    <w:p w14:paraId="675A2B3A" w14:textId="77777777" w:rsidR="008D0CF1" w:rsidRDefault="00402401">
      <w:pPr>
        <w:pStyle w:val="Ttulo1"/>
        <w:spacing w:before="0" w:line="360" w:lineRule="auto"/>
        <w:ind w:right="-787"/>
        <w:jc w:val="both"/>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lastRenderedPageBreak/>
        <w:t>TERCERA. Análisis de las causales de improcedencia y sobreseimiento del Recurso de Revisión.</w:t>
      </w:r>
    </w:p>
    <w:p w14:paraId="093934A1" w14:textId="77777777" w:rsidR="008D0CF1" w:rsidRDefault="00402401">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14:paraId="72A4AED2" w14:textId="77777777" w:rsidR="008D0CF1" w:rsidRDefault="008D0CF1">
      <w:pPr>
        <w:pBdr>
          <w:top w:val="nil"/>
          <w:left w:val="nil"/>
          <w:bottom w:val="nil"/>
          <w:right w:val="nil"/>
          <w:between w:val="nil"/>
        </w:pBdr>
        <w:spacing w:line="360" w:lineRule="auto"/>
        <w:ind w:left="502" w:right="-787"/>
        <w:jc w:val="both"/>
        <w:rPr>
          <w:rFonts w:ascii="Palatino Linotype" w:eastAsia="Palatino Linotype" w:hAnsi="Palatino Linotype" w:cs="Palatino Linotype"/>
          <w:color w:val="000000"/>
        </w:rPr>
      </w:pPr>
    </w:p>
    <w:p w14:paraId="32D3A02E" w14:textId="77777777" w:rsidR="008D0CF1" w:rsidRDefault="00402401">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Ahora bien, por lo que respecta al procedimiento de acceso a los datos personales tiene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7BB4E225" w14:textId="77777777" w:rsidR="008D0CF1" w:rsidRDefault="008D0CF1">
      <w:pPr>
        <w:pBdr>
          <w:top w:val="nil"/>
          <w:left w:val="nil"/>
          <w:bottom w:val="nil"/>
          <w:right w:val="nil"/>
          <w:between w:val="nil"/>
        </w:pBdr>
        <w:ind w:left="720" w:right="-787"/>
        <w:rPr>
          <w:rFonts w:ascii="Palatino Linotype" w:eastAsia="Palatino Linotype" w:hAnsi="Palatino Linotype" w:cs="Palatino Linotype"/>
          <w:color w:val="000000"/>
        </w:rPr>
      </w:pPr>
    </w:p>
    <w:p w14:paraId="655492AF" w14:textId="77777777" w:rsidR="008D0CF1" w:rsidRDefault="00402401">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Procedimiento que, además, está regulado en la Ley de Protección de Datos Personales en Posesión de Sujetos Obligados del Estado de México, en específico en los artículos 97 y 98 que establecen que el titular por sí o través de su representante legal que acrediten su identidad o representación, respectivamente; tiene derecho a solicitar y ser informado sobre sus datos personales que estén en posesión de los Sujetos Obligados, el </w:t>
      </w:r>
      <w:r>
        <w:rPr>
          <w:rFonts w:ascii="Palatino Linotype" w:eastAsia="Palatino Linotype" w:hAnsi="Palatino Linotype" w:cs="Palatino Linotype"/>
        </w:rPr>
        <w:lastRenderedPageBreak/>
        <w:t>origen de dichos datos, el tratamiento del cual sean objeto, las cesiones realizadas o que se pretendan realizar, así como a tener acceso al aviso de privacidad al que está sujeto dicho tratamiento; entendiéndose por dato personal cualquier información concerniente a una persona física o jurídica colectiva identificada o identificable, establecida en cualquier formato o modalidad y que esté almacenada en bases de datos, conforme a lo establecido en esta Ley.</w:t>
      </w:r>
    </w:p>
    <w:p w14:paraId="788C3D7B" w14:textId="77777777" w:rsidR="008D0CF1" w:rsidRDefault="008D0CF1">
      <w:pPr>
        <w:pBdr>
          <w:top w:val="nil"/>
          <w:left w:val="nil"/>
          <w:bottom w:val="nil"/>
          <w:right w:val="nil"/>
          <w:between w:val="nil"/>
        </w:pBdr>
        <w:spacing w:line="360" w:lineRule="auto"/>
        <w:ind w:left="502" w:right="-787"/>
        <w:jc w:val="both"/>
        <w:rPr>
          <w:rFonts w:ascii="Palatino Linotype" w:eastAsia="Palatino Linotype" w:hAnsi="Palatino Linotype" w:cs="Palatino Linotype"/>
          <w:color w:val="000000"/>
        </w:rPr>
      </w:pPr>
    </w:p>
    <w:p w14:paraId="371F85D4" w14:textId="77777777" w:rsidR="008D0CF1" w:rsidRDefault="00402401">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Así las cosas, tenemos que cuando hablamos de una solicitud de derechos ARCO se refiere a aquel derecho que tiene un titular de datos personales para solicitar el acceso, rectificación, cancelación, oposición y portabilidad sobre el tratamiento de sus datos, 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que esté en posesión de los mismos.</w:t>
      </w:r>
    </w:p>
    <w:p w14:paraId="4F5DF074" w14:textId="77777777" w:rsidR="008D0CF1" w:rsidRDefault="008D0CF1">
      <w:pPr>
        <w:pBdr>
          <w:top w:val="nil"/>
          <w:left w:val="nil"/>
          <w:bottom w:val="nil"/>
          <w:right w:val="nil"/>
          <w:between w:val="nil"/>
        </w:pBdr>
        <w:spacing w:line="360" w:lineRule="auto"/>
        <w:ind w:left="502" w:right="-787"/>
        <w:jc w:val="both"/>
        <w:rPr>
          <w:rFonts w:ascii="Palatino Linotype" w:eastAsia="Palatino Linotype" w:hAnsi="Palatino Linotype" w:cs="Palatino Linotype"/>
          <w:color w:val="000000"/>
        </w:rPr>
      </w:pPr>
    </w:p>
    <w:p w14:paraId="61DE7532" w14:textId="77777777" w:rsidR="008D0CF1" w:rsidRDefault="00402401">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Es importante señalar, que  la procedencia de los derechos de acceso, rectificación, cancelación y oposición de datos personales, ARCO, es efectiva una vez que el titular o su representante legal acrediten su identidad o representación, respectivamente.</w:t>
      </w:r>
    </w:p>
    <w:p w14:paraId="2E42DDF3" w14:textId="77777777" w:rsidR="008D0CF1" w:rsidRDefault="008D0CF1">
      <w:pPr>
        <w:pBdr>
          <w:top w:val="nil"/>
          <w:left w:val="nil"/>
          <w:bottom w:val="nil"/>
          <w:right w:val="nil"/>
          <w:between w:val="nil"/>
        </w:pBdr>
        <w:ind w:left="720" w:right="-787"/>
        <w:rPr>
          <w:rFonts w:ascii="Palatino Linotype" w:eastAsia="Palatino Linotype" w:hAnsi="Palatino Linotype" w:cs="Palatino Linotype"/>
          <w:color w:val="000000"/>
        </w:rPr>
      </w:pPr>
    </w:p>
    <w:p w14:paraId="56498480" w14:textId="77777777" w:rsidR="008D0CF1" w:rsidRDefault="00402401">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del análisis a la solicitud se advierte que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requiere acceder los siguientes datos: </w:t>
      </w:r>
    </w:p>
    <w:p w14:paraId="5D6CF871" w14:textId="77777777" w:rsidR="008D0CF1" w:rsidRDefault="00402401">
      <w:pPr>
        <w:numPr>
          <w:ilvl w:val="0"/>
          <w:numId w:val="1"/>
        </w:numPr>
        <w:pBdr>
          <w:top w:val="nil"/>
          <w:left w:val="nil"/>
          <w:bottom w:val="nil"/>
          <w:right w:val="nil"/>
          <w:between w:val="nil"/>
        </w:pBdr>
        <w:spacing w:line="360" w:lineRule="auto"/>
        <w:ind w:right="62" w:hanging="36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5 copias certificadas del Dictamen de Inhabilitación Permanente de Incapacidad por Riesgos de Trabajo.</w:t>
      </w:r>
    </w:p>
    <w:p w14:paraId="3883EE01" w14:textId="77777777" w:rsidR="008D0CF1" w:rsidRDefault="008D0CF1">
      <w:pPr>
        <w:pBdr>
          <w:top w:val="nil"/>
          <w:left w:val="nil"/>
          <w:bottom w:val="nil"/>
          <w:right w:val="nil"/>
          <w:between w:val="nil"/>
        </w:pBdr>
        <w:spacing w:line="360" w:lineRule="auto"/>
        <w:ind w:left="709" w:right="62"/>
        <w:jc w:val="both"/>
        <w:rPr>
          <w:rFonts w:ascii="Palatino Linotype" w:eastAsia="Palatino Linotype" w:hAnsi="Palatino Linotype" w:cs="Palatino Linotype"/>
          <w:b/>
          <w:sz w:val="22"/>
          <w:szCs w:val="22"/>
        </w:rPr>
      </w:pPr>
    </w:p>
    <w:p w14:paraId="384E65DE" w14:textId="77777777" w:rsidR="008D0CF1" w:rsidRDefault="00402401">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hizo del conocimiento que si se localizó la información y que si era posible otorgar la respuesta a la información, previa acreditación de la identidad, en virtud que  la procedencia de los derechos de acceso, rectificación, </w:t>
      </w:r>
      <w:r>
        <w:rPr>
          <w:rFonts w:ascii="Palatino Linotype" w:eastAsia="Palatino Linotype" w:hAnsi="Palatino Linotype" w:cs="Palatino Linotype"/>
        </w:rPr>
        <w:lastRenderedPageBreak/>
        <w:t>cancelación y oposición de datos personales, ARCO, es efectiva una vez que el titular o su representante legal acrediten su identidad o representación, respectivamente.</w:t>
      </w:r>
    </w:p>
    <w:p w14:paraId="32A6D6C2" w14:textId="77777777" w:rsidR="008D0CF1" w:rsidRDefault="008D0CF1">
      <w:pPr>
        <w:spacing w:line="360" w:lineRule="auto"/>
        <w:ind w:right="-787"/>
        <w:jc w:val="both"/>
        <w:rPr>
          <w:rFonts w:ascii="Palatino Linotype" w:eastAsia="Palatino Linotype" w:hAnsi="Palatino Linotype" w:cs="Palatino Linotype"/>
        </w:rPr>
      </w:pPr>
    </w:p>
    <w:p w14:paraId="4589938A" w14:textId="77777777" w:rsidR="008D0CF1" w:rsidRDefault="00402401">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no pasa desapercibido mencionar que resulta importante subrayar que </w:t>
      </w:r>
      <w:proofErr w:type="spellStart"/>
      <w:r>
        <w:rPr>
          <w:rFonts w:ascii="Palatino Linotype" w:eastAsia="Palatino Linotype" w:hAnsi="Palatino Linotype" w:cs="Palatino Linotype"/>
        </w:rPr>
        <w:t>que</w:t>
      </w:r>
      <w:proofErr w:type="spellEnd"/>
      <w:r>
        <w:rPr>
          <w:rFonts w:ascii="Palatino Linotype" w:eastAsia="Palatino Linotype" w:hAnsi="Palatino Linotype" w:cs="Palatino Linotype"/>
        </w:rPr>
        <w:t>, para el ejercicio del derecho de acceso a datos personales es necesario  que el titular de los mismos acredite su identidad, y en caso de que se pretenda acceder a través de un representante; este, deberá acreditar, además, la identidad y personalidad con la que actué; requisito dispuesto en el artículo 106, párrafo tercero de la Ley de Protección de Datos Personales en Posesión de Sujeto Obligados del Estado de México y Municipios</w:t>
      </w:r>
      <w:r>
        <w:rPr>
          <w:rFonts w:ascii="Palatino Linotype" w:eastAsia="Palatino Linotype" w:hAnsi="Palatino Linotype" w:cs="Palatino Linotype"/>
          <w:b/>
        </w:rPr>
        <w:t xml:space="preserve">, </w:t>
      </w:r>
      <w:r>
        <w:rPr>
          <w:rFonts w:ascii="Palatino Linotype" w:eastAsia="Palatino Linotype" w:hAnsi="Palatino Linotype" w:cs="Palatino Linotype"/>
        </w:rPr>
        <w:t>que es del tenor literal siguiente:</w:t>
      </w:r>
    </w:p>
    <w:p w14:paraId="49EDDE6A" w14:textId="77777777" w:rsidR="008D0CF1" w:rsidRDefault="00402401">
      <w:pPr>
        <w:pBdr>
          <w:top w:val="nil"/>
          <w:left w:val="nil"/>
          <w:bottom w:val="nil"/>
          <w:right w:val="nil"/>
          <w:between w:val="nil"/>
        </w:pBdr>
        <w:ind w:left="851"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106</w:t>
      </w:r>
      <w:r>
        <w:rPr>
          <w:rFonts w:ascii="Palatino Linotype" w:eastAsia="Palatino Linotype" w:hAnsi="Palatino Linotype" w:cs="Palatino Linotype"/>
          <w:i/>
          <w:sz w:val="22"/>
          <w:szCs w:val="22"/>
        </w:rPr>
        <w:t>…</w:t>
      </w:r>
    </w:p>
    <w:p w14:paraId="457A54B6" w14:textId="77777777" w:rsidR="008D0CF1" w:rsidRDefault="00402401">
      <w:pPr>
        <w:pBdr>
          <w:top w:val="nil"/>
          <w:left w:val="nil"/>
          <w:bottom w:val="nil"/>
          <w:right w:val="nil"/>
          <w:between w:val="nil"/>
        </w:pBdr>
        <w:ind w:left="851"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Para el ejercicio de los derechos ARCO solicitados será necesario acreditar la identidad de titular y en su caso la identidad y personalidad</w:t>
      </w:r>
      <w:r>
        <w:rPr>
          <w:rFonts w:ascii="Palatino Linotype" w:eastAsia="Palatino Linotype" w:hAnsi="Palatino Linotype" w:cs="Palatino Linotype"/>
          <w:i/>
          <w:sz w:val="22"/>
          <w:szCs w:val="22"/>
        </w:rPr>
        <w:t xml:space="preserve"> con la que actúe el representante…”</w:t>
      </w:r>
    </w:p>
    <w:p w14:paraId="0110998C" w14:textId="77777777" w:rsidR="008D0CF1" w:rsidRDefault="008D0CF1">
      <w:pPr>
        <w:pBdr>
          <w:top w:val="nil"/>
          <w:left w:val="nil"/>
          <w:bottom w:val="nil"/>
          <w:right w:val="nil"/>
          <w:between w:val="nil"/>
        </w:pBdr>
        <w:ind w:left="851" w:right="-787"/>
        <w:jc w:val="both"/>
        <w:rPr>
          <w:rFonts w:ascii="Palatino Linotype" w:eastAsia="Palatino Linotype" w:hAnsi="Palatino Linotype" w:cs="Palatino Linotype"/>
          <w:i/>
        </w:rPr>
      </w:pPr>
    </w:p>
    <w:p w14:paraId="74DF31A6" w14:textId="77777777" w:rsidR="008D0CF1" w:rsidRDefault="008D0CF1">
      <w:pPr>
        <w:spacing w:line="360" w:lineRule="auto"/>
        <w:ind w:right="-787"/>
        <w:jc w:val="both"/>
        <w:rPr>
          <w:rFonts w:ascii="Palatino Linotype" w:eastAsia="Palatino Linotype" w:hAnsi="Palatino Linotype" w:cs="Palatino Linotype"/>
        </w:rPr>
      </w:pPr>
    </w:p>
    <w:p w14:paraId="3180AA70" w14:textId="77777777" w:rsidR="008D0CF1" w:rsidRDefault="00402401">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No obstante se impugna el diagnóstico, contexto que a todas luces resulta improcedente; toda vez que como tuviera a bien señalar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la entrega de las copias solicitadas debe versar con respecto al soporte documental generado, poseído o administrado por el Sujeto Obligado con independencia si es correcto o incorrecto, por no existir la obligatoriedad de tener que elaborar un documento nuevo o </w:t>
      </w:r>
      <w:r>
        <w:rPr>
          <w:rFonts w:ascii="Palatino Linotype" w:eastAsia="Palatino Linotype" w:hAnsi="Palatino Linotype" w:cs="Palatino Linotype"/>
          <w:i/>
        </w:rPr>
        <w:t>ad hoc</w:t>
      </w:r>
      <w:r>
        <w:rPr>
          <w:rFonts w:ascii="Palatino Linotype" w:eastAsia="Palatino Linotype" w:hAnsi="Palatino Linotype" w:cs="Palatino Linotype"/>
        </w:rPr>
        <w:t xml:space="preserve"> conforme a los intereses del particular sin que previamente se valore al paciente, lo cual no es posible promover mediante el derecho de acceso a datos personales en el que en todo caso puede acceder al dictamen de su interés tal cual obra en los archivos del Sujeto Obligado.</w:t>
      </w:r>
    </w:p>
    <w:p w14:paraId="301756BE" w14:textId="77777777" w:rsidR="008D0CF1" w:rsidRDefault="008D0CF1">
      <w:pPr>
        <w:pBdr>
          <w:top w:val="nil"/>
          <w:left w:val="nil"/>
          <w:bottom w:val="nil"/>
          <w:right w:val="nil"/>
          <w:between w:val="nil"/>
        </w:pBdr>
        <w:spacing w:line="360" w:lineRule="auto"/>
        <w:ind w:left="502" w:right="-787"/>
        <w:jc w:val="both"/>
        <w:rPr>
          <w:rFonts w:ascii="Palatino Linotype" w:eastAsia="Palatino Linotype" w:hAnsi="Palatino Linotype" w:cs="Palatino Linotype"/>
          <w:color w:val="000000"/>
        </w:rPr>
      </w:pPr>
    </w:p>
    <w:p w14:paraId="0A677884" w14:textId="77777777" w:rsidR="008D0CF1" w:rsidRDefault="00402401">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Contexto que de manera posterior aconteció, pues como informó el Instituto de Seguridad Social del Estado de México y Municipios, la ahora Recurrente, tuvo acceso a las copias que eran de su interés. Para demostrar lo anterior, el Sujeto Obligado acompañó al informe justificado copia simple del oficio, como se observa:</w:t>
      </w:r>
    </w:p>
    <w:p w14:paraId="3E8709FD" w14:textId="77777777" w:rsidR="008D0CF1" w:rsidRDefault="008D0CF1">
      <w:pPr>
        <w:pBdr>
          <w:top w:val="nil"/>
          <w:left w:val="nil"/>
          <w:bottom w:val="nil"/>
          <w:right w:val="nil"/>
          <w:between w:val="nil"/>
        </w:pBdr>
        <w:ind w:left="720" w:right="-787"/>
        <w:rPr>
          <w:rFonts w:ascii="Palatino Linotype" w:eastAsia="Palatino Linotype" w:hAnsi="Palatino Linotype" w:cs="Palatino Linotype"/>
          <w:color w:val="000000"/>
        </w:rPr>
      </w:pPr>
    </w:p>
    <w:p w14:paraId="5D9704ED" w14:textId="77777777" w:rsidR="008D0CF1" w:rsidRDefault="00402401">
      <w:pPr>
        <w:spacing w:line="360" w:lineRule="auto"/>
        <w:ind w:right="-787"/>
        <w:jc w:val="center"/>
        <w:rPr>
          <w:rFonts w:ascii="Palatino Linotype" w:eastAsia="Palatino Linotype" w:hAnsi="Palatino Linotype" w:cs="Palatino Linotype"/>
        </w:rPr>
      </w:pPr>
      <w:r>
        <w:rPr>
          <w:rFonts w:ascii="Palatino Linotype" w:eastAsia="Palatino Linotype" w:hAnsi="Palatino Linotype" w:cs="Palatino Linotype"/>
          <w:noProof/>
          <w:lang w:val="es-MX" w:eastAsia="es-MX"/>
        </w:rPr>
        <w:drawing>
          <wp:inline distT="0" distB="0" distL="0" distR="0" wp14:anchorId="0BDE8ADB" wp14:editId="7381BA96">
            <wp:extent cx="4267018" cy="343032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267018" cy="3430320"/>
                    </a:xfrm>
                    <a:prstGeom prst="rect">
                      <a:avLst/>
                    </a:prstGeom>
                    <a:ln/>
                  </pic:spPr>
                </pic:pic>
              </a:graphicData>
            </a:graphic>
          </wp:inline>
        </w:drawing>
      </w:r>
    </w:p>
    <w:p w14:paraId="05A4E605" w14:textId="623E2077" w:rsidR="008D0CF1" w:rsidRDefault="00BB5823">
      <w:pPr>
        <w:spacing w:line="360" w:lineRule="auto"/>
        <w:ind w:right="-787"/>
        <w:jc w:val="center"/>
        <w:rPr>
          <w:rFonts w:ascii="Palatino Linotype" w:eastAsia="Palatino Linotype" w:hAnsi="Palatino Linotype" w:cs="Palatino Linotype"/>
        </w:rPr>
      </w:pPr>
      <w:r w:rsidRPr="00BB5823">
        <w:rPr>
          <w:rFonts w:ascii="Palatino Linotype" w:eastAsia="Palatino Linotype" w:hAnsi="Palatino Linotype" w:cs="Palatino Linotype"/>
        </w:rPr>
        <w:lastRenderedPageBreak/>
        <w:drawing>
          <wp:inline distT="0" distB="0" distL="0" distR="0" wp14:anchorId="221AAE80" wp14:editId="04706D58">
            <wp:extent cx="4398857" cy="5331124"/>
            <wp:effectExtent l="0" t="0" r="1905"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30268" cy="5369192"/>
                    </a:xfrm>
                    <a:prstGeom prst="rect">
                      <a:avLst/>
                    </a:prstGeom>
                  </pic:spPr>
                </pic:pic>
              </a:graphicData>
            </a:graphic>
          </wp:inline>
        </w:drawing>
      </w:r>
    </w:p>
    <w:p w14:paraId="22191334" w14:textId="77777777" w:rsidR="008D0CF1" w:rsidRDefault="008D0CF1">
      <w:pPr>
        <w:spacing w:line="360" w:lineRule="auto"/>
        <w:ind w:right="-787"/>
        <w:jc w:val="center"/>
        <w:rPr>
          <w:rFonts w:ascii="Palatino Linotype" w:eastAsia="Palatino Linotype" w:hAnsi="Palatino Linotype" w:cs="Palatino Linotype"/>
        </w:rPr>
      </w:pPr>
    </w:p>
    <w:p w14:paraId="37026D03" w14:textId="77777777" w:rsidR="008D0CF1" w:rsidRDefault="00402401">
      <w:pPr>
        <w:pStyle w:val="Ttulo2"/>
        <w:numPr>
          <w:ilvl w:val="0"/>
          <w:numId w:val="1"/>
        </w:numPr>
        <w:spacing w:line="360" w:lineRule="auto"/>
        <w:ind w:right="-787" w:hanging="36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Actualización del sobreseimiento.</w:t>
      </w:r>
    </w:p>
    <w:p w14:paraId="731CCBA0" w14:textId="77777777" w:rsidR="008D0CF1" w:rsidRDefault="00402401">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En razón de lo anteriormente expuesto, se advierte que el presente asunto en particular actualiza el supuesto que contempla el artículo 139 fracción IV de la Ley de Protección de Datos Personales en Posesión de los Sujetos Obligados del Estado de México y Municipios, el cual refiere los siguiente:</w:t>
      </w:r>
    </w:p>
    <w:p w14:paraId="32BCBA87" w14:textId="77777777" w:rsidR="008D0CF1" w:rsidRDefault="008D0CF1">
      <w:pPr>
        <w:spacing w:line="360" w:lineRule="auto"/>
        <w:ind w:right="-787"/>
        <w:jc w:val="both"/>
        <w:rPr>
          <w:rFonts w:ascii="Palatino Linotype" w:eastAsia="Palatino Linotype" w:hAnsi="Palatino Linotype" w:cs="Palatino Linotype"/>
        </w:rPr>
      </w:pPr>
    </w:p>
    <w:p w14:paraId="0D4C9B32" w14:textId="77777777" w:rsidR="008D0CF1" w:rsidRDefault="00402401">
      <w:pPr>
        <w:ind w:left="851" w:right="6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“Causales de Sobreseimiento </w:t>
      </w:r>
    </w:p>
    <w:p w14:paraId="4EEA91F3" w14:textId="77777777" w:rsidR="008D0CF1" w:rsidRDefault="00402401">
      <w:pPr>
        <w:ind w:left="851" w:right="6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139. El recurso de revisión sólo podrá ser sobreseído cuando</w:t>
      </w:r>
    </w:p>
    <w:p w14:paraId="17EDE761" w14:textId="77777777" w:rsidR="008D0CF1" w:rsidRDefault="00402401">
      <w:pPr>
        <w:ind w:left="851" w:right="6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1CD22E63" w14:textId="77777777" w:rsidR="008D0CF1" w:rsidRDefault="00402401">
      <w:pPr>
        <w:ind w:left="851"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El responsable modifique o revoque su respuesta de tal manera que el recurso de revisión quede sin materia.</w:t>
      </w:r>
    </w:p>
    <w:p w14:paraId="464A3DA4" w14:textId="77777777" w:rsidR="008D0CF1" w:rsidRDefault="00402401">
      <w:pPr>
        <w:ind w:left="851"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92BA6D4" w14:textId="77777777" w:rsidR="008D0CF1" w:rsidRDefault="008D0CF1">
      <w:pPr>
        <w:ind w:left="851" w:right="-787"/>
        <w:jc w:val="both"/>
        <w:rPr>
          <w:rFonts w:ascii="Palatino Linotype" w:eastAsia="Palatino Linotype" w:hAnsi="Palatino Linotype" w:cs="Palatino Linotype"/>
          <w:i/>
        </w:rPr>
      </w:pPr>
    </w:p>
    <w:p w14:paraId="0AABDC39" w14:textId="77777777" w:rsidR="008D0CF1" w:rsidRDefault="00402401">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Para los efectos de esta resolución, es oportuno precisar los alcances jurídicos de la fracción III de la disposición legal transcrita. Así, procede el sobreseimiento del recurso de revisión cuando el </w:t>
      </w:r>
      <w:r>
        <w:rPr>
          <w:rFonts w:ascii="Palatino Linotype" w:eastAsia="Palatino Linotype" w:hAnsi="Palatino Linotype" w:cs="Palatino Linotype"/>
          <w:b/>
        </w:rPr>
        <w:t>SUJETO OBLIGADO</w:t>
      </w:r>
      <w:r>
        <w:rPr>
          <w:rFonts w:ascii="Palatino Linotype" w:eastAsia="Palatino Linotype" w:hAnsi="Palatino Linotype" w:cs="Palatino Linotype"/>
        </w:rPr>
        <w:t>:</w:t>
      </w:r>
    </w:p>
    <w:p w14:paraId="7E2C3BF0" w14:textId="77777777" w:rsidR="008D0CF1" w:rsidRDefault="00402401">
      <w:pPr>
        <w:numPr>
          <w:ilvl w:val="0"/>
          <w:numId w:val="3"/>
        </w:numPr>
        <w:pBdr>
          <w:top w:val="nil"/>
          <w:left w:val="nil"/>
          <w:bottom w:val="nil"/>
          <w:right w:val="nil"/>
          <w:between w:val="nil"/>
        </w:pBdr>
        <w:spacing w:before="240" w:line="360" w:lineRule="auto"/>
        <w:ind w:left="567" w:right="62"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Modifique el acto impugnado:</w:t>
      </w:r>
      <w:r>
        <w:rPr>
          <w:rFonts w:ascii="Palatino Linotype" w:eastAsia="Palatino Linotype" w:hAnsi="Palatino Linotype" w:cs="Palatino Linotype"/>
          <w:color w:val="000000"/>
          <w:sz w:val="22"/>
          <w:szCs w:val="22"/>
        </w:rPr>
        <w:t xml:space="preserve"> Se actualiza cuando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después de haber otorgado una respuesta y hasta antes de dictada la resolución del recurso de revisión, emite una diversa en la que subsane las deficiencias que hubiera tenido.</w:t>
      </w:r>
    </w:p>
    <w:p w14:paraId="0204601A" w14:textId="77777777" w:rsidR="008D0CF1" w:rsidRDefault="00402401">
      <w:pPr>
        <w:numPr>
          <w:ilvl w:val="0"/>
          <w:numId w:val="3"/>
        </w:numPr>
        <w:pBdr>
          <w:top w:val="nil"/>
          <w:left w:val="nil"/>
          <w:bottom w:val="nil"/>
          <w:right w:val="nil"/>
          <w:between w:val="nil"/>
        </w:pBdr>
        <w:spacing w:line="360" w:lineRule="auto"/>
        <w:ind w:left="567" w:right="62"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Revoque el acto impugnado:</w:t>
      </w:r>
      <w:r>
        <w:rPr>
          <w:rFonts w:ascii="Palatino Linotype" w:eastAsia="Palatino Linotype" w:hAnsi="Palatino Linotype" w:cs="Palatino Linotype"/>
          <w:color w:val="000000"/>
          <w:sz w:val="22"/>
          <w:szCs w:val="22"/>
        </w:rPr>
        <w:t xml:space="preserve"> En este supuesto,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deja sin efectos la primera respuesta y en su lugar emite otra que satisfaga lo solicitado por el particular en un primer momento.</w:t>
      </w:r>
    </w:p>
    <w:p w14:paraId="7CE766EF" w14:textId="77777777" w:rsidR="008D0CF1" w:rsidRDefault="008D0CF1">
      <w:pPr>
        <w:pBdr>
          <w:top w:val="nil"/>
          <w:left w:val="nil"/>
          <w:bottom w:val="nil"/>
          <w:right w:val="nil"/>
          <w:between w:val="nil"/>
        </w:pBdr>
        <w:spacing w:after="240" w:line="360" w:lineRule="auto"/>
        <w:ind w:left="567" w:right="-787"/>
        <w:jc w:val="both"/>
        <w:rPr>
          <w:rFonts w:ascii="Palatino Linotype" w:eastAsia="Palatino Linotype" w:hAnsi="Palatino Linotype" w:cs="Palatino Linotype"/>
          <w:color w:val="000000"/>
        </w:rPr>
      </w:pPr>
    </w:p>
    <w:p w14:paraId="5464E672" w14:textId="77777777" w:rsidR="008D0CF1" w:rsidRDefault="00402401">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Las consecuencias jurídicas de esta modificación o revocación es que el recurso de revisión interpuesto quede sin efectos o sin materia.</w:t>
      </w:r>
    </w:p>
    <w:p w14:paraId="3DE98B7D" w14:textId="77777777" w:rsidR="008D0CF1" w:rsidRDefault="008D0CF1">
      <w:pPr>
        <w:spacing w:line="360" w:lineRule="auto"/>
        <w:ind w:right="-787"/>
        <w:jc w:val="both"/>
        <w:rPr>
          <w:rFonts w:ascii="Palatino Linotype" w:eastAsia="Palatino Linotype" w:hAnsi="Palatino Linotype" w:cs="Palatino Linotype"/>
        </w:rPr>
      </w:pPr>
    </w:p>
    <w:p w14:paraId="43991FB7" w14:textId="77777777" w:rsidR="008D0CF1" w:rsidRDefault="00402401">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el presente asunto, con la información enviada a través del informe de justificación, </w:t>
      </w:r>
      <w:r>
        <w:rPr>
          <w:rFonts w:ascii="Palatino Linotype" w:eastAsia="Palatino Linotype" w:hAnsi="Palatino Linotype" w:cs="Palatino Linotype"/>
          <w:b/>
        </w:rPr>
        <w:t>modificó</w:t>
      </w:r>
      <w:r>
        <w:rPr>
          <w:rFonts w:ascii="Palatino Linotype" w:eastAsia="Palatino Linotype" w:hAnsi="Palatino Linotype" w:cs="Palatino Linotype"/>
        </w:rPr>
        <w:t xml:space="preserve"> el acto que le dio origen al recurso de revisión, lo que trae como consecuencia que el mismo quede sin materia, actualizándose de este modo, la hipótesis jurídica contenida en la fracción IV del citado artículo.</w:t>
      </w:r>
    </w:p>
    <w:p w14:paraId="64627922" w14:textId="77777777" w:rsidR="008D0CF1" w:rsidRDefault="008D0CF1">
      <w:pPr>
        <w:pBdr>
          <w:top w:val="nil"/>
          <w:left w:val="nil"/>
          <w:bottom w:val="nil"/>
          <w:right w:val="nil"/>
          <w:between w:val="nil"/>
        </w:pBdr>
        <w:ind w:left="720" w:right="-787"/>
        <w:rPr>
          <w:rFonts w:ascii="Palatino Linotype" w:eastAsia="Palatino Linotype" w:hAnsi="Palatino Linotype" w:cs="Palatino Linotype"/>
          <w:color w:val="000000"/>
        </w:rPr>
      </w:pPr>
    </w:p>
    <w:p w14:paraId="30CDFC66" w14:textId="77777777" w:rsidR="008D0CF1" w:rsidRDefault="00402401">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Es decir, el recurrente se inconforma por la inexistencia de la información, lo cual se subsana con la entrega del acuerdo del Comité de Transparencia que sustenta y brinda certeza jurídica sobre las razones por las que no se cuenta con la información.</w:t>
      </w:r>
    </w:p>
    <w:p w14:paraId="69588FDF" w14:textId="77777777" w:rsidR="008D0CF1" w:rsidRDefault="008D0CF1">
      <w:pPr>
        <w:pBdr>
          <w:top w:val="nil"/>
          <w:left w:val="nil"/>
          <w:bottom w:val="nil"/>
          <w:right w:val="nil"/>
          <w:between w:val="nil"/>
        </w:pBdr>
        <w:ind w:left="720" w:right="-787"/>
        <w:rPr>
          <w:rFonts w:ascii="Palatino Linotype" w:eastAsia="Palatino Linotype" w:hAnsi="Palatino Linotype" w:cs="Palatino Linotype"/>
          <w:color w:val="000000"/>
        </w:rPr>
      </w:pPr>
    </w:p>
    <w:p w14:paraId="05944E68" w14:textId="77777777" w:rsidR="008D0CF1" w:rsidRDefault="00402401">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De lo anterior, se aprecia que el documento que remitió el Sujeto Obligado a través de su informe justificado, atiende los motivos o razones de inconformidad,  consecuencia que el mismo quede sin materia, actualizándose de este modo, la hipótesis jurídica contenida en la fracción IV del citado artículo.</w:t>
      </w:r>
    </w:p>
    <w:p w14:paraId="2590B0F1" w14:textId="77777777" w:rsidR="008D0CF1" w:rsidRDefault="008D0CF1">
      <w:pPr>
        <w:pBdr>
          <w:top w:val="nil"/>
          <w:left w:val="nil"/>
          <w:bottom w:val="nil"/>
          <w:right w:val="nil"/>
          <w:between w:val="nil"/>
        </w:pBdr>
        <w:ind w:left="720" w:right="-787"/>
        <w:rPr>
          <w:rFonts w:ascii="Palatino Linotype" w:eastAsia="Palatino Linotype" w:hAnsi="Palatino Linotype" w:cs="Palatino Linotype"/>
          <w:color w:val="000000"/>
        </w:rPr>
      </w:pPr>
    </w:p>
    <w:p w14:paraId="3AE0DA21" w14:textId="77777777" w:rsidR="008D0CF1" w:rsidRDefault="00402401">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Así, 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w:t>
      </w:r>
      <w:r>
        <w:rPr>
          <w:rFonts w:ascii="Palatino Linotype" w:eastAsia="Palatino Linotype" w:hAnsi="Palatino Linotype" w:cs="Palatino Linotype"/>
          <w:b/>
        </w:rPr>
        <w:t>Sujetos Obligados</w:t>
      </w:r>
      <w:r>
        <w:rPr>
          <w:rFonts w:ascii="Palatino Linotype" w:eastAsia="Palatino Linotype" w:hAnsi="Palatino Linotype" w:cs="Palatino Linotype"/>
        </w:rPr>
        <w:t xml:space="preserve"> o la negativa de entrega de la misma, derivada de la solicitud.</w:t>
      </w:r>
    </w:p>
    <w:p w14:paraId="5F1CEFE4" w14:textId="77777777" w:rsidR="008D0CF1" w:rsidRDefault="008D0CF1">
      <w:pPr>
        <w:pBdr>
          <w:top w:val="nil"/>
          <w:left w:val="nil"/>
          <w:bottom w:val="nil"/>
          <w:right w:val="nil"/>
          <w:between w:val="nil"/>
        </w:pBdr>
        <w:ind w:left="720" w:right="-787"/>
        <w:rPr>
          <w:rFonts w:ascii="Palatino Linotype" w:eastAsia="Palatino Linotype" w:hAnsi="Palatino Linotype" w:cs="Palatino Linotype"/>
          <w:color w:val="000000"/>
        </w:rPr>
      </w:pPr>
    </w:p>
    <w:p w14:paraId="742BD7BD" w14:textId="77777777" w:rsidR="008D0CF1" w:rsidRPr="00F23131" w:rsidRDefault="00402401">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este modo, para que se actualice el sobreseimiento de un recurso de revisión,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puede entregar o completar la información al momento de rendir su informe justificado o dentro de los siete días previstos </w:t>
      </w:r>
      <w:r w:rsidRPr="00F23131">
        <w:rPr>
          <w:rFonts w:ascii="Palatino Linotype" w:eastAsia="Palatino Linotype" w:hAnsi="Palatino Linotype" w:cs="Palatino Linotype"/>
        </w:rPr>
        <w:t xml:space="preserve">para manifestar lo que a su derecho convenga, con la finalidad de que se sea resarcido el derecho de acceso a </w:t>
      </w:r>
      <w:r w:rsidR="00837D8F" w:rsidRPr="00F23131">
        <w:rPr>
          <w:rFonts w:ascii="Palatino Linotype" w:eastAsia="Palatino Linotype" w:hAnsi="Palatino Linotype" w:cs="Palatino Linotype"/>
        </w:rPr>
        <w:t>datos personales</w:t>
      </w:r>
      <w:r w:rsidRPr="00F23131">
        <w:rPr>
          <w:rFonts w:ascii="Palatino Linotype" w:eastAsia="Palatino Linotype" w:hAnsi="Palatino Linotype" w:cs="Palatino Linotype"/>
        </w:rPr>
        <w:t xml:space="preserve"> de la </w:t>
      </w:r>
      <w:r w:rsidR="00837D8F" w:rsidRPr="00F23131">
        <w:rPr>
          <w:rFonts w:ascii="Palatino Linotype" w:eastAsia="Palatino Linotype" w:hAnsi="Palatino Linotype" w:cs="Palatino Linotype"/>
        </w:rPr>
        <w:t>hoy Recurrente</w:t>
      </w:r>
      <w:r w:rsidRPr="00F23131">
        <w:rPr>
          <w:rFonts w:ascii="Palatino Linotype" w:eastAsia="Palatino Linotype" w:hAnsi="Palatino Linotype" w:cs="Palatino Linotype"/>
        </w:rPr>
        <w:t xml:space="preserve"> y haciendo cesar toda controversia.</w:t>
      </w:r>
    </w:p>
    <w:p w14:paraId="51006CAA" w14:textId="77777777" w:rsidR="008D0CF1" w:rsidRDefault="008D0CF1">
      <w:pPr>
        <w:spacing w:line="360" w:lineRule="auto"/>
        <w:ind w:left="502" w:right="-787"/>
        <w:jc w:val="both"/>
        <w:rPr>
          <w:rFonts w:ascii="Palatino Linotype" w:eastAsia="Palatino Linotype" w:hAnsi="Palatino Linotype" w:cs="Palatino Linotype"/>
        </w:rPr>
      </w:pPr>
    </w:p>
    <w:p w14:paraId="18558B1B" w14:textId="77777777" w:rsidR="008D0CF1" w:rsidRDefault="00402401">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tiene sustento en la Tesis: I.7o.C.54 K, del Séptimo Tribunal Colegiado en Materia Civil Del Primer Circuito publicada en el Semanario Judicial de la Federación y su </w:t>
      </w:r>
      <w:r>
        <w:rPr>
          <w:rFonts w:ascii="Palatino Linotype" w:eastAsia="Palatino Linotype" w:hAnsi="Palatino Linotype" w:cs="Palatino Linotype"/>
        </w:rPr>
        <w:lastRenderedPageBreak/>
        <w:t>Gaceta, de la Novena Época, en el Tomo XXIX, Enero de 2009, a página 2837, que literalmente establece:</w:t>
      </w:r>
    </w:p>
    <w:p w14:paraId="24C63A04" w14:textId="77777777" w:rsidR="008D0CF1" w:rsidRDefault="00402401">
      <w:pPr>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w:t>
      </w:r>
      <w:r>
        <w:rPr>
          <w:rFonts w:ascii="Palatino Linotype" w:eastAsia="Palatino Linotype" w:hAnsi="Palatino Linotype" w:cs="Palatino Linotype"/>
          <w:i/>
          <w:sz w:val="22"/>
          <w:szCs w:val="22"/>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63AC6F90" w14:textId="77777777" w:rsidR="008D0CF1" w:rsidRDefault="008D0CF1">
      <w:pPr>
        <w:spacing w:line="360" w:lineRule="auto"/>
        <w:ind w:right="-787"/>
        <w:jc w:val="both"/>
        <w:rPr>
          <w:rFonts w:ascii="Palatino Linotype" w:eastAsia="Palatino Linotype" w:hAnsi="Palatino Linotype" w:cs="Palatino Linotype"/>
        </w:rPr>
      </w:pPr>
    </w:p>
    <w:p w14:paraId="6940C56C" w14:textId="77777777" w:rsidR="008D0CF1" w:rsidRDefault="00402401">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Bajo esas consideraciones, se afirma que en el recurso de revisión sujeto a estudio se actualiza la hipótesis jurídica citada, toda vez que quedó probado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mediante un acto posterior como lo es el Informe justificado proporcionó la información necesaria para dejar sin materia el recurso de revisión.</w:t>
      </w:r>
    </w:p>
    <w:p w14:paraId="74E29F77" w14:textId="77777777" w:rsidR="008D0CF1" w:rsidRDefault="008D0CF1">
      <w:pPr>
        <w:pBdr>
          <w:top w:val="nil"/>
          <w:left w:val="nil"/>
          <w:bottom w:val="nil"/>
          <w:right w:val="nil"/>
          <w:between w:val="nil"/>
        </w:pBdr>
        <w:ind w:left="720" w:right="-787"/>
        <w:rPr>
          <w:rFonts w:ascii="Palatino Linotype" w:eastAsia="Palatino Linotype" w:hAnsi="Palatino Linotype" w:cs="Palatino Linotype"/>
          <w:color w:val="000000"/>
        </w:rPr>
      </w:pPr>
    </w:p>
    <w:p w14:paraId="350C9344" w14:textId="77777777" w:rsidR="008D0CF1" w:rsidRDefault="00402401">
      <w:pPr>
        <w:numPr>
          <w:ilvl w:val="0"/>
          <w:numId w:val="2"/>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Por lo </w:t>
      </w:r>
      <w:r>
        <w:rPr>
          <w:rFonts w:ascii="Palatino Linotype" w:eastAsia="Palatino Linotype" w:hAnsi="Palatino Linotype" w:cs="Palatino Linotype"/>
        </w:rPr>
        <w:t>anteriormente</w:t>
      </w:r>
      <w:r>
        <w:rPr>
          <w:rFonts w:ascii="Palatino Linotype" w:eastAsia="Palatino Linotype" w:hAnsi="Palatino Linotype" w:cs="Palatino Linotype"/>
          <w:color w:val="000000"/>
        </w:rPr>
        <w:t xml:space="preserv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14:paraId="3E7A5512" w14:textId="77777777" w:rsidR="008D0CF1" w:rsidRDefault="00402401">
      <w:pPr>
        <w:keepNext/>
        <w:keepLines/>
        <w:spacing w:line="360" w:lineRule="auto"/>
        <w:ind w:right="-787"/>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 E S O L U T I V O S</w:t>
      </w:r>
    </w:p>
    <w:p w14:paraId="761E644F" w14:textId="77777777" w:rsidR="008D0CF1" w:rsidRDefault="008D0CF1">
      <w:pPr>
        <w:keepNext/>
        <w:keepLines/>
        <w:spacing w:line="360" w:lineRule="auto"/>
        <w:ind w:right="-787"/>
        <w:jc w:val="center"/>
        <w:rPr>
          <w:rFonts w:ascii="Palatino Linotype" w:eastAsia="Palatino Linotype" w:hAnsi="Palatino Linotype" w:cs="Palatino Linotype"/>
          <w:b/>
          <w:color w:val="000000"/>
        </w:rPr>
      </w:pPr>
    </w:p>
    <w:p w14:paraId="06FB2390" w14:textId="3DD3A865" w:rsidR="008D0CF1" w:rsidRDefault="00402401">
      <w:pPr>
        <w:spacing w:line="360" w:lineRule="auto"/>
        <w:ind w:right="-787"/>
        <w:jc w:val="both"/>
        <w:rPr>
          <w:rFonts w:ascii="Palatino Linotype" w:eastAsia="Palatino Linotype" w:hAnsi="Palatino Linotype" w:cs="Palatino Linotype"/>
        </w:rPr>
      </w:pPr>
      <w:bookmarkStart w:id="8" w:name="_heading=h.17dp8vu" w:colFirst="0" w:colLast="0"/>
      <w:bookmarkEnd w:id="8"/>
      <w:r>
        <w:rPr>
          <w:rFonts w:ascii="Palatino Linotype" w:eastAsia="Palatino Linotype" w:hAnsi="Palatino Linotype" w:cs="Palatino Linotype"/>
          <w:b/>
        </w:rPr>
        <w:t>PRIMERO</w:t>
      </w:r>
      <w:r>
        <w:rPr>
          <w:rFonts w:ascii="Palatino Linotype" w:eastAsia="Palatino Linotype" w:hAnsi="Palatino Linotype" w:cs="Palatino Linotype"/>
        </w:rPr>
        <w:t xml:space="preserve">. Se </w:t>
      </w:r>
      <w:r>
        <w:rPr>
          <w:rFonts w:ascii="Palatino Linotype" w:eastAsia="Palatino Linotype" w:hAnsi="Palatino Linotype" w:cs="Palatino Linotype"/>
          <w:b/>
        </w:rPr>
        <w:t xml:space="preserve">SOBRESEE </w:t>
      </w:r>
      <w:r>
        <w:rPr>
          <w:rFonts w:ascii="Palatino Linotype" w:eastAsia="Palatino Linotype" w:hAnsi="Palatino Linotype" w:cs="Palatino Linotype"/>
        </w:rPr>
        <w:t>el Recurso de Revisión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número </w:t>
      </w:r>
      <w:r>
        <w:rPr>
          <w:rFonts w:ascii="Palatino Linotype" w:eastAsia="Palatino Linotype" w:hAnsi="Palatino Linotype" w:cs="Palatino Linotype"/>
          <w:b/>
        </w:rPr>
        <w:t xml:space="preserve">00058/INFOEM/AD/RR/2024 </w:t>
      </w:r>
      <w:r>
        <w:rPr>
          <w:rFonts w:ascii="Palatino Linotype" w:eastAsia="Palatino Linotype" w:hAnsi="Palatino Linotype" w:cs="Palatino Linotype"/>
        </w:rPr>
        <w:t xml:space="preserve">porque al </w:t>
      </w:r>
      <w:r w:rsidRPr="00F23131">
        <w:rPr>
          <w:rFonts w:ascii="Palatino Linotype" w:eastAsia="Palatino Linotype" w:hAnsi="Palatino Linotype" w:cs="Palatino Linotype"/>
        </w:rPr>
        <w:t>modificar la respuesta a través del informe justificado, el Recurso de Revisión quedó sin materia</w:t>
      </w:r>
      <w:r w:rsidRPr="00F23131">
        <w:rPr>
          <w:rFonts w:ascii="Palatino Linotype" w:eastAsia="Palatino Linotype" w:hAnsi="Palatino Linotype" w:cs="Palatino Linotype"/>
          <w:b/>
        </w:rPr>
        <w:t xml:space="preserve">, </w:t>
      </w:r>
      <w:r w:rsidR="00D26602" w:rsidRPr="00F23131">
        <w:rPr>
          <w:rFonts w:ascii="Palatino Linotype" w:eastAsia="Palatino Linotype" w:hAnsi="Palatino Linotype" w:cs="Palatino Linotype"/>
          <w:bCs/>
        </w:rPr>
        <w:t>con fundamento en lo dispuesto en el</w:t>
      </w:r>
      <w:r w:rsidR="00D26602" w:rsidRPr="00F23131">
        <w:rPr>
          <w:rFonts w:ascii="Palatino Linotype" w:eastAsia="Palatino Linotype" w:hAnsi="Palatino Linotype" w:cs="Palatino Linotype"/>
          <w:b/>
        </w:rPr>
        <w:t xml:space="preserve"> </w:t>
      </w:r>
      <w:r w:rsidR="00D26602" w:rsidRPr="00F23131">
        <w:rPr>
          <w:rFonts w:ascii="Palatino Linotype" w:eastAsia="Palatino Linotype" w:hAnsi="Palatino Linotype" w:cs="Palatino Linotype"/>
        </w:rPr>
        <w:t xml:space="preserve"> artículo 139 fracción IV de la Ley de Protección de Datos Personales en Posesión de los Sujetos Obligados del Estado de México y Municipios,  </w:t>
      </w:r>
      <w:r w:rsidRPr="00F23131">
        <w:rPr>
          <w:rFonts w:ascii="Palatino Linotype" w:eastAsia="Palatino Linotype" w:hAnsi="Palatino Linotype" w:cs="Palatino Linotype"/>
        </w:rPr>
        <w:t xml:space="preserve">en términos del Considerando </w:t>
      </w:r>
      <w:r w:rsidRPr="00F23131">
        <w:rPr>
          <w:rFonts w:ascii="Palatino Linotype" w:eastAsia="Palatino Linotype" w:hAnsi="Palatino Linotype" w:cs="Palatino Linotype"/>
          <w:b/>
        </w:rPr>
        <w:t>TERCERO</w:t>
      </w:r>
      <w:r w:rsidRPr="00F23131">
        <w:rPr>
          <w:rFonts w:ascii="Palatino Linotype" w:eastAsia="Palatino Linotype" w:hAnsi="Palatino Linotype" w:cs="Palatino Linotype"/>
        </w:rPr>
        <w:t xml:space="preserve"> de la presente resolución.</w:t>
      </w:r>
    </w:p>
    <w:p w14:paraId="6B8FFE56" w14:textId="77777777" w:rsidR="008D0CF1" w:rsidRDefault="008D0CF1">
      <w:pPr>
        <w:spacing w:line="360" w:lineRule="auto"/>
        <w:ind w:right="-787"/>
        <w:jc w:val="both"/>
        <w:rPr>
          <w:rFonts w:ascii="Palatino Linotype" w:eastAsia="Palatino Linotype" w:hAnsi="Palatino Linotype" w:cs="Palatino Linotype"/>
        </w:rPr>
      </w:pPr>
    </w:p>
    <w:p w14:paraId="0E1D1DD5" w14:textId="77777777" w:rsidR="008D0CF1" w:rsidRDefault="00402401">
      <w:pPr>
        <w:shd w:val="clear" w:color="auto" w:fill="FFFFFF"/>
        <w:spacing w:line="360" w:lineRule="auto"/>
        <w:ind w:right="-787"/>
        <w:jc w:val="both"/>
        <w:rPr>
          <w:rFonts w:ascii="Palatino Linotype" w:eastAsia="Palatino Linotype" w:hAnsi="Palatino Linotype" w:cs="Palatino Linotype"/>
          <w:color w:val="000000"/>
          <w:highlight w:val="white"/>
        </w:rPr>
      </w:pPr>
      <w:r>
        <w:rPr>
          <w:rFonts w:ascii="Palatino Linotype" w:eastAsia="Palatino Linotype" w:hAnsi="Palatino Linotype" w:cs="Palatino Linotype"/>
          <w:b/>
        </w:rPr>
        <w:lastRenderedPageBreak/>
        <w:t>SEGUNDO.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color w:val="000000"/>
          <w:highlight w:val="white"/>
        </w:rPr>
        <w:t xml:space="preserve">Notifíquese </w:t>
      </w:r>
      <w:r>
        <w:rPr>
          <w:rFonts w:ascii="Palatino Linotype" w:eastAsia="Palatino Linotype" w:hAnsi="Palatino Linotype" w:cs="Palatino Linotype"/>
          <w:color w:val="000000"/>
          <w:highlight w:val="white"/>
        </w:rPr>
        <w:t>al Titular de la Unidad de Transparencia del</w:t>
      </w:r>
      <w:r>
        <w:rPr>
          <w:rFonts w:ascii="Palatino Linotype" w:eastAsia="Palatino Linotype" w:hAnsi="Palatino Linotype" w:cs="Palatino Linotype"/>
          <w:b/>
          <w:color w:val="000000"/>
          <w:highlight w:val="white"/>
        </w:rPr>
        <w:t xml:space="preserve"> SUJETO OBLIGADO</w:t>
      </w:r>
      <w:r>
        <w:rPr>
          <w:rFonts w:ascii="Palatino Linotype" w:eastAsia="Palatino Linotype" w:hAnsi="Palatino Linotype" w:cs="Palatino Linotype"/>
          <w:color w:val="000000"/>
          <w:highlight w:val="white"/>
        </w:rPr>
        <w:t xml:space="preserve"> vía Sistema de Acceso, Rectificación, Cancelación y Oposición de Datos Personales del Estado de México. </w:t>
      </w:r>
    </w:p>
    <w:p w14:paraId="0E0E4023" w14:textId="77777777" w:rsidR="008D0CF1" w:rsidRDefault="008D0CF1">
      <w:pPr>
        <w:shd w:val="clear" w:color="auto" w:fill="FFFFFF"/>
        <w:spacing w:line="360" w:lineRule="auto"/>
        <w:ind w:right="-787"/>
        <w:jc w:val="both"/>
        <w:rPr>
          <w:rFonts w:ascii="Palatino Linotype" w:eastAsia="Palatino Linotype" w:hAnsi="Palatino Linotype" w:cs="Palatino Linotype"/>
          <w:b/>
          <w:color w:val="000000"/>
        </w:rPr>
      </w:pPr>
    </w:p>
    <w:p w14:paraId="53BF2454" w14:textId="77777777" w:rsidR="008D0CF1" w:rsidRDefault="00402401">
      <w:pPr>
        <w:widowControl w:val="0"/>
        <w:pBdr>
          <w:top w:val="nil"/>
          <w:left w:val="nil"/>
          <w:bottom w:val="nil"/>
          <w:right w:val="nil"/>
          <w:between w:val="nil"/>
        </w:pBdr>
        <w:tabs>
          <w:tab w:val="left" w:pos="1701"/>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TERCERO</w:t>
      </w:r>
      <w:r>
        <w:rPr>
          <w:rFonts w:ascii="Palatino Linotype" w:eastAsia="Palatino Linotype" w:hAnsi="Palatino Linotype" w:cs="Palatino Linotype"/>
          <w:b/>
          <w:color w:val="222222"/>
        </w:rPr>
        <w:t xml:space="preserve">. Notifíquese a la RECURRENTE </w:t>
      </w:r>
      <w:r>
        <w:rPr>
          <w:rFonts w:ascii="Palatino Linotype" w:eastAsia="Palatino Linotype" w:hAnsi="Palatino Linotype" w:cs="Palatino Linotype"/>
          <w:color w:val="222222"/>
        </w:rPr>
        <w:t xml:space="preserve">la presente resolución </w:t>
      </w:r>
      <w:r>
        <w:rPr>
          <w:rFonts w:ascii="Palatino Linotype" w:eastAsia="Palatino Linotype" w:hAnsi="Palatino Linotype" w:cs="Palatino Linotype"/>
          <w:color w:val="000000"/>
          <w:highlight w:val="white"/>
        </w:rPr>
        <w:t>vía Sistema de Acceso, Rectificación, Cancelación y Oposición de Datos Personales del Estado de México.</w:t>
      </w:r>
    </w:p>
    <w:p w14:paraId="66E18B65" w14:textId="77777777" w:rsidR="008D0CF1" w:rsidRDefault="008D0CF1">
      <w:pPr>
        <w:widowControl w:val="0"/>
        <w:pBdr>
          <w:top w:val="nil"/>
          <w:left w:val="nil"/>
          <w:bottom w:val="nil"/>
          <w:right w:val="nil"/>
          <w:between w:val="nil"/>
        </w:pBdr>
        <w:tabs>
          <w:tab w:val="left" w:pos="1701"/>
        </w:tabs>
        <w:spacing w:line="360" w:lineRule="auto"/>
        <w:ind w:right="-787"/>
        <w:jc w:val="both"/>
        <w:rPr>
          <w:rFonts w:ascii="Palatino Linotype" w:eastAsia="Palatino Linotype" w:hAnsi="Palatino Linotype" w:cs="Palatino Linotype"/>
          <w:color w:val="000000"/>
        </w:rPr>
      </w:pPr>
    </w:p>
    <w:p w14:paraId="75AD9C92" w14:textId="77777777" w:rsidR="008D0CF1" w:rsidRDefault="00402401">
      <w:pPr>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CUARTO. </w:t>
      </w:r>
      <w:r>
        <w:rPr>
          <w:rFonts w:ascii="Palatino Linotype" w:eastAsia="Palatino Linotype" w:hAnsi="Palatino Linotype" w:cs="Palatino Linotype"/>
          <w:color w:val="000000"/>
        </w:rPr>
        <w:t xml:space="preserve">Se hace de conocimiento a 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que, de conformidad con lo establecido en el artículo 142 de la Ley de Protección de Datos Personales en Posesión de Sujetos Obligados del Estado de México y Municipios, en caso de que considere que la resolución le cause algún perjuicio podrá </w:t>
      </w:r>
      <w:r>
        <w:rPr>
          <w:rFonts w:ascii="Palatino Linotype" w:eastAsia="Palatino Linotype" w:hAnsi="Palatino Linotype" w:cs="Palatino Linotype"/>
        </w:rPr>
        <w:t>impugnar vía</w:t>
      </w:r>
      <w:r>
        <w:rPr>
          <w:rFonts w:ascii="Palatino Linotype" w:eastAsia="Palatino Linotype" w:hAnsi="Palatino Linotype" w:cs="Palatino Linotype"/>
          <w:color w:val="000000"/>
        </w:rPr>
        <w:t xml:space="preserve"> Juicio de Amparo en los términos de las leyes aplicables.</w:t>
      </w:r>
    </w:p>
    <w:p w14:paraId="205C890C" w14:textId="77777777" w:rsidR="008D0CF1" w:rsidRDefault="008D0CF1">
      <w:pPr>
        <w:spacing w:line="360" w:lineRule="auto"/>
        <w:ind w:right="-787"/>
        <w:jc w:val="both"/>
        <w:rPr>
          <w:rFonts w:ascii="Palatino Linotype" w:eastAsia="Palatino Linotype" w:hAnsi="Palatino Linotype" w:cs="Palatino Linotype"/>
        </w:rPr>
      </w:pPr>
    </w:p>
    <w:p w14:paraId="500606E9" w14:textId="77777777" w:rsidR="00077680" w:rsidRPr="003C7186" w:rsidRDefault="00077680" w:rsidP="00E3084A">
      <w:pPr>
        <w:spacing w:line="360" w:lineRule="auto"/>
        <w:ind w:right="-801"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SEGUNDA </w:t>
      </w:r>
      <w:r w:rsidRPr="003C7186">
        <w:rPr>
          <w:rFonts w:ascii="Palatino Linotype" w:hAnsi="Palatino Linotype"/>
        </w:rPr>
        <w:t xml:space="preserve">SESIÓN ORDINARIA CELEBRADA EL </w:t>
      </w:r>
      <w:r>
        <w:rPr>
          <w:rFonts w:ascii="Palatino Linotype" w:hAnsi="Palatino Linotype"/>
        </w:rPr>
        <w:t>ONCE</w:t>
      </w:r>
      <w:r w:rsidRPr="003C7186">
        <w:rPr>
          <w:rFonts w:ascii="Palatino Linotype" w:hAnsi="Palatino Linotype"/>
        </w:rPr>
        <w:t xml:space="preserve"> </w:t>
      </w:r>
      <w:r>
        <w:rPr>
          <w:rFonts w:ascii="Palatino Linotype" w:hAnsi="Palatino Linotype"/>
        </w:rPr>
        <w:t>(11) DE SEPTIEMBRE</w:t>
      </w:r>
      <w:r w:rsidRPr="003C7186">
        <w:rPr>
          <w:rFonts w:ascii="Palatino Linotype" w:hAnsi="Palatino Linotype"/>
        </w:rPr>
        <w:t xml:space="preserve"> DE DOS MIL VEINTICUATRO, ANTE EL SECRETARIO TÉCNICO DEL PLENO ALEXIS TAPIA RAMÍREZ. </w:t>
      </w:r>
    </w:p>
    <w:p w14:paraId="0AA3EE8D" w14:textId="77777777" w:rsidR="008D0CF1" w:rsidRDefault="008D0CF1">
      <w:pPr>
        <w:spacing w:line="360" w:lineRule="auto"/>
        <w:ind w:right="-787"/>
        <w:jc w:val="both"/>
        <w:rPr>
          <w:rFonts w:ascii="Palatino Linotype" w:eastAsia="Palatino Linotype" w:hAnsi="Palatino Linotype" w:cs="Palatino Linotype"/>
        </w:rPr>
      </w:pPr>
    </w:p>
    <w:p w14:paraId="4E034C59" w14:textId="77777777" w:rsidR="008D0CF1" w:rsidRDefault="008D0CF1">
      <w:pPr>
        <w:spacing w:line="360" w:lineRule="auto"/>
        <w:ind w:right="-787" w:firstLine="1"/>
        <w:jc w:val="both"/>
        <w:rPr>
          <w:rFonts w:ascii="Palatino Linotype" w:eastAsia="Palatino Linotype" w:hAnsi="Palatino Linotype" w:cs="Palatino Linotype"/>
        </w:rPr>
      </w:pPr>
    </w:p>
    <w:p w14:paraId="6F94C3DA" w14:textId="77777777" w:rsidR="008D0CF1" w:rsidRDefault="008D0CF1">
      <w:pPr>
        <w:spacing w:line="360" w:lineRule="auto"/>
        <w:ind w:right="-787" w:firstLine="1"/>
        <w:jc w:val="both"/>
        <w:rPr>
          <w:rFonts w:ascii="Palatino Linotype" w:eastAsia="Palatino Linotype" w:hAnsi="Palatino Linotype" w:cs="Palatino Linotype"/>
        </w:rPr>
      </w:pPr>
    </w:p>
    <w:p w14:paraId="392A7403" w14:textId="77777777" w:rsidR="008D0CF1" w:rsidRDefault="008D0CF1">
      <w:pPr>
        <w:spacing w:line="360" w:lineRule="auto"/>
        <w:ind w:right="-787" w:firstLine="1"/>
        <w:jc w:val="both"/>
        <w:rPr>
          <w:rFonts w:ascii="Palatino Linotype" w:eastAsia="Palatino Linotype" w:hAnsi="Palatino Linotype" w:cs="Palatino Linotype"/>
        </w:rPr>
      </w:pPr>
    </w:p>
    <w:p w14:paraId="2CB16DA2" w14:textId="77777777" w:rsidR="008D0CF1" w:rsidRDefault="008D0CF1">
      <w:pPr>
        <w:spacing w:line="360" w:lineRule="auto"/>
        <w:ind w:right="-787" w:firstLine="1"/>
        <w:jc w:val="both"/>
        <w:rPr>
          <w:rFonts w:ascii="Palatino Linotype" w:eastAsia="Palatino Linotype" w:hAnsi="Palatino Linotype" w:cs="Palatino Linotype"/>
        </w:rPr>
      </w:pPr>
    </w:p>
    <w:p w14:paraId="2DC7B1D3" w14:textId="77777777" w:rsidR="008D0CF1" w:rsidRDefault="008D0CF1">
      <w:pPr>
        <w:spacing w:line="360" w:lineRule="auto"/>
        <w:ind w:right="-787" w:firstLine="1"/>
        <w:jc w:val="both"/>
        <w:rPr>
          <w:rFonts w:ascii="Palatino Linotype" w:eastAsia="Palatino Linotype" w:hAnsi="Palatino Linotype" w:cs="Palatino Linotype"/>
        </w:rPr>
      </w:pPr>
    </w:p>
    <w:p w14:paraId="60FDBA8D" w14:textId="77777777" w:rsidR="008D0CF1" w:rsidRDefault="008D0CF1">
      <w:pPr>
        <w:spacing w:line="360" w:lineRule="auto"/>
        <w:ind w:right="-787" w:firstLine="1"/>
        <w:jc w:val="both"/>
        <w:rPr>
          <w:rFonts w:ascii="Palatino Linotype" w:eastAsia="Palatino Linotype" w:hAnsi="Palatino Linotype" w:cs="Palatino Linotype"/>
        </w:rPr>
      </w:pPr>
    </w:p>
    <w:p w14:paraId="00EA9755" w14:textId="77777777" w:rsidR="008D0CF1" w:rsidRDefault="008D0CF1">
      <w:pPr>
        <w:spacing w:line="360" w:lineRule="auto"/>
        <w:ind w:right="-787" w:firstLine="1"/>
        <w:jc w:val="both"/>
        <w:rPr>
          <w:rFonts w:ascii="Palatino Linotype" w:eastAsia="Palatino Linotype" w:hAnsi="Palatino Linotype" w:cs="Palatino Linotype"/>
        </w:rPr>
      </w:pPr>
    </w:p>
    <w:p w14:paraId="42BC3EC4" w14:textId="77777777" w:rsidR="008D0CF1" w:rsidRDefault="008D0CF1">
      <w:pPr>
        <w:spacing w:line="360" w:lineRule="auto"/>
        <w:ind w:right="-787" w:firstLine="1"/>
        <w:jc w:val="both"/>
        <w:rPr>
          <w:rFonts w:ascii="Palatino Linotype" w:eastAsia="Palatino Linotype" w:hAnsi="Palatino Linotype" w:cs="Palatino Linotype"/>
        </w:rPr>
      </w:pPr>
    </w:p>
    <w:p w14:paraId="4AC0C975" w14:textId="77777777" w:rsidR="008D0CF1" w:rsidRDefault="008D0CF1">
      <w:pPr>
        <w:spacing w:line="360" w:lineRule="auto"/>
        <w:ind w:right="-787" w:firstLine="1"/>
        <w:jc w:val="both"/>
        <w:rPr>
          <w:rFonts w:ascii="Palatino Linotype" w:eastAsia="Palatino Linotype" w:hAnsi="Palatino Linotype" w:cs="Palatino Linotype"/>
        </w:rPr>
      </w:pPr>
    </w:p>
    <w:p w14:paraId="60FD7427" w14:textId="77777777" w:rsidR="008D0CF1" w:rsidRDefault="008D0CF1">
      <w:pPr>
        <w:spacing w:line="360" w:lineRule="auto"/>
        <w:ind w:right="-787" w:firstLine="1"/>
        <w:jc w:val="both"/>
        <w:rPr>
          <w:rFonts w:ascii="Palatino Linotype" w:eastAsia="Palatino Linotype" w:hAnsi="Palatino Linotype" w:cs="Palatino Linotype"/>
        </w:rPr>
      </w:pPr>
    </w:p>
    <w:p w14:paraId="765DF686" w14:textId="77777777" w:rsidR="008D0CF1" w:rsidRDefault="008D0CF1">
      <w:pPr>
        <w:spacing w:line="360" w:lineRule="auto"/>
        <w:ind w:right="-787" w:firstLine="1"/>
        <w:jc w:val="both"/>
        <w:rPr>
          <w:rFonts w:ascii="Palatino Linotype" w:eastAsia="Palatino Linotype" w:hAnsi="Palatino Linotype" w:cs="Palatino Linotype"/>
        </w:rPr>
      </w:pPr>
    </w:p>
    <w:p w14:paraId="0DC76446" w14:textId="77777777" w:rsidR="008D0CF1" w:rsidRDefault="008D0CF1">
      <w:pPr>
        <w:spacing w:line="360" w:lineRule="auto"/>
        <w:ind w:right="-787" w:firstLine="1"/>
        <w:jc w:val="both"/>
        <w:rPr>
          <w:rFonts w:ascii="Palatino Linotype" w:eastAsia="Palatino Linotype" w:hAnsi="Palatino Linotype" w:cs="Palatino Linotype"/>
        </w:rPr>
      </w:pPr>
    </w:p>
    <w:p w14:paraId="355E92FE" w14:textId="77777777" w:rsidR="008D0CF1" w:rsidRDefault="008D0CF1">
      <w:pPr>
        <w:spacing w:line="360" w:lineRule="auto"/>
        <w:ind w:right="-787" w:firstLine="1"/>
        <w:jc w:val="both"/>
        <w:rPr>
          <w:rFonts w:ascii="Palatino Linotype" w:eastAsia="Palatino Linotype" w:hAnsi="Palatino Linotype" w:cs="Palatino Linotype"/>
        </w:rPr>
      </w:pPr>
    </w:p>
    <w:p w14:paraId="0839F1A5" w14:textId="77777777" w:rsidR="008D0CF1" w:rsidRDefault="008D0CF1">
      <w:pPr>
        <w:spacing w:line="360" w:lineRule="auto"/>
        <w:ind w:right="-787" w:firstLine="1"/>
        <w:jc w:val="both"/>
        <w:rPr>
          <w:rFonts w:ascii="Palatino Linotype" w:eastAsia="Palatino Linotype" w:hAnsi="Palatino Linotype" w:cs="Palatino Linotype"/>
        </w:rPr>
      </w:pPr>
    </w:p>
    <w:p w14:paraId="31F7F27A" w14:textId="77777777" w:rsidR="008D0CF1" w:rsidRDefault="008D0CF1">
      <w:pPr>
        <w:spacing w:line="360" w:lineRule="auto"/>
        <w:ind w:right="-787" w:firstLine="1"/>
        <w:jc w:val="both"/>
        <w:rPr>
          <w:rFonts w:ascii="Palatino Linotype" w:eastAsia="Palatino Linotype" w:hAnsi="Palatino Linotype" w:cs="Palatino Linotype"/>
        </w:rPr>
      </w:pPr>
    </w:p>
    <w:p w14:paraId="101DFA41" w14:textId="77777777" w:rsidR="008D0CF1" w:rsidRDefault="008D0CF1">
      <w:pPr>
        <w:spacing w:line="360" w:lineRule="auto"/>
        <w:ind w:right="-787" w:firstLine="1"/>
        <w:jc w:val="both"/>
        <w:rPr>
          <w:rFonts w:ascii="Palatino Linotype" w:eastAsia="Palatino Linotype" w:hAnsi="Palatino Linotype" w:cs="Palatino Linotype"/>
        </w:rPr>
      </w:pPr>
    </w:p>
    <w:p w14:paraId="69165179" w14:textId="77777777" w:rsidR="008D0CF1" w:rsidRDefault="008D0CF1">
      <w:pPr>
        <w:spacing w:line="360" w:lineRule="auto"/>
        <w:ind w:right="-787" w:firstLine="1"/>
        <w:jc w:val="both"/>
        <w:rPr>
          <w:rFonts w:ascii="Palatino Linotype" w:eastAsia="Palatino Linotype" w:hAnsi="Palatino Linotype" w:cs="Palatino Linotype"/>
        </w:rPr>
      </w:pPr>
    </w:p>
    <w:p w14:paraId="18408233" w14:textId="77777777" w:rsidR="008D0CF1" w:rsidRDefault="008D0CF1">
      <w:pPr>
        <w:spacing w:line="360" w:lineRule="auto"/>
        <w:ind w:right="-787" w:firstLine="1"/>
        <w:jc w:val="both"/>
        <w:rPr>
          <w:rFonts w:ascii="Palatino Linotype" w:eastAsia="Palatino Linotype" w:hAnsi="Palatino Linotype" w:cs="Palatino Linotype"/>
        </w:rPr>
      </w:pPr>
    </w:p>
    <w:p w14:paraId="7DCF9FF0" w14:textId="77777777" w:rsidR="008D0CF1" w:rsidRDefault="008D0CF1">
      <w:pPr>
        <w:spacing w:line="360" w:lineRule="auto"/>
        <w:ind w:right="-787" w:firstLine="1"/>
        <w:jc w:val="both"/>
        <w:rPr>
          <w:rFonts w:ascii="Palatino Linotype" w:eastAsia="Palatino Linotype" w:hAnsi="Palatino Linotype" w:cs="Palatino Linotype"/>
        </w:rPr>
      </w:pPr>
    </w:p>
    <w:p w14:paraId="2137A9FC" w14:textId="77777777" w:rsidR="008D0CF1" w:rsidRDefault="008D0CF1">
      <w:pPr>
        <w:spacing w:line="360" w:lineRule="auto"/>
        <w:ind w:right="-787" w:firstLine="1"/>
        <w:jc w:val="both"/>
        <w:rPr>
          <w:rFonts w:ascii="Palatino Linotype" w:eastAsia="Palatino Linotype" w:hAnsi="Palatino Linotype" w:cs="Palatino Linotype"/>
        </w:rPr>
      </w:pPr>
    </w:p>
    <w:p w14:paraId="6F80DC52" w14:textId="77777777" w:rsidR="008D0CF1" w:rsidRDefault="008D0CF1">
      <w:pPr>
        <w:spacing w:line="360" w:lineRule="auto"/>
        <w:ind w:right="-787" w:firstLine="1"/>
        <w:jc w:val="both"/>
        <w:rPr>
          <w:rFonts w:ascii="Palatino Linotype" w:eastAsia="Palatino Linotype" w:hAnsi="Palatino Linotype" w:cs="Palatino Linotype"/>
        </w:rPr>
      </w:pPr>
    </w:p>
    <w:p w14:paraId="3D912356" w14:textId="77777777" w:rsidR="008D0CF1" w:rsidRDefault="008D0CF1">
      <w:pPr>
        <w:spacing w:line="360" w:lineRule="auto"/>
        <w:ind w:right="-787" w:firstLine="1"/>
        <w:jc w:val="both"/>
        <w:rPr>
          <w:rFonts w:ascii="Palatino Linotype" w:eastAsia="Palatino Linotype" w:hAnsi="Palatino Linotype" w:cs="Palatino Linotype"/>
        </w:rPr>
      </w:pPr>
    </w:p>
    <w:p w14:paraId="0405634D" w14:textId="77777777" w:rsidR="008D0CF1" w:rsidRDefault="008D0CF1">
      <w:pPr>
        <w:spacing w:line="360" w:lineRule="auto"/>
        <w:ind w:right="-787" w:firstLine="1"/>
        <w:jc w:val="both"/>
        <w:rPr>
          <w:rFonts w:ascii="Palatino Linotype" w:eastAsia="Palatino Linotype" w:hAnsi="Palatino Linotype" w:cs="Palatino Linotype"/>
        </w:rPr>
      </w:pPr>
    </w:p>
    <w:p w14:paraId="5DBF3845" w14:textId="77777777" w:rsidR="008D0CF1" w:rsidRDefault="008D0CF1">
      <w:pPr>
        <w:spacing w:line="360" w:lineRule="auto"/>
        <w:ind w:right="-787" w:firstLine="1"/>
        <w:jc w:val="both"/>
        <w:rPr>
          <w:rFonts w:ascii="Palatino Linotype" w:eastAsia="Palatino Linotype" w:hAnsi="Palatino Linotype" w:cs="Palatino Linotype"/>
        </w:rPr>
      </w:pPr>
    </w:p>
    <w:sectPr w:rsidR="008D0CF1">
      <w:headerReference w:type="even" r:id="rId10"/>
      <w:headerReference w:type="default" r:id="rId11"/>
      <w:footerReference w:type="default" r:id="rId12"/>
      <w:headerReference w:type="first" r:id="rId13"/>
      <w:footerReference w:type="first" r:id="rId14"/>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93D96" w14:textId="77777777" w:rsidR="000519DD" w:rsidRDefault="000519DD">
      <w:r>
        <w:separator/>
      </w:r>
    </w:p>
  </w:endnote>
  <w:endnote w:type="continuationSeparator" w:id="0">
    <w:p w14:paraId="7217C09A" w14:textId="77777777" w:rsidR="000519DD" w:rsidRDefault="0005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DC00" w14:textId="77777777" w:rsidR="008D0CF1" w:rsidRDefault="0040240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3084A">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3084A">
      <w:rPr>
        <w:rFonts w:ascii="Palatino Linotype" w:eastAsia="Palatino Linotype" w:hAnsi="Palatino Linotype" w:cs="Palatino Linotype"/>
        <w:noProof/>
        <w:color w:val="000000"/>
        <w:sz w:val="20"/>
        <w:szCs w:val="20"/>
      </w:rPr>
      <w:t>18</w:t>
    </w:r>
    <w:r>
      <w:rPr>
        <w:rFonts w:ascii="Palatino Linotype" w:eastAsia="Palatino Linotype" w:hAnsi="Palatino Linotype" w:cs="Palatino Linotype"/>
        <w:color w:val="000000"/>
        <w:sz w:val="20"/>
        <w:szCs w:val="20"/>
      </w:rPr>
      <w:fldChar w:fldCharType="end"/>
    </w:r>
  </w:p>
  <w:p w14:paraId="7140D379" w14:textId="77777777" w:rsidR="008D0CF1" w:rsidRDefault="008D0CF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D4ED" w14:textId="77777777" w:rsidR="008D0CF1" w:rsidRDefault="0040240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3084A">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3084A">
      <w:rPr>
        <w:rFonts w:ascii="Palatino Linotype" w:eastAsia="Palatino Linotype" w:hAnsi="Palatino Linotype" w:cs="Palatino Linotype"/>
        <w:noProof/>
        <w:color w:val="000000"/>
        <w:sz w:val="20"/>
        <w:szCs w:val="20"/>
      </w:rPr>
      <w:t>18</w:t>
    </w:r>
    <w:r>
      <w:rPr>
        <w:rFonts w:ascii="Palatino Linotype" w:eastAsia="Palatino Linotype" w:hAnsi="Palatino Linotype" w:cs="Palatino Linotype"/>
        <w:color w:val="000000"/>
        <w:sz w:val="20"/>
        <w:szCs w:val="20"/>
      </w:rPr>
      <w:fldChar w:fldCharType="end"/>
    </w:r>
  </w:p>
  <w:p w14:paraId="43695F9D" w14:textId="77777777" w:rsidR="008D0CF1" w:rsidRDefault="008D0CF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4986" w14:textId="77777777" w:rsidR="000519DD" w:rsidRDefault="000519DD">
      <w:r>
        <w:separator/>
      </w:r>
    </w:p>
  </w:footnote>
  <w:footnote w:type="continuationSeparator" w:id="0">
    <w:p w14:paraId="3D25B8D2" w14:textId="77777777" w:rsidR="000519DD" w:rsidRDefault="00051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5B22" w14:textId="77777777" w:rsidR="008D0CF1" w:rsidRDefault="000519DD">
    <w:pPr>
      <w:pBdr>
        <w:top w:val="nil"/>
        <w:left w:val="nil"/>
        <w:bottom w:val="nil"/>
        <w:right w:val="nil"/>
        <w:between w:val="nil"/>
      </w:pBdr>
      <w:tabs>
        <w:tab w:val="center" w:pos="4419"/>
        <w:tab w:val="right" w:pos="8838"/>
      </w:tabs>
      <w:rPr>
        <w:color w:val="000000"/>
      </w:rPr>
    </w:pPr>
    <w:r>
      <w:rPr>
        <w:color w:val="000000"/>
      </w:rPr>
      <w:pict w14:anchorId="0E51E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A69A" w14:textId="77777777" w:rsidR="008D0CF1" w:rsidRDefault="008D0CF1">
    <w:pPr>
      <w:widowControl w:val="0"/>
      <w:pBdr>
        <w:top w:val="nil"/>
        <w:left w:val="nil"/>
        <w:bottom w:val="nil"/>
        <w:right w:val="nil"/>
        <w:between w:val="nil"/>
      </w:pBdr>
      <w:spacing w:line="276" w:lineRule="auto"/>
      <w:rPr>
        <w:color w:val="000000"/>
      </w:rPr>
    </w:pPr>
  </w:p>
  <w:tbl>
    <w:tblPr>
      <w:tblStyle w:val="a"/>
      <w:tblW w:w="7575" w:type="dxa"/>
      <w:tblInd w:w="2694" w:type="dxa"/>
      <w:tblLayout w:type="fixed"/>
      <w:tblLook w:val="0400" w:firstRow="0" w:lastRow="0" w:firstColumn="0" w:lastColumn="0" w:noHBand="0" w:noVBand="1"/>
    </w:tblPr>
    <w:tblGrid>
      <w:gridCol w:w="2754"/>
      <w:gridCol w:w="4821"/>
    </w:tblGrid>
    <w:tr w:rsidR="008D0CF1" w14:paraId="44242756" w14:textId="77777777">
      <w:trPr>
        <w:trHeight w:val="227"/>
      </w:trPr>
      <w:tc>
        <w:tcPr>
          <w:tcW w:w="2754" w:type="dxa"/>
          <w:vAlign w:val="center"/>
        </w:tcPr>
        <w:p w14:paraId="002C3F76" w14:textId="77777777" w:rsidR="008D0CF1" w:rsidRDefault="00402401">
          <w:pPr>
            <w:ind w:left="-708" w:right="58"/>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821" w:type="dxa"/>
          <w:vAlign w:val="center"/>
        </w:tcPr>
        <w:p w14:paraId="3C8B395B" w14:textId="77777777" w:rsidR="008D0CF1" w:rsidRDefault="00402401">
          <w:pPr>
            <w:pBdr>
              <w:top w:val="nil"/>
              <w:left w:val="nil"/>
              <w:bottom w:val="nil"/>
              <w:right w:val="nil"/>
              <w:between w:val="nil"/>
            </w:pBdr>
            <w:tabs>
              <w:tab w:val="center" w:pos="4419"/>
              <w:tab w:val="right" w:pos="8838"/>
            </w:tabs>
            <w:ind w:right="58"/>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00058/INFOEM/AD/RR/2024</w:t>
          </w:r>
        </w:p>
      </w:tc>
    </w:tr>
    <w:tr w:rsidR="008D0CF1" w14:paraId="3E372383" w14:textId="77777777">
      <w:trPr>
        <w:trHeight w:val="242"/>
      </w:trPr>
      <w:tc>
        <w:tcPr>
          <w:tcW w:w="2754" w:type="dxa"/>
          <w:vAlign w:val="center"/>
        </w:tcPr>
        <w:p w14:paraId="3A05D6D9" w14:textId="77777777" w:rsidR="008D0CF1" w:rsidRDefault="00402401">
          <w:pPr>
            <w:ind w:left="-708" w:right="58"/>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821" w:type="dxa"/>
          <w:vAlign w:val="center"/>
        </w:tcPr>
        <w:p w14:paraId="0D101D0D" w14:textId="77777777" w:rsidR="008D0CF1" w:rsidRDefault="00402401">
          <w:pPr>
            <w:pBdr>
              <w:top w:val="nil"/>
              <w:left w:val="nil"/>
              <w:bottom w:val="nil"/>
              <w:right w:val="nil"/>
              <w:between w:val="nil"/>
            </w:pBdr>
            <w:tabs>
              <w:tab w:val="center" w:pos="4419"/>
              <w:tab w:val="right" w:pos="8838"/>
            </w:tabs>
            <w:ind w:right="58"/>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Instituto de Seguridad Social del Estado de México y Municipios</w:t>
          </w:r>
        </w:p>
      </w:tc>
    </w:tr>
    <w:tr w:rsidR="008D0CF1" w14:paraId="72A91FF6" w14:textId="77777777">
      <w:trPr>
        <w:trHeight w:val="342"/>
      </w:trPr>
      <w:tc>
        <w:tcPr>
          <w:tcW w:w="2754" w:type="dxa"/>
          <w:vAlign w:val="center"/>
        </w:tcPr>
        <w:p w14:paraId="645A1D5F" w14:textId="77777777" w:rsidR="008D0CF1" w:rsidRDefault="00402401">
          <w:pPr>
            <w:ind w:left="-708" w:right="58"/>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21" w:type="dxa"/>
          <w:vAlign w:val="center"/>
        </w:tcPr>
        <w:p w14:paraId="7025BBF9" w14:textId="77777777" w:rsidR="008D0CF1" w:rsidRDefault="00402401">
          <w:pPr>
            <w:pBdr>
              <w:top w:val="nil"/>
              <w:left w:val="nil"/>
              <w:bottom w:val="nil"/>
              <w:right w:val="nil"/>
              <w:between w:val="nil"/>
            </w:pBdr>
            <w:tabs>
              <w:tab w:val="center" w:pos="4419"/>
              <w:tab w:val="right" w:pos="8838"/>
            </w:tabs>
            <w:ind w:right="58"/>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5D3C1EC5" w14:textId="77777777" w:rsidR="008D0CF1" w:rsidRDefault="000519DD">
    <w:pPr>
      <w:rPr>
        <w:color w:val="000000"/>
        <w:sz w:val="14"/>
        <w:szCs w:val="14"/>
      </w:rPr>
    </w:pPr>
    <w:r>
      <w:rPr>
        <w:color w:val="000000"/>
        <w:sz w:val="14"/>
        <w:szCs w:val="14"/>
      </w:rPr>
      <w:pict w14:anchorId="784AB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E5C8" w14:textId="77777777" w:rsidR="008D0CF1" w:rsidRDefault="008D0CF1">
    <w:pPr>
      <w:widowControl w:val="0"/>
      <w:pBdr>
        <w:top w:val="nil"/>
        <w:left w:val="nil"/>
        <w:bottom w:val="nil"/>
        <w:right w:val="nil"/>
        <w:between w:val="nil"/>
      </w:pBdr>
      <w:spacing w:line="276" w:lineRule="auto"/>
      <w:rPr>
        <w:color w:val="000000"/>
        <w:sz w:val="14"/>
        <w:szCs w:val="14"/>
      </w:rPr>
    </w:pPr>
  </w:p>
  <w:tbl>
    <w:tblPr>
      <w:tblStyle w:val="a0"/>
      <w:tblW w:w="8040" w:type="dxa"/>
      <w:tblInd w:w="1892" w:type="dxa"/>
      <w:tblLayout w:type="fixed"/>
      <w:tblLook w:val="0400" w:firstRow="0" w:lastRow="0" w:firstColumn="0" w:lastColumn="0" w:noHBand="0" w:noVBand="1"/>
    </w:tblPr>
    <w:tblGrid>
      <w:gridCol w:w="2550"/>
      <w:gridCol w:w="5490"/>
    </w:tblGrid>
    <w:tr w:rsidR="008D0CF1" w14:paraId="4F729205" w14:textId="77777777">
      <w:trPr>
        <w:trHeight w:val="227"/>
      </w:trPr>
      <w:tc>
        <w:tcPr>
          <w:tcW w:w="2550" w:type="dxa"/>
          <w:vAlign w:val="center"/>
        </w:tcPr>
        <w:p w14:paraId="237715B4" w14:textId="77777777" w:rsidR="008D0CF1" w:rsidRDefault="00402401">
          <w:pPr>
            <w:ind w:left="141"/>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5490" w:type="dxa"/>
          <w:vAlign w:val="center"/>
        </w:tcPr>
        <w:p w14:paraId="2A887162" w14:textId="77777777" w:rsidR="008D0CF1" w:rsidRDefault="00402401">
          <w:pPr>
            <w:pBdr>
              <w:top w:val="nil"/>
              <w:left w:val="nil"/>
              <w:bottom w:val="nil"/>
              <w:right w:val="nil"/>
              <w:between w:val="nil"/>
            </w:pBdr>
            <w:tabs>
              <w:tab w:val="center" w:pos="4419"/>
              <w:tab w:val="right" w:pos="8838"/>
            </w:tabs>
            <w:ind w:left="14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00058/INFOEM/AD/RR/2024</w:t>
          </w:r>
        </w:p>
      </w:tc>
    </w:tr>
    <w:tr w:rsidR="008D0CF1" w14:paraId="717EF7FE" w14:textId="77777777">
      <w:trPr>
        <w:trHeight w:val="242"/>
      </w:trPr>
      <w:tc>
        <w:tcPr>
          <w:tcW w:w="2550" w:type="dxa"/>
          <w:vAlign w:val="center"/>
        </w:tcPr>
        <w:p w14:paraId="7958A65A" w14:textId="77777777" w:rsidR="008D0CF1" w:rsidRDefault="00402401">
          <w:pPr>
            <w:ind w:left="141"/>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5490" w:type="dxa"/>
        </w:tcPr>
        <w:p w14:paraId="58F2B10C" w14:textId="44534CE2" w:rsidR="008D0CF1" w:rsidRDefault="00BB5823">
          <w:pPr>
            <w:ind w:left="141"/>
            <w:rPr>
              <w:rFonts w:ascii="Palatino Linotype" w:eastAsia="Palatino Linotype" w:hAnsi="Palatino Linotype" w:cs="Palatino Linotype"/>
              <w:color w:val="FF0000"/>
              <w:sz w:val="22"/>
              <w:szCs w:val="22"/>
              <w:highlight w:val="green"/>
            </w:rPr>
          </w:pPr>
          <w:r>
            <w:rPr>
              <w:rFonts w:ascii="Palatino Linotype" w:eastAsia="Palatino Linotype" w:hAnsi="Palatino Linotype" w:cs="Palatino Linotype"/>
              <w:color w:val="000000"/>
              <w:sz w:val="22"/>
              <w:szCs w:val="22"/>
            </w:rPr>
            <w:t xml:space="preserve">XXX </w:t>
          </w:r>
          <w:proofErr w:type="spellStart"/>
          <w:r>
            <w:rPr>
              <w:rFonts w:ascii="Palatino Linotype" w:eastAsia="Palatino Linotype" w:hAnsi="Palatino Linotype" w:cs="Palatino Linotype"/>
              <w:color w:val="000000"/>
              <w:sz w:val="22"/>
              <w:szCs w:val="22"/>
            </w:rPr>
            <w:t>XXX</w:t>
          </w:r>
          <w:proofErr w:type="spellEnd"/>
        </w:p>
      </w:tc>
    </w:tr>
    <w:tr w:rsidR="008D0CF1" w14:paraId="65CAA050" w14:textId="77777777">
      <w:trPr>
        <w:trHeight w:val="342"/>
      </w:trPr>
      <w:tc>
        <w:tcPr>
          <w:tcW w:w="2550" w:type="dxa"/>
          <w:vAlign w:val="center"/>
        </w:tcPr>
        <w:p w14:paraId="2EFCB4EC" w14:textId="77777777" w:rsidR="008D0CF1" w:rsidRDefault="00402401">
          <w:pPr>
            <w:ind w:left="141"/>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5490" w:type="dxa"/>
          <w:vAlign w:val="center"/>
        </w:tcPr>
        <w:p w14:paraId="2FB5A012" w14:textId="77777777" w:rsidR="008D0CF1" w:rsidRDefault="00402401">
          <w:pPr>
            <w:pBdr>
              <w:top w:val="nil"/>
              <w:left w:val="nil"/>
              <w:bottom w:val="nil"/>
              <w:right w:val="nil"/>
              <w:between w:val="nil"/>
            </w:pBdr>
            <w:tabs>
              <w:tab w:val="center" w:pos="4419"/>
              <w:tab w:val="right" w:pos="8838"/>
            </w:tabs>
            <w:ind w:left="14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Instituto de Seguridad Social del Estado de México y Municipios</w:t>
          </w:r>
        </w:p>
      </w:tc>
    </w:tr>
    <w:tr w:rsidR="008D0CF1" w14:paraId="36C2F0DA" w14:textId="77777777">
      <w:trPr>
        <w:trHeight w:val="342"/>
      </w:trPr>
      <w:tc>
        <w:tcPr>
          <w:tcW w:w="2550" w:type="dxa"/>
          <w:vAlign w:val="center"/>
        </w:tcPr>
        <w:p w14:paraId="29750BBC" w14:textId="77777777" w:rsidR="008D0CF1" w:rsidRDefault="00402401">
          <w:pPr>
            <w:ind w:left="141"/>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5490" w:type="dxa"/>
          <w:vAlign w:val="center"/>
        </w:tcPr>
        <w:p w14:paraId="0A4FE9A4" w14:textId="77777777" w:rsidR="008D0CF1" w:rsidRDefault="00402401">
          <w:pPr>
            <w:pBdr>
              <w:top w:val="nil"/>
              <w:left w:val="nil"/>
              <w:bottom w:val="nil"/>
              <w:right w:val="nil"/>
              <w:between w:val="nil"/>
            </w:pBdr>
            <w:tabs>
              <w:tab w:val="center" w:pos="4419"/>
              <w:tab w:val="right" w:pos="8838"/>
            </w:tabs>
            <w:ind w:left="141"/>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6F9E9E7A" w14:textId="77777777" w:rsidR="008D0CF1" w:rsidRDefault="000519DD">
    <w:pPr>
      <w:pBdr>
        <w:top w:val="nil"/>
        <w:left w:val="nil"/>
        <w:bottom w:val="nil"/>
        <w:right w:val="nil"/>
        <w:between w:val="nil"/>
      </w:pBdr>
      <w:tabs>
        <w:tab w:val="center" w:pos="4419"/>
        <w:tab w:val="right" w:pos="8838"/>
      </w:tabs>
      <w:rPr>
        <w:color w:val="000000"/>
        <w:sz w:val="16"/>
        <w:szCs w:val="16"/>
      </w:rPr>
    </w:pPr>
    <w:r>
      <w:rPr>
        <w:color w:val="000000"/>
        <w:sz w:val="16"/>
        <w:szCs w:val="16"/>
      </w:rPr>
      <w:pict w14:anchorId="6698A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C3F"/>
    <w:multiLevelType w:val="multilevel"/>
    <w:tmpl w:val="51A46B84"/>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47F0F1F"/>
    <w:multiLevelType w:val="multilevel"/>
    <w:tmpl w:val="B3CE910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36360747"/>
    <w:multiLevelType w:val="multilevel"/>
    <w:tmpl w:val="AD7AB6C8"/>
    <w:lvl w:ilvl="0">
      <w:start w:val="1"/>
      <w:numFmt w:val="bullet"/>
      <w:lvlText w:val="●"/>
      <w:lvlJc w:val="left"/>
      <w:pPr>
        <w:ind w:left="709" w:hanging="359"/>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3" w15:restartNumberingAfterBreak="0">
    <w:nsid w:val="42E50CDE"/>
    <w:multiLevelType w:val="multilevel"/>
    <w:tmpl w:val="C3647D6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57907869"/>
    <w:multiLevelType w:val="multilevel"/>
    <w:tmpl w:val="5BBCABBA"/>
    <w:lvl w:ilvl="0">
      <w:start w:val="1"/>
      <w:numFmt w:val="bullet"/>
      <w:lvlText w:val="●"/>
      <w:lvlJc w:val="left"/>
      <w:pPr>
        <w:ind w:left="709" w:hanging="358"/>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5" w15:restartNumberingAfterBreak="0">
    <w:nsid w:val="67DB12CD"/>
    <w:multiLevelType w:val="multilevel"/>
    <w:tmpl w:val="D34EE858"/>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8C74795"/>
    <w:multiLevelType w:val="multilevel"/>
    <w:tmpl w:val="B846E26C"/>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247035869">
    <w:abstractNumId w:val="2"/>
  </w:num>
  <w:num w:numId="2" w16cid:durableId="1783260368">
    <w:abstractNumId w:val="5"/>
  </w:num>
  <w:num w:numId="3" w16cid:durableId="1372652273">
    <w:abstractNumId w:val="1"/>
  </w:num>
  <w:num w:numId="4" w16cid:durableId="2018068483">
    <w:abstractNumId w:val="4"/>
  </w:num>
  <w:num w:numId="5" w16cid:durableId="591355078">
    <w:abstractNumId w:val="3"/>
  </w:num>
  <w:num w:numId="6" w16cid:durableId="1531526840">
    <w:abstractNumId w:val="6"/>
  </w:num>
  <w:num w:numId="7" w16cid:durableId="979454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CF1"/>
    <w:rsid w:val="000516A7"/>
    <w:rsid w:val="000519DD"/>
    <w:rsid w:val="00077680"/>
    <w:rsid w:val="00303219"/>
    <w:rsid w:val="00402401"/>
    <w:rsid w:val="00431132"/>
    <w:rsid w:val="005559DE"/>
    <w:rsid w:val="0076781E"/>
    <w:rsid w:val="00837D8F"/>
    <w:rsid w:val="008D0CF1"/>
    <w:rsid w:val="00A45C54"/>
    <w:rsid w:val="00B52AF2"/>
    <w:rsid w:val="00BB5823"/>
    <w:rsid w:val="00D26602"/>
    <w:rsid w:val="00D326EE"/>
    <w:rsid w:val="00E3084A"/>
    <w:rsid w:val="00F231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4A5AE"/>
  <w15:docId w15:val="{545878F3-2BEF-4081-B105-066BAF3F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Fundamentos,INAI"/>
    <w:link w:val="SinespaciadoCar"/>
    <w:uiPriority w:val="1"/>
    <w:qFormat/>
    <w:rsid w:val="0069334B"/>
    <w:rPr>
      <w:rFonts w:eastAsiaTheme="minorEastAsia"/>
      <w:lang w:eastAsia="es-ES"/>
    </w:rPr>
  </w:style>
  <w:style w:type="character" w:customStyle="1" w:styleId="SinespaciadoCar">
    <w:name w:val="Sin espaciado Car"/>
    <w:aliases w:val="Francesa Car,Fundamentos Car,INAI Car"/>
    <w:link w:val="Sinespaciado"/>
    <w:uiPriority w:val="1"/>
    <w:qFormat/>
    <w:locked/>
    <w:rsid w:val="0069334B"/>
    <w:rPr>
      <w:rFonts w:eastAsiaTheme="minorEastAsia"/>
      <w:sz w:val="24"/>
      <w:szCs w:val="24"/>
      <w:lang w:val="es-ES_tradnl" w:eastAsia="es-ES"/>
    </w:rPr>
  </w:style>
  <w:style w:type="paragraph" w:customStyle="1" w:styleId="Default">
    <w:name w:val="Default"/>
    <w:rsid w:val="00AC5C39"/>
    <w:pPr>
      <w:autoSpaceDE w:val="0"/>
      <w:autoSpaceDN w:val="0"/>
      <w:adjustRightInd w:val="0"/>
    </w:pPr>
    <w:rPr>
      <w:rFonts w:ascii="Arial" w:hAnsi="Arial" w:cs="Arial"/>
      <w:color w:val="000000"/>
    </w:rPr>
  </w:style>
  <w:style w:type="character" w:customStyle="1" w:styleId="normaltextrun">
    <w:name w:val="normaltextrun"/>
    <w:basedOn w:val="Fuentedeprrafopredeter"/>
    <w:rsid w:val="007754E3"/>
  </w:style>
  <w:style w:type="paragraph" w:customStyle="1" w:styleId="paragraph">
    <w:name w:val="paragraph"/>
    <w:basedOn w:val="Normal"/>
    <w:rsid w:val="007754E3"/>
    <w:pPr>
      <w:spacing w:before="100" w:beforeAutospacing="1" w:after="100" w:afterAutospacing="1"/>
    </w:pPr>
    <w:rPr>
      <w:rFonts w:ascii="Times New Roman" w:eastAsia="Times New Roman" w:hAnsi="Times New Roman" w:cs="Times New Roman"/>
      <w:lang w:val="es-MX" w:eastAsia="es-MX"/>
    </w:rPr>
  </w:style>
  <w:style w:type="paragraph" w:styleId="TDC1">
    <w:name w:val="toc 1"/>
    <w:basedOn w:val="Normal"/>
    <w:next w:val="Normal"/>
    <w:autoRedefine/>
    <w:uiPriority w:val="39"/>
    <w:unhideWhenUsed/>
    <w:rsid w:val="0012469B"/>
    <w:pPr>
      <w:spacing w:after="100"/>
    </w:pPr>
  </w:style>
  <w:style w:type="paragraph" w:styleId="Textoindependiente2">
    <w:name w:val="Body Text 2"/>
    <w:basedOn w:val="Normal"/>
    <w:link w:val="Textoindependiente2Car"/>
    <w:semiHidden/>
    <w:rsid w:val="002B110D"/>
    <w:pPr>
      <w:jc w:val="both"/>
    </w:pPr>
    <w:rPr>
      <w:rFonts w:ascii="Arial" w:eastAsia="Times New Roman" w:hAnsi="Arial" w:cs="Times New Roman"/>
      <w:iCs/>
      <w:lang w:val="es-MX" w:eastAsia="es-MX"/>
    </w:rPr>
  </w:style>
  <w:style w:type="character" w:customStyle="1" w:styleId="Textoindependiente2Car">
    <w:name w:val="Texto independiente 2 Car"/>
    <w:basedOn w:val="Fuentedeprrafopredeter"/>
    <w:link w:val="Textoindependiente2"/>
    <w:semiHidden/>
    <w:rsid w:val="002B110D"/>
    <w:rPr>
      <w:rFonts w:ascii="Arial" w:eastAsia="Times New Roman" w:hAnsi="Arial" w:cs="Times New Roman"/>
      <w:iCs/>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0"/>
    <w:tblPr>
      <w:tblStyleRowBandSize w:val="1"/>
      <w:tblStyleColBandSize w:val="1"/>
      <w:tblCellMar>
        <w:left w:w="70" w:type="dxa"/>
        <w:right w:w="70" w:type="dxa"/>
      </w:tblCellMar>
    </w:tblPr>
  </w:style>
  <w:style w:type="table" w:customStyle="1" w:styleId="1">
    <w:name w:val="1"/>
    <w:basedOn w:val="TableNormal0"/>
    <w:tblPr>
      <w:tblStyleRowBandSize w:val="1"/>
      <w:tblStyleColBandSize w:val="1"/>
      <w:tblCellMar>
        <w:left w:w="70" w:type="dxa"/>
        <w:right w:w="70" w:type="dxa"/>
      </w:tblCellMar>
    </w:tblPr>
  </w:style>
  <w:style w:type="paragraph" w:styleId="Textoindependiente">
    <w:name w:val="Body Text"/>
    <w:basedOn w:val="Normal"/>
    <w:link w:val="TextoindependienteCar"/>
    <w:uiPriority w:val="99"/>
    <w:semiHidden/>
    <w:unhideWhenUsed/>
    <w:rsid w:val="00184E79"/>
    <w:pPr>
      <w:spacing w:after="120"/>
    </w:pPr>
  </w:style>
  <w:style w:type="character" w:customStyle="1" w:styleId="TextoindependienteCar">
    <w:name w:val="Texto independiente Car"/>
    <w:basedOn w:val="Fuentedeprrafopredeter"/>
    <w:link w:val="Textoindependiente"/>
    <w:uiPriority w:val="99"/>
    <w:semiHidden/>
    <w:rsid w:val="00184E79"/>
    <w:rPr>
      <w:rFonts w:eastAsiaTheme="minorEastAsia"/>
      <w:lang w:eastAsia="es-ES"/>
    </w:rPr>
  </w:style>
  <w:style w:type="paragraph" w:styleId="Listaconvietas3">
    <w:name w:val="List Bullet 3"/>
    <w:basedOn w:val="Normal"/>
    <w:uiPriority w:val="99"/>
    <w:unhideWhenUsed/>
    <w:rsid w:val="00757D69"/>
    <w:pPr>
      <w:numPr>
        <w:numId w:val="7"/>
      </w:numPr>
      <w:contextualSpacing/>
    </w:pPr>
    <w:rPr>
      <w:rFonts w:ascii="Times New Roman" w:eastAsia="Times New Roman" w:hAnsi="Times New Roman" w:cs="Times New Roman"/>
      <w:lang w:val="es-MX" w:eastAsia="es-MX"/>
    </w:rPr>
  </w:style>
  <w:style w:type="table" w:customStyle="1" w:styleId="Tablanormal12">
    <w:name w:val="Tabla normal 12"/>
    <w:basedOn w:val="Tablanormal"/>
    <w:next w:val="Tablanormal1"/>
    <w:uiPriority w:val="41"/>
    <w:rsid w:val="00066071"/>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7kcGZBaPpiVNL1wOvUJ1Cu6wnA==">CgMxLjAyCGguZ2pkZ3hzMgloLjMwajB6bGwyCWguMWZvYjl0ZTIJaC4zem55c2g3MgloLjJldDkycDAyCGgudHlqY3d0MgloLjNkeTZ2a20yCWguMXQzaDVzZjIJaC4xN2RwOHZ1OAByITFSYXgwTmlYdWVvX01qeVVGaFl3cFRoY2xVbGhxRFVpSA==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3700</Words>
  <Characters>20351</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inf03m612@outlook.com</cp:lastModifiedBy>
  <cp:revision>8</cp:revision>
  <cp:lastPrinted>2024-09-12T20:48:00Z</cp:lastPrinted>
  <dcterms:created xsi:type="dcterms:W3CDTF">2024-09-09T19:13:00Z</dcterms:created>
  <dcterms:modified xsi:type="dcterms:W3CDTF">2024-09-18T19:51:00Z</dcterms:modified>
</cp:coreProperties>
</file>