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3CD2D" w14:textId="77777777" w:rsidR="001827A2" w:rsidRPr="00945190" w:rsidRDefault="005448A4">
      <w:pPr>
        <w:spacing w:before="240" w:after="240" w:line="360" w:lineRule="auto"/>
        <w:jc w:val="both"/>
        <w:rPr>
          <w:rFonts w:ascii="Palatino Linotype" w:eastAsia="Palatino Linotype" w:hAnsi="Palatino Linotype" w:cs="Palatino Linotype"/>
        </w:rPr>
      </w:pPr>
      <w:r w:rsidRPr="0094519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veintiocho de agosto de dos mil veinticuatro. </w:t>
      </w:r>
    </w:p>
    <w:p w14:paraId="3182E175" w14:textId="53E76D01" w:rsidR="001827A2" w:rsidRPr="00945190" w:rsidRDefault="005448A4">
      <w:pPr>
        <w:spacing w:before="240" w:after="240" w:line="360" w:lineRule="auto"/>
        <w:jc w:val="both"/>
        <w:rPr>
          <w:rFonts w:ascii="Palatino Linotype" w:eastAsia="Palatino Linotype" w:hAnsi="Palatino Linotype" w:cs="Palatino Linotype"/>
        </w:rPr>
      </w:pPr>
      <w:r w:rsidRPr="00945190">
        <w:rPr>
          <w:rFonts w:ascii="Palatino Linotype" w:eastAsia="Palatino Linotype" w:hAnsi="Palatino Linotype" w:cs="Palatino Linotype"/>
          <w:b/>
        </w:rPr>
        <w:t>VISTO</w:t>
      </w:r>
      <w:r w:rsidRPr="00945190">
        <w:rPr>
          <w:rFonts w:ascii="Palatino Linotype" w:eastAsia="Palatino Linotype" w:hAnsi="Palatino Linotype" w:cs="Palatino Linotype"/>
        </w:rPr>
        <w:t xml:space="preserve"> el expediente formado con motivo del recurso de revisión </w:t>
      </w:r>
      <w:r w:rsidRPr="00945190">
        <w:rPr>
          <w:rFonts w:ascii="Palatino Linotype" w:eastAsia="Palatino Linotype" w:hAnsi="Palatino Linotype" w:cs="Palatino Linotype"/>
          <w:b/>
        </w:rPr>
        <w:t>04374/INFOEM/AD/RR/2024</w:t>
      </w:r>
      <w:r w:rsidRPr="00945190">
        <w:rPr>
          <w:rFonts w:ascii="Palatino Linotype" w:eastAsia="Palatino Linotype" w:hAnsi="Palatino Linotype" w:cs="Palatino Linotype"/>
        </w:rPr>
        <w:t xml:space="preserve">, interpuesto por </w:t>
      </w:r>
      <w:r w:rsidR="00751C4D">
        <w:rPr>
          <w:rFonts w:ascii="Palatino Linotype" w:eastAsia="Palatino Linotype" w:hAnsi="Palatino Linotype" w:cs="Palatino Linotype"/>
          <w:b/>
          <w:sz w:val="22"/>
          <w:szCs w:val="22"/>
        </w:rPr>
        <w:t>XXXXXXXXX XXXXXXX XXXXXXXXX</w:t>
      </w:r>
      <w:r w:rsidRPr="00945190">
        <w:rPr>
          <w:rFonts w:ascii="Palatino Linotype" w:eastAsia="Palatino Linotype" w:hAnsi="Palatino Linotype" w:cs="Palatino Linotype"/>
          <w:b/>
        </w:rPr>
        <w:t>,</w:t>
      </w:r>
      <w:r w:rsidRPr="00945190">
        <w:rPr>
          <w:rFonts w:ascii="Palatino Linotype" w:eastAsia="Palatino Linotype" w:hAnsi="Palatino Linotype" w:cs="Palatino Linotype"/>
        </w:rPr>
        <w:t xml:space="preserve"> en lo sucesivo</w:t>
      </w:r>
      <w:r w:rsidRPr="00945190">
        <w:rPr>
          <w:rFonts w:ascii="Palatino Linotype" w:eastAsia="Palatino Linotype" w:hAnsi="Palatino Linotype" w:cs="Palatino Linotype"/>
          <w:b/>
        </w:rPr>
        <w:t xml:space="preserve"> </w:t>
      </w:r>
      <w:r w:rsidRPr="00945190">
        <w:rPr>
          <w:rFonts w:ascii="Palatino Linotype" w:eastAsia="Palatino Linotype" w:hAnsi="Palatino Linotype" w:cs="Palatino Linotype"/>
        </w:rPr>
        <w:t xml:space="preserve">la parte </w:t>
      </w:r>
      <w:r w:rsidRPr="00945190">
        <w:rPr>
          <w:rFonts w:ascii="Palatino Linotype" w:eastAsia="Palatino Linotype" w:hAnsi="Palatino Linotype" w:cs="Palatino Linotype"/>
          <w:b/>
        </w:rPr>
        <w:t>Recurrente,</w:t>
      </w:r>
      <w:r w:rsidRPr="00945190">
        <w:rPr>
          <w:rFonts w:ascii="Palatino Linotype" w:eastAsia="Palatino Linotype" w:hAnsi="Palatino Linotype" w:cs="Palatino Linotype"/>
        </w:rPr>
        <w:t xml:space="preserve"> en contra de la respuesta a su solicitud de acceso a datos personales con número de folio </w:t>
      </w:r>
      <w:r w:rsidRPr="00945190">
        <w:rPr>
          <w:rFonts w:ascii="Palatino Linotype" w:eastAsia="Palatino Linotype" w:hAnsi="Palatino Linotype" w:cs="Palatino Linotype"/>
          <w:b/>
        </w:rPr>
        <w:t xml:space="preserve">00542/ISSEMYM/AD/2024, </w:t>
      </w:r>
      <w:r w:rsidRPr="00945190">
        <w:rPr>
          <w:rFonts w:ascii="Palatino Linotype" w:eastAsia="Palatino Linotype" w:hAnsi="Palatino Linotype" w:cs="Palatino Linotype"/>
        </w:rPr>
        <w:t xml:space="preserve">por parte del </w:t>
      </w:r>
      <w:r w:rsidRPr="00945190">
        <w:rPr>
          <w:rFonts w:ascii="Palatino Linotype" w:eastAsia="Palatino Linotype" w:hAnsi="Palatino Linotype" w:cs="Palatino Linotype"/>
          <w:b/>
        </w:rPr>
        <w:t xml:space="preserve">Instituto de Seguridad Social del Estado de México y Municipios, </w:t>
      </w:r>
      <w:r w:rsidRPr="00945190">
        <w:rPr>
          <w:rFonts w:ascii="Palatino Linotype" w:eastAsia="Palatino Linotype" w:hAnsi="Palatino Linotype" w:cs="Palatino Linotype"/>
        </w:rPr>
        <w:t xml:space="preserve">en lo sucesivo el </w:t>
      </w:r>
      <w:r w:rsidRPr="00945190">
        <w:rPr>
          <w:rFonts w:ascii="Palatino Linotype" w:eastAsia="Palatino Linotype" w:hAnsi="Palatino Linotype" w:cs="Palatino Linotype"/>
          <w:b/>
        </w:rPr>
        <w:t xml:space="preserve">Sujeto Obligado, </w:t>
      </w:r>
      <w:r w:rsidRPr="00945190">
        <w:rPr>
          <w:rFonts w:ascii="Palatino Linotype" w:eastAsia="Palatino Linotype" w:hAnsi="Palatino Linotype" w:cs="Palatino Linotype"/>
        </w:rPr>
        <w:t xml:space="preserve">se procede a dictar la presente resolución con base en los siguientes: </w:t>
      </w:r>
    </w:p>
    <w:p w14:paraId="0510227E" w14:textId="77777777" w:rsidR="001827A2" w:rsidRPr="00945190" w:rsidRDefault="005448A4">
      <w:pPr>
        <w:spacing w:before="240" w:after="240" w:line="360" w:lineRule="auto"/>
        <w:jc w:val="center"/>
        <w:rPr>
          <w:rFonts w:ascii="Palatino Linotype" w:eastAsia="Palatino Linotype" w:hAnsi="Palatino Linotype" w:cs="Palatino Linotype"/>
          <w:b/>
        </w:rPr>
      </w:pPr>
      <w:r w:rsidRPr="00945190">
        <w:rPr>
          <w:rFonts w:ascii="Palatino Linotype" w:eastAsia="Palatino Linotype" w:hAnsi="Palatino Linotype" w:cs="Palatino Linotype"/>
          <w:b/>
        </w:rPr>
        <w:t>I. A N T E C E D E N T E S</w:t>
      </w:r>
    </w:p>
    <w:p w14:paraId="5707FF35" w14:textId="77777777" w:rsidR="001827A2" w:rsidRPr="00945190" w:rsidRDefault="005448A4">
      <w:pPr>
        <w:spacing w:before="240" w:after="240" w:line="360" w:lineRule="auto"/>
        <w:jc w:val="both"/>
        <w:rPr>
          <w:rFonts w:ascii="Palatino Linotype" w:eastAsia="Palatino Linotype" w:hAnsi="Palatino Linotype" w:cs="Palatino Linotype"/>
        </w:rPr>
      </w:pPr>
      <w:r w:rsidRPr="00945190">
        <w:rPr>
          <w:rFonts w:ascii="Palatino Linotype" w:eastAsia="Palatino Linotype" w:hAnsi="Palatino Linotype" w:cs="Palatino Linotype"/>
          <w:b/>
        </w:rPr>
        <w:t>1. Solicitud de acceso a datos personales.</w:t>
      </w:r>
      <w:r w:rsidRPr="00945190">
        <w:rPr>
          <w:rFonts w:ascii="Palatino Linotype" w:eastAsia="Palatino Linotype" w:hAnsi="Palatino Linotype" w:cs="Palatino Linotype"/>
        </w:rPr>
        <w:t xml:space="preserve"> El </w:t>
      </w:r>
      <w:r w:rsidRPr="00945190">
        <w:rPr>
          <w:rFonts w:ascii="Palatino Linotype" w:eastAsia="Palatino Linotype" w:hAnsi="Palatino Linotype" w:cs="Palatino Linotype"/>
          <w:b/>
        </w:rPr>
        <w:t>veinticinco de junio de dos mil veinticuatro,</w:t>
      </w:r>
      <w:r w:rsidRPr="00945190">
        <w:rPr>
          <w:rFonts w:ascii="Palatino Linotype" w:eastAsia="Palatino Linotype" w:hAnsi="Palatino Linotype" w:cs="Palatino Linotype"/>
        </w:rPr>
        <w:t xml:space="preserve"> la parte </w:t>
      </w:r>
      <w:r w:rsidRPr="00945190">
        <w:rPr>
          <w:rFonts w:ascii="Palatino Linotype" w:eastAsia="Palatino Linotype" w:hAnsi="Palatino Linotype" w:cs="Palatino Linotype"/>
          <w:b/>
        </w:rPr>
        <w:t xml:space="preserve">Recurrente </w:t>
      </w:r>
      <w:r w:rsidRPr="00945190">
        <w:rPr>
          <w:rFonts w:ascii="Palatino Linotype" w:eastAsia="Palatino Linotype" w:hAnsi="Palatino Linotype" w:cs="Palatino Linotype"/>
        </w:rPr>
        <w:t xml:space="preserve">presentó, a través del Sistema de Acceso, Rectificación, Cancelación y Oposición de Datos Personales del Estado de México, en lo subsecuente el </w:t>
      </w:r>
      <w:r w:rsidRPr="00945190">
        <w:rPr>
          <w:rFonts w:ascii="Palatino Linotype" w:eastAsia="Palatino Linotype" w:hAnsi="Palatino Linotype" w:cs="Palatino Linotype"/>
          <w:b/>
        </w:rPr>
        <w:t>SARCOEM,</w:t>
      </w:r>
      <w:r w:rsidRPr="00945190">
        <w:rPr>
          <w:rFonts w:ascii="Palatino Linotype" w:eastAsia="Palatino Linotype" w:hAnsi="Palatino Linotype" w:cs="Palatino Linotype"/>
        </w:rPr>
        <w:t xml:space="preserve"> ante el </w:t>
      </w:r>
      <w:r w:rsidRPr="00945190">
        <w:rPr>
          <w:rFonts w:ascii="Palatino Linotype" w:eastAsia="Palatino Linotype" w:hAnsi="Palatino Linotype" w:cs="Palatino Linotype"/>
          <w:b/>
        </w:rPr>
        <w:t>Sujeto Obligado</w:t>
      </w:r>
      <w:r w:rsidRPr="00945190">
        <w:rPr>
          <w:rFonts w:ascii="Palatino Linotype" w:eastAsia="Palatino Linotype" w:hAnsi="Palatino Linotype" w:cs="Palatino Linotype"/>
        </w:rPr>
        <w:t xml:space="preserve">, la solicitud de acceso a datos personales, mediante la cual requirió, le fuese entregado lo siguiente: </w:t>
      </w:r>
    </w:p>
    <w:p w14:paraId="68D68060" w14:textId="77777777" w:rsidR="001827A2" w:rsidRPr="00945190" w:rsidRDefault="005448A4">
      <w:pPr>
        <w:spacing w:before="240" w:after="240"/>
        <w:ind w:left="851" w:right="902"/>
        <w:jc w:val="both"/>
        <w:rPr>
          <w:rFonts w:ascii="Palatino Linotype" w:eastAsia="Palatino Linotype" w:hAnsi="Palatino Linotype" w:cs="Palatino Linotype"/>
          <w:b/>
          <w:i/>
          <w:sz w:val="22"/>
          <w:szCs w:val="22"/>
        </w:rPr>
      </w:pPr>
      <w:bookmarkStart w:id="0" w:name="_heading=h.gjdgxs" w:colFirst="0" w:colLast="0"/>
      <w:bookmarkEnd w:id="0"/>
      <w:r w:rsidRPr="00945190">
        <w:rPr>
          <w:rFonts w:ascii="Palatino Linotype" w:eastAsia="Palatino Linotype" w:hAnsi="Palatino Linotype" w:cs="Palatino Linotype"/>
          <w:i/>
          <w:sz w:val="22"/>
          <w:szCs w:val="22"/>
        </w:rPr>
        <w:t>“Requiero que se me proporcionen todos los documentos de alta y baja de ISSEMYM, durante los empleos en que me he desempeñado.</w:t>
      </w:r>
      <w:r w:rsidRPr="00945190">
        <w:rPr>
          <w:rFonts w:ascii="Palatino Linotype" w:eastAsia="Palatino Linotype" w:hAnsi="Palatino Linotype" w:cs="Palatino Linotype"/>
          <w:b/>
          <w:i/>
          <w:sz w:val="22"/>
          <w:szCs w:val="22"/>
        </w:rPr>
        <w:t>”</w:t>
      </w:r>
      <w:r w:rsidRPr="00945190">
        <w:rPr>
          <w:rFonts w:ascii="Palatino Linotype" w:eastAsia="Palatino Linotype" w:hAnsi="Palatino Linotype" w:cs="Palatino Linotype"/>
          <w:i/>
          <w:sz w:val="22"/>
          <w:szCs w:val="22"/>
        </w:rPr>
        <w:t xml:space="preserve"> (sic) </w:t>
      </w:r>
    </w:p>
    <w:p w14:paraId="0807C0D7" w14:textId="77777777" w:rsidR="001827A2" w:rsidRPr="00945190" w:rsidRDefault="005448A4">
      <w:pPr>
        <w:spacing w:before="240" w:after="240" w:line="360" w:lineRule="auto"/>
        <w:jc w:val="both"/>
        <w:rPr>
          <w:rFonts w:ascii="Palatino Linotype" w:eastAsia="Palatino Linotype" w:hAnsi="Palatino Linotype" w:cs="Palatino Linotype"/>
          <w:b/>
        </w:rPr>
      </w:pPr>
      <w:r w:rsidRPr="00945190">
        <w:rPr>
          <w:rFonts w:ascii="Palatino Linotype" w:eastAsia="Palatino Linotype" w:hAnsi="Palatino Linotype" w:cs="Palatino Linotype"/>
          <w:b/>
        </w:rPr>
        <w:t>Modalidad de acceso a la información:</w:t>
      </w:r>
      <w:r w:rsidRPr="00945190">
        <w:rPr>
          <w:rFonts w:ascii="Palatino Linotype" w:eastAsia="Palatino Linotype" w:hAnsi="Palatino Linotype" w:cs="Palatino Linotype"/>
        </w:rPr>
        <w:t xml:space="preserve"> a través de</w:t>
      </w:r>
      <w:r w:rsidRPr="00945190">
        <w:rPr>
          <w:rFonts w:ascii="Palatino Linotype" w:eastAsia="Palatino Linotype" w:hAnsi="Palatino Linotype" w:cs="Palatino Linotype"/>
          <w:b/>
        </w:rPr>
        <w:t xml:space="preserve"> SARCOEM.</w:t>
      </w:r>
    </w:p>
    <w:p w14:paraId="2C7DA30A" w14:textId="77777777" w:rsidR="001827A2" w:rsidRPr="00945190" w:rsidRDefault="005448A4">
      <w:pPr>
        <w:spacing w:before="240" w:after="240" w:line="360" w:lineRule="auto"/>
        <w:jc w:val="both"/>
        <w:rPr>
          <w:rFonts w:ascii="Palatino Linotype" w:eastAsia="Palatino Linotype" w:hAnsi="Palatino Linotype" w:cs="Palatino Linotype"/>
          <w:b/>
        </w:rPr>
      </w:pPr>
      <w:r w:rsidRPr="00945190">
        <w:rPr>
          <w:rFonts w:ascii="Palatino Linotype" w:eastAsia="Palatino Linotype" w:hAnsi="Palatino Linotype" w:cs="Palatino Linotype"/>
          <w:b/>
          <w:noProof/>
        </w:rPr>
        <w:lastRenderedPageBreak/>
        <w:drawing>
          <wp:inline distT="0" distB="0" distL="0" distR="0" wp14:anchorId="24A6BC19" wp14:editId="2B8AC394">
            <wp:extent cx="5612130" cy="956310"/>
            <wp:effectExtent l="0" t="0" r="0" b="0"/>
            <wp:docPr id="20197576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956310"/>
                    </a:xfrm>
                    <a:prstGeom prst="rect">
                      <a:avLst/>
                    </a:prstGeom>
                    <a:ln/>
                  </pic:spPr>
                </pic:pic>
              </a:graphicData>
            </a:graphic>
          </wp:inline>
        </w:drawing>
      </w:r>
    </w:p>
    <w:p w14:paraId="6AE4938B" w14:textId="77777777" w:rsidR="001827A2" w:rsidRPr="00945190" w:rsidRDefault="005448A4">
      <w:pPr>
        <w:spacing w:before="240" w:after="240" w:line="360" w:lineRule="auto"/>
        <w:jc w:val="both"/>
        <w:rPr>
          <w:rFonts w:ascii="Palatino Linotype" w:eastAsia="Palatino Linotype" w:hAnsi="Palatino Linotype" w:cs="Palatino Linotype"/>
        </w:rPr>
      </w:pPr>
      <w:bookmarkStart w:id="1" w:name="_heading=h.3dy6vkm" w:colFirst="0" w:colLast="0"/>
      <w:bookmarkEnd w:id="1"/>
      <w:r w:rsidRPr="00945190">
        <w:rPr>
          <w:rFonts w:ascii="Palatino Linotype" w:eastAsia="Palatino Linotype" w:hAnsi="Palatino Linotype" w:cs="Palatino Linotype"/>
        </w:rPr>
        <w:t>La persona solicitante adjuntó la digitalización de su Credencial para votar emitida por el Instituto Nacional Electoral.</w:t>
      </w:r>
    </w:p>
    <w:p w14:paraId="5DFD1E53" w14:textId="77777777" w:rsidR="001827A2" w:rsidRPr="00945190" w:rsidRDefault="005448A4">
      <w:pPr>
        <w:spacing w:before="240" w:after="240" w:line="360" w:lineRule="auto"/>
        <w:jc w:val="both"/>
        <w:rPr>
          <w:rFonts w:ascii="Palatino Linotype" w:eastAsia="Palatino Linotype" w:hAnsi="Palatino Linotype" w:cs="Palatino Linotype"/>
        </w:rPr>
      </w:pPr>
      <w:r w:rsidRPr="00945190">
        <w:rPr>
          <w:rFonts w:ascii="Palatino Linotype" w:eastAsia="Palatino Linotype" w:hAnsi="Palatino Linotype" w:cs="Palatino Linotype"/>
          <w:b/>
        </w:rPr>
        <w:t xml:space="preserve">2. Respuesta. </w:t>
      </w:r>
      <w:r w:rsidRPr="00945190">
        <w:rPr>
          <w:rFonts w:ascii="Palatino Linotype" w:eastAsia="Palatino Linotype" w:hAnsi="Palatino Linotype" w:cs="Palatino Linotype"/>
        </w:rPr>
        <w:t xml:space="preserve">El </w:t>
      </w:r>
      <w:r w:rsidRPr="00945190">
        <w:rPr>
          <w:rFonts w:ascii="Palatino Linotype" w:eastAsia="Palatino Linotype" w:hAnsi="Palatino Linotype" w:cs="Palatino Linotype"/>
          <w:b/>
        </w:rPr>
        <w:t xml:space="preserve">nueve de julio de dos mil veinticuatro </w:t>
      </w:r>
      <w:r w:rsidRPr="00945190">
        <w:rPr>
          <w:rFonts w:ascii="Palatino Linotype" w:eastAsia="Palatino Linotype" w:hAnsi="Palatino Linotype" w:cs="Palatino Linotype"/>
        </w:rPr>
        <w:t xml:space="preserve">el </w:t>
      </w:r>
      <w:r w:rsidRPr="00945190">
        <w:rPr>
          <w:rFonts w:ascii="Palatino Linotype" w:eastAsia="Palatino Linotype" w:hAnsi="Palatino Linotype" w:cs="Palatino Linotype"/>
          <w:b/>
        </w:rPr>
        <w:t xml:space="preserve">Sujeto Obligado </w:t>
      </w:r>
      <w:r w:rsidRPr="00945190">
        <w:rPr>
          <w:rFonts w:ascii="Palatino Linotype" w:eastAsia="Palatino Linotype" w:hAnsi="Palatino Linotype" w:cs="Palatino Linotype"/>
        </w:rPr>
        <w:t xml:space="preserve">respondió a la solicitud de acceso a datos personales en los siguientes términos: </w:t>
      </w:r>
    </w:p>
    <w:p w14:paraId="52814678" w14:textId="77777777" w:rsidR="001827A2" w:rsidRPr="00945190" w:rsidRDefault="005448A4">
      <w:pPr>
        <w:spacing w:before="240" w:after="240" w:line="276" w:lineRule="auto"/>
        <w:ind w:left="851" w:right="616"/>
        <w:jc w:val="both"/>
        <w:rPr>
          <w:rFonts w:ascii="Palatino Linotype" w:eastAsia="Palatino Linotype" w:hAnsi="Palatino Linotype" w:cs="Palatino Linotype"/>
          <w:i/>
          <w:sz w:val="22"/>
          <w:szCs w:val="22"/>
        </w:rPr>
      </w:pPr>
      <w:r w:rsidRPr="00945190">
        <w:rPr>
          <w:rFonts w:ascii="Palatino Linotype" w:eastAsia="Palatino Linotype" w:hAnsi="Palatino Linotype" w:cs="Palatino Linotype"/>
          <w:i/>
          <w:sz w:val="22"/>
          <w:szCs w:val="22"/>
        </w:rPr>
        <w:t>“Como archivo adjunto, encontrará el oficio que dará respuesta a su solicitud de acceso a datos personales,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cubrebocas y pluma o bolígrafo personal, como medidas de seguridad sanitaria.”</w:t>
      </w:r>
    </w:p>
    <w:p w14:paraId="44794E26" w14:textId="77777777" w:rsidR="001827A2" w:rsidRPr="00945190" w:rsidRDefault="005448A4">
      <w:pPr>
        <w:spacing w:before="240" w:after="240" w:line="276" w:lineRule="auto"/>
        <w:ind w:left="851" w:right="616"/>
        <w:jc w:val="both"/>
        <w:rPr>
          <w:rFonts w:ascii="Palatino Linotype" w:eastAsia="Palatino Linotype" w:hAnsi="Palatino Linotype" w:cs="Palatino Linotype"/>
          <w:sz w:val="22"/>
          <w:szCs w:val="22"/>
        </w:rPr>
      </w:pPr>
      <w:r w:rsidRPr="00945190">
        <w:rPr>
          <w:rFonts w:ascii="Palatino Linotype" w:eastAsia="Palatino Linotype" w:hAnsi="Palatino Linotype" w:cs="Palatino Linotype"/>
          <w:sz w:val="22"/>
          <w:szCs w:val="22"/>
        </w:rPr>
        <w:t xml:space="preserve">Manifestación a la que el </w:t>
      </w:r>
      <w:r w:rsidRPr="00945190">
        <w:rPr>
          <w:rFonts w:ascii="Palatino Linotype" w:eastAsia="Palatino Linotype" w:hAnsi="Palatino Linotype" w:cs="Palatino Linotype"/>
          <w:b/>
          <w:sz w:val="22"/>
          <w:szCs w:val="22"/>
        </w:rPr>
        <w:t xml:space="preserve">Sujeto Obligado </w:t>
      </w:r>
      <w:r w:rsidRPr="00945190">
        <w:rPr>
          <w:rFonts w:ascii="Palatino Linotype" w:eastAsia="Palatino Linotype" w:hAnsi="Palatino Linotype" w:cs="Palatino Linotype"/>
          <w:sz w:val="22"/>
          <w:szCs w:val="22"/>
        </w:rPr>
        <w:t xml:space="preserve">adjuntó el archivo electrónico identificado como </w:t>
      </w:r>
      <w:r w:rsidRPr="00945190">
        <w:rPr>
          <w:rFonts w:ascii="Palatino Linotype" w:eastAsia="Palatino Linotype" w:hAnsi="Palatino Linotype" w:cs="Palatino Linotype"/>
          <w:b/>
          <w:i/>
          <w:sz w:val="22"/>
          <w:szCs w:val="22"/>
        </w:rPr>
        <w:t xml:space="preserve">RESPUESTA 542.AD.pdf </w:t>
      </w:r>
      <w:r w:rsidRPr="00945190">
        <w:rPr>
          <w:rFonts w:ascii="Palatino Linotype" w:eastAsia="Palatino Linotype" w:hAnsi="Palatino Linotype" w:cs="Palatino Linotype"/>
          <w:sz w:val="22"/>
          <w:szCs w:val="22"/>
        </w:rPr>
        <w:t xml:space="preserve">cuyo contenido se trata del oficio 207C0701210001S-UT-1825/2024 de fecha cinco de julio de dos mil veinticuatro, suscrito y signado por el Responsable y Titular de la Unidad de Transparencia por medio del cual informó: </w:t>
      </w:r>
    </w:p>
    <w:p w14:paraId="7CB7D880" w14:textId="77777777" w:rsidR="001827A2" w:rsidRPr="00945190" w:rsidRDefault="005448A4">
      <w:pPr>
        <w:spacing w:before="240" w:after="240" w:line="276" w:lineRule="auto"/>
        <w:ind w:left="851" w:right="616"/>
        <w:jc w:val="both"/>
        <w:rPr>
          <w:rFonts w:ascii="Palatino Linotype" w:eastAsia="Palatino Linotype" w:hAnsi="Palatino Linotype" w:cs="Palatino Linotype"/>
          <w:i/>
          <w:sz w:val="22"/>
          <w:szCs w:val="22"/>
        </w:rPr>
      </w:pPr>
      <w:r w:rsidRPr="00945190">
        <w:rPr>
          <w:rFonts w:ascii="Palatino Linotype" w:eastAsia="Palatino Linotype" w:hAnsi="Palatino Linotype" w:cs="Palatino Linotype"/>
          <w:i/>
          <w:sz w:val="22"/>
          <w:szCs w:val="22"/>
        </w:rPr>
        <w:t>…</w:t>
      </w:r>
    </w:p>
    <w:p w14:paraId="33F99864" w14:textId="77777777" w:rsidR="001827A2" w:rsidRPr="00945190" w:rsidRDefault="005448A4">
      <w:pPr>
        <w:spacing w:before="240" w:after="240" w:line="276" w:lineRule="auto"/>
        <w:ind w:left="851" w:right="616"/>
        <w:jc w:val="both"/>
        <w:rPr>
          <w:rFonts w:ascii="Palatino Linotype" w:eastAsia="Palatino Linotype" w:hAnsi="Palatino Linotype" w:cs="Palatino Linotype"/>
          <w:i/>
          <w:sz w:val="22"/>
          <w:szCs w:val="22"/>
        </w:rPr>
      </w:pPr>
      <w:r w:rsidRPr="00945190">
        <w:rPr>
          <w:rFonts w:ascii="Palatino Linotype" w:eastAsia="Palatino Linotype" w:hAnsi="Palatino Linotype" w:cs="Palatino Linotype"/>
          <w:i/>
          <w:sz w:val="22"/>
          <w:szCs w:val="22"/>
        </w:rPr>
        <w:lastRenderedPageBreak/>
        <w:t>“De acuerdo con lo comunicado por la Jefa de la Ventanilla Única de Atención Integral a Instituciones Públicas, la Jefa del Departamento de Vigencia de Derechos y el Jefe del Departamento de Control y Actualización Documental, adscritos al Servidor Publico Habilitado de la Coordinación de Prestaciones y Seguridad Social, se informa al particular que se localizaron los siguientes avisos de movimiento:…”</w:t>
      </w:r>
    </w:p>
    <w:p w14:paraId="095811C4" w14:textId="77777777" w:rsidR="001827A2" w:rsidRPr="00945190" w:rsidRDefault="005448A4">
      <w:pPr>
        <w:spacing w:before="240" w:after="240" w:line="276" w:lineRule="auto"/>
        <w:ind w:left="851" w:right="616"/>
        <w:jc w:val="both"/>
        <w:rPr>
          <w:rFonts w:ascii="Palatino Linotype" w:eastAsia="Palatino Linotype" w:hAnsi="Palatino Linotype" w:cs="Palatino Linotype"/>
          <w:sz w:val="22"/>
          <w:szCs w:val="22"/>
        </w:rPr>
      </w:pPr>
      <w:r w:rsidRPr="00945190">
        <w:rPr>
          <w:rFonts w:ascii="Palatino Linotype" w:eastAsia="Palatino Linotype" w:hAnsi="Palatino Linotype" w:cs="Palatino Linotype"/>
          <w:sz w:val="22"/>
          <w:szCs w:val="22"/>
        </w:rPr>
        <w:t xml:space="preserve">Documento en el que se describen el tipo de movimiento, fecha de movimiento y dependencia. </w:t>
      </w:r>
    </w:p>
    <w:p w14:paraId="12AE5317" w14:textId="77777777" w:rsidR="001827A2" w:rsidRPr="00945190" w:rsidRDefault="005448A4">
      <w:pPr>
        <w:spacing w:before="240" w:after="240" w:line="360" w:lineRule="auto"/>
        <w:ind w:right="49"/>
        <w:jc w:val="both"/>
        <w:rPr>
          <w:rFonts w:ascii="Palatino Linotype" w:eastAsia="Palatino Linotype" w:hAnsi="Palatino Linotype" w:cs="Palatino Linotype"/>
          <w:b/>
        </w:rPr>
      </w:pPr>
      <w:r w:rsidRPr="00945190">
        <w:rPr>
          <w:rFonts w:ascii="Palatino Linotype" w:eastAsia="Palatino Linotype" w:hAnsi="Palatino Linotype" w:cs="Palatino Linotype"/>
          <w:b/>
        </w:rPr>
        <w:t xml:space="preserve">3. Interposición del recurso de revisión. </w:t>
      </w:r>
      <w:r w:rsidRPr="00945190">
        <w:rPr>
          <w:rFonts w:ascii="Palatino Linotype" w:eastAsia="Palatino Linotype" w:hAnsi="Palatino Linotype" w:cs="Palatino Linotype"/>
        </w:rPr>
        <w:t xml:space="preserve">El </w:t>
      </w:r>
      <w:r w:rsidRPr="00945190">
        <w:rPr>
          <w:rFonts w:ascii="Palatino Linotype" w:eastAsia="Palatino Linotype" w:hAnsi="Palatino Linotype" w:cs="Palatino Linotype"/>
          <w:b/>
        </w:rPr>
        <w:t>diez de julio de dos mil veinticuatro,</w:t>
      </w:r>
      <w:r w:rsidRPr="00945190">
        <w:rPr>
          <w:rFonts w:ascii="Palatino Linotype" w:eastAsia="Palatino Linotype" w:hAnsi="Palatino Linotype" w:cs="Palatino Linotype"/>
        </w:rPr>
        <w:t xml:space="preserve"> la persona solicitante interpuso el recurso de revisión a través del </w:t>
      </w:r>
      <w:r w:rsidRPr="00945190">
        <w:rPr>
          <w:rFonts w:ascii="Palatino Linotype" w:eastAsia="Palatino Linotype" w:hAnsi="Palatino Linotype" w:cs="Palatino Linotype"/>
          <w:b/>
        </w:rPr>
        <w:t xml:space="preserve">SARCOEM, </w:t>
      </w:r>
      <w:r w:rsidRPr="00945190">
        <w:rPr>
          <w:rFonts w:ascii="Palatino Linotype" w:eastAsia="Palatino Linotype" w:hAnsi="Palatino Linotype" w:cs="Palatino Linotype"/>
        </w:rPr>
        <w:t>en donde se manifestó de la siguiente manera:</w:t>
      </w:r>
    </w:p>
    <w:p w14:paraId="44B64663" w14:textId="77777777" w:rsidR="001827A2" w:rsidRPr="00945190" w:rsidRDefault="005448A4">
      <w:pPr>
        <w:tabs>
          <w:tab w:val="left" w:pos="2745"/>
        </w:tabs>
        <w:spacing w:before="240" w:after="240" w:line="360" w:lineRule="auto"/>
        <w:jc w:val="both"/>
        <w:rPr>
          <w:rFonts w:ascii="Palatino Linotype" w:eastAsia="Palatino Linotype" w:hAnsi="Palatino Linotype" w:cs="Palatino Linotype"/>
          <w:b/>
        </w:rPr>
      </w:pPr>
      <w:r w:rsidRPr="00945190">
        <w:rPr>
          <w:rFonts w:ascii="Palatino Linotype" w:eastAsia="Palatino Linotype" w:hAnsi="Palatino Linotype" w:cs="Palatino Linotype"/>
          <w:b/>
        </w:rPr>
        <w:t xml:space="preserve">Acto impugnado: </w:t>
      </w:r>
    </w:p>
    <w:p w14:paraId="1FB7242D" w14:textId="77777777" w:rsidR="001827A2" w:rsidRPr="00945190" w:rsidRDefault="005448A4">
      <w:pPr>
        <w:tabs>
          <w:tab w:val="left" w:pos="2745"/>
        </w:tabs>
        <w:spacing w:before="240" w:after="240"/>
        <w:ind w:left="851" w:right="900"/>
        <w:jc w:val="both"/>
        <w:rPr>
          <w:rFonts w:ascii="Palatino Linotype" w:eastAsia="Palatino Linotype" w:hAnsi="Palatino Linotype" w:cs="Palatino Linotype"/>
          <w:i/>
          <w:sz w:val="22"/>
          <w:szCs w:val="22"/>
        </w:rPr>
      </w:pPr>
      <w:r w:rsidRPr="00945190">
        <w:rPr>
          <w:rFonts w:ascii="Palatino Linotype" w:eastAsia="Palatino Linotype" w:hAnsi="Palatino Linotype" w:cs="Palatino Linotype"/>
          <w:i/>
          <w:sz w:val="22"/>
          <w:szCs w:val="22"/>
        </w:rPr>
        <w:t>“No se me entregaron los documentos que requerí en la modalidad de entrega que señalé, esto es, a través de SARCOEM” (sic)</w:t>
      </w:r>
    </w:p>
    <w:p w14:paraId="4FF38E84" w14:textId="77777777" w:rsidR="001827A2" w:rsidRPr="00945190" w:rsidRDefault="005448A4">
      <w:pPr>
        <w:spacing w:line="360" w:lineRule="auto"/>
        <w:jc w:val="both"/>
        <w:rPr>
          <w:rFonts w:ascii="Palatino Linotype" w:eastAsia="Palatino Linotype" w:hAnsi="Palatino Linotype" w:cs="Palatino Linotype"/>
        </w:rPr>
      </w:pPr>
      <w:bookmarkStart w:id="2" w:name="_heading=h.30j0zll" w:colFirst="0" w:colLast="0"/>
      <w:bookmarkEnd w:id="2"/>
      <w:r w:rsidRPr="00945190">
        <w:rPr>
          <w:rFonts w:ascii="Palatino Linotype" w:eastAsia="Palatino Linotype" w:hAnsi="Palatino Linotype" w:cs="Palatino Linotype"/>
          <w:b/>
        </w:rPr>
        <w:t>Y Razones o motivos de inconformidad</w:t>
      </w:r>
      <w:r w:rsidRPr="00945190">
        <w:rPr>
          <w:rFonts w:ascii="Palatino Linotype" w:eastAsia="Palatino Linotype" w:hAnsi="Palatino Linotype" w:cs="Palatino Linotype"/>
        </w:rPr>
        <w:t xml:space="preserve">: </w:t>
      </w:r>
    </w:p>
    <w:p w14:paraId="4DAF3252" w14:textId="77777777" w:rsidR="001827A2" w:rsidRPr="00945190" w:rsidRDefault="005448A4">
      <w:pPr>
        <w:tabs>
          <w:tab w:val="left" w:pos="2745"/>
        </w:tabs>
        <w:spacing w:before="240" w:after="240"/>
        <w:ind w:left="851" w:right="900"/>
        <w:jc w:val="both"/>
        <w:rPr>
          <w:rFonts w:ascii="Palatino Linotype" w:eastAsia="Palatino Linotype" w:hAnsi="Palatino Linotype" w:cs="Palatino Linotype"/>
          <w:i/>
          <w:sz w:val="22"/>
          <w:szCs w:val="22"/>
        </w:rPr>
      </w:pPr>
      <w:bookmarkStart w:id="3" w:name="_heading=h.2et92p0" w:colFirst="0" w:colLast="0"/>
      <w:bookmarkEnd w:id="3"/>
      <w:r w:rsidRPr="00945190">
        <w:rPr>
          <w:rFonts w:ascii="Palatino Linotype" w:eastAsia="Palatino Linotype" w:hAnsi="Palatino Linotype" w:cs="Palatino Linotype"/>
          <w:i/>
          <w:sz w:val="22"/>
          <w:szCs w:val="22"/>
        </w:rPr>
        <w:t>“No se me entregaron los documentos que requerí en la modalidad de entrega que señalé, esto es, a través de SARCOEM, ya que desde la presentación de la solicitud adjunté mi identificación oficial, como lo marca el artículo 110, fracción II de la Ley de Protección de Datos Local.” (sic)</w:t>
      </w:r>
    </w:p>
    <w:p w14:paraId="552A61DC" w14:textId="77777777" w:rsidR="001827A2" w:rsidRPr="00945190" w:rsidRDefault="005448A4">
      <w:pPr>
        <w:spacing w:before="240" w:after="240" w:line="360" w:lineRule="auto"/>
        <w:ind w:right="51"/>
        <w:jc w:val="both"/>
        <w:rPr>
          <w:rFonts w:ascii="Palatino Linotype" w:eastAsia="Palatino Linotype" w:hAnsi="Palatino Linotype" w:cs="Palatino Linotype"/>
        </w:rPr>
      </w:pPr>
      <w:r w:rsidRPr="00945190">
        <w:rPr>
          <w:rFonts w:ascii="Palatino Linotype" w:eastAsia="Palatino Linotype" w:hAnsi="Palatino Linotype" w:cs="Palatino Linotype"/>
        </w:rPr>
        <w:t xml:space="preserve">La parte </w:t>
      </w:r>
      <w:r w:rsidRPr="00945190">
        <w:rPr>
          <w:rFonts w:ascii="Palatino Linotype" w:eastAsia="Palatino Linotype" w:hAnsi="Palatino Linotype" w:cs="Palatino Linotype"/>
          <w:b/>
        </w:rPr>
        <w:t xml:space="preserve">Recurrente </w:t>
      </w:r>
      <w:r w:rsidRPr="00945190">
        <w:rPr>
          <w:rFonts w:ascii="Palatino Linotype" w:eastAsia="Palatino Linotype" w:hAnsi="Palatino Linotype" w:cs="Palatino Linotype"/>
        </w:rPr>
        <w:t>adjuntó el documento que remitió al momento de presentar su solicitud de acceso a datos.</w:t>
      </w:r>
    </w:p>
    <w:p w14:paraId="55F9083E" w14:textId="77777777" w:rsidR="001827A2" w:rsidRPr="00945190" w:rsidRDefault="005448A4">
      <w:pPr>
        <w:spacing w:before="240" w:after="240" w:line="360" w:lineRule="auto"/>
        <w:ind w:right="51"/>
        <w:jc w:val="both"/>
        <w:rPr>
          <w:rFonts w:ascii="Palatino Linotype" w:eastAsia="Palatino Linotype" w:hAnsi="Palatino Linotype" w:cs="Palatino Linotype"/>
          <w:b/>
        </w:rPr>
      </w:pPr>
      <w:r w:rsidRPr="00945190">
        <w:rPr>
          <w:rFonts w:ascii="Palatino Linotype" w:eastAsia="Palatino Linotype" w:hAnsi="Palatino Linotype" w:cs="Palatino Linotype"/>
          <w:b/>
        </w:rPr>
        <w:t xml:space="preserve">4. Turno. </w:t>
      </w:r>
      <w:r w:rsidRPr="00945190">
        <w:rPr>
          <w:rFonts w:ascii="Palatino Linotype" w:eastAsia="Palatino Linotype" w:hAnsi="Palatino Linotype" w:cs="Palatino Linotype"/>
        </w:rPr>
        <w:t xml:space="preserve">De conformidad con los artículos 11 y 127, de la Ley de Protección de Datos Personales en Posesión de Sujetos Obligados del Estado de México y Municipios, en relación con el diverso 185, fracción I, de la Ley de Transparencia y Acceso a la Información Pública del Estado de México y Municipios, de aplicación </w:t>
      </w:r>
      <w:r w:rsidRPr="00945190">
        <w:rPr>
          <w:rFonts w:ascii="Palatino Linotype" w:eastAsia="Palatino Linotype" w:hAnsi="Palatino Linotype" w:cs="Palatino Linotype"/>
        </w:rPr>
        <w:lastRenderedPageBreak/>
        <w:t xml:space="preserve">supletoria a la citada Ley de Protección de Datos Personales, el presente recurso de revisión se turnó mediante el sistema electrónico </w:t>
      </w:r>
      <w:r w:rsidRPr="00945190">
        <w:rPr>
          <w:rFonts w:ascii="Palatino Linotype" w:eastAsia="Palatino Linotype" w:hAnsi="Palatino Linotype" w:cs="Palatino Linotype"/>
          <w:b/>
        </w:rPr>
        <w:t>SARCOEM</w:t>
      </w:r>
      <w:r w:rsidRPr="00945190">
        <w:rPr>
          <w:rFonts w:ascii="Palatino Linotype" w:eastAsia="Palatino Linotype" w:hAnsi="Palatino Linotype" w:cs="Palatino Linotype"/>
        </w:rPr>
        <w:t xml:space="preserve"> del Instituto de Transparencia, Acceso a la Información Pública y Protección de Datos Personales del Estado de México y Municipios, a la Comisionada </w:t>
      </w:r>
      <w:r w:rsidRPr="00945190">
        <w:rPr>
          <w:rFonts w:ascii="Palatino Linotype" w:eastAsia="Palatino Linotype" w:hAnsi="Palatino Linotype" w:cs="Palatino Linotype"/>
          <w:b/>
        </w:rPr>
        <w:t xml:space="preserve">Guadalupe Ramírez Peña, </w:t>
      </w:r>
      <w:r w:rsidRPr="00945190">
        <w:rPr>
          <w:rFonts w:ascii="Palatino Linotype" w:eastAsia="Palatino Linotype" w:hAnsi="Palatino Linotype" w:cs="Palatino Linotype"/>
        </w:rPr>
        <w:t>a efecto de que analizara sobre su admisión o su desechamiento.</w:t>
      </w:r>
    </w:p>
    <w:p w14:paraId="4DBE0BC3" w14:textId="77777777" w:rsidR="001827A2" w:rsidRPr="00945190" w:rsidRDefault="005448A4">
      <w:pPr>
        <w:spacing w:before="240" w:after="240" w:line="360" w:lineRule="auto"/>
        <w:jc w:val="both"/>
        <w:rPr>
          <w:rFonts w:ascii="Palatino Linotype" w:eastAsia="Palatino Linotype" w:hAnsi="Palatino Linotype" w:cs="Palatino Linotype"/>
        </w:rPr>
      </w:pPr>
      <w:r w:rsidRPr="00945190">
        <w:rPr>
          <w:rFonts w:ascii="Palatino Linotype" w:eastAsia="Palatino Linotype" w:hAnsi="Palatino Linotype" w:cs="Palatino Linotype"/>
          <w:b/>
        </w:rPr>
        <w:t>5. Admisión del Recurso de revisión.</w:t>
      </w:r>
      <w:r w:rsidRPr="00945190">
        <w:rPr>
          <w:rFonts w:ascii="Palatino Linotype" w:eastAsia="Palatino Linotype" w:hAnsi="Palatino Linotype" w:cs="Palatino Linotype"/>
        </w:rPr>
        <w:t xml:space="preserve"> El</w:t>
      </w:r>
      <w:r w:rsidRPr="00945190">
        <w:rPr>
          <w:rFonts w:ascii="Palatino Linotype" w:eastAsia="Palatino Linotype" w:hAnsi="Palatino Linotype" w:cs="Palatino Linotype"/>
          <w:b/>
        </w:rPr>
        <w:t xml:space="preserve"> quince de julio de dos mil veinticuatro, </w:t>
      </w:r>
      <w:r w:rsidRPr="00945190">
        <w:rPr>
          <w:rFonts w:ascii="Palatino Linotype" w:eastAsia="Palatino Linotype" w:hAnsi="Palatino Linotype" w:cs="Palatino Linotype"/>
        </w:rPr>
        <w:t xml:space="preserve">de conformidad con lo dispuesto en los artículos 11, 127 y 131 de la Ley de Protección de Datos Personales en Posesión de Sujetos Obligados del Estado de México y Municipios, y 185, fracción II de la Ley de Transparencia y Acceso a la Información Pública del Estado de México y Municipios de aplicación supletoria, se acordó lo siguiente: </w:t>
      </w:r>
    </w:p>
    <w:p w14:paraId="0ED61E7F" w14:textId="77777777" w:rsidR="001827A2" w:rsidRPr="00945190" w:rsidRDefault="005448A4">
      <w:pPr>
        <w:numPr>
          <w:ilvl w:val="0"/>
          <w:numId w:val="1"/>
        </w:numPr>
        <w:pBdr>
          <w:top w:val="nil"/>
          <w:left w:val="nil"/>
          <w:bottom w:val="nil"/>
          <w:right w:val="nil"/>
          <w:between w:val="nil"/>
        </w:pBdr>
        <w:spacing w:before="240" w:after="240" w:line="360" w:lineRule="auto"/>
        <w:ind w:left="284" w:right="193" w:firstLine="0"/>
        <w:jc w:val="both"/>
        <w:rPr>
          <w:rFonts w:ascii="Palatino Linotype" w:eastAsia="Palatino Linotype" w:hAnsi="Palatino Linotype" w:cs="Palatino Linotype"/>
        </w:rPr>
      </w:pPr>
      <w:r w:rsidRPr="00945190">
        <w:rPr>
          <w:rFonts w:ascii="Palatino Linotype" w:eastAsia="Palatino Linotype" w:hAnsi="Palatino Linotype" w:cs="Palatino Linotype"/>
        </w:rPr>
        <w:t>La admisión a trámite del referido recurso de revisión;</w:t>
      </w:r>
    </w:p>
    <w:p w14:paraId="475C9BC5" w14:textId="77777777" w:rsidR="001827A2" w:rsidRPr="00945190" w:rsidRDefault="005448A4">
      <w:pPr>
        <w:numPr>
          <w:ilvl w:val="0"/>
          <w:numId w:val="1"/>
        </w:numPr>
        <w:pBdr>
          <w:top w:val="nil"/>
          <w:left w:val="nil"/>
          <w:bottom w:val="nil"/>
          <w:right w:val="nil"/>
          <w:between w:val="nil"/>
        </w:pBdr>
        <w:spacing w:before="240" w:after="240" w:line="360" w:lineRule="auto"/>
        <w:ind w:left="284" w:right="193" w:firstLine="0"/>
        <w:jc w:val="both"/>
        <w:rPr>
          <w:rFonts w:ascii="Palatino Linotype" w:eastAsia="Palatino Linotype" w:hAnsi="Palatino Linotype" w:cs="Palatino Linotype"/>
        </w:rPr>
      </w:pPr>
      <w:r w:rsidRPr="00945190">
        <w:rPr>
          <w:rFonts w:ascii="Palatino Linotype" w:eastAsia="Palatino Linotype" w:hAnsi="Palatino Linotype" w:cs="Palatino Linotype"/>
          <w:b/>
        </w:rPr>
        <w:t xml:space="preserve"> </w:t>
      </w:r>
      <w:r w:rsidRPr="00945190">
        <w:rPr>
          <w:rFonts w:ascii="Palatino Linotype" w:eastAsia="Palatino Linotype" w:hAnsi="Palatino Linotype" w:cs="Palatino Linotype"/>
        </w:rPr>
        <w:t>La integración del expediente a fin de ponerlo a disposición de las partes para la consulta.</w:t>
      </w:r>
    </w:p>
    <w:p w14:paraId="46D09FCB" w14:textId="77777777" w:rsidR="001827A2" w:rsidRPr="00945190" w:rsidRDefault="005448A4">
      <w:pPr>
        <w:numPr>
          <w:ilvl w:val="0"/>
          <w:numId w:val="1"/>
        </w:numPr>
        <w:pBdr>
          <w:top w:val="nil"/>
          <w:left w:val="nil"/>
          <w:bottom w:val="nil"/>
          <w:right w:val="nil"/>
          <w:between w:val="nil"/>
        </w:pBdr>
        <w:spacing w:before="240" w:after="240" w:line="360" w:lineRule="auto"/>
        <w:ind w:left="284" w:right="193" w:firstLine="0"/>
        <w:jc w:val="both"/>
        <w:rPr>
          <w:rFonts w:ascii="Palatino Linotype" w:eastAsia="Palatino Linotype" w:hAnsi="Palatino Linotype" w:cs="Palatino Linotype"/>
        </w:rPr>
      </w:pPr>
      <w:r w:rsidRPr="00945190">
        <w:rPr>
          <w:rFonts w:ascii="Palatino Linotype" w:eastAsia="Palatino Linotype" w:hAnsi="Palatino Linotype" w:cs="Palatino Linotype"/>
        </w:rPr>
        <w:t>El requerimiento</w:t>
      </w:r>
      <w:r w:rsidRPr="00945190">
        <w:rPr>
          <w:rFonts w:ascii="Palatino Linotype" w:eastAsia="Palatino Linotype" w:hAnsi="Palatino Linotype" w:cs="Palatino Linotype"/>
          <w:b/>
        </w:rPr>
        <w:t xml:space="preserve"> </w:t>
      </w:r>
      <w:r w:rsidRPr="00945190">
        <w:rPr>
          <w:rFonts w:ascii="Palatino Linotype" w:eastAsia="Palatino Linotype" w:hAnsi="Palatino Linotype" w:cs="Palatino Linotype"/>
        </w:rPr>
        <w:t xml:space="preserve">a las partes para que en un plazo no mayor a siete días manifestaran, por cualquier medio, su voluntad de conciliar, con el apercibimiento de que, en caso de no hacerlo, se tendría por precluido su derecho, para tales efectos. </w:t>
      </w:r>
    </w:p>
    <w:p w14:paraId="4C8F16AC" w14:textId="77777777" w:rsidR="001827A2" w:rsidRPr="00945190" w:rsidRDefault="005448A4">
      <w:pPr>
        <w:pBdr>
          <w:top w:val="nil"/>
          <w:left w:val="nil"/>
          <w:bottom w:val="nil"/>
          <w:right w:val="nil"/>
          <w:between w:val="nil"/>
        </w:pBdr>
        <w:spacing w:before="240" w:after="240" w:line="360" w:lineRule="auto"/>
        <w:ind w:left="284" w:right="193"/>
        <w:jc w:val="both"/>
        <w:rPr>
          <w:rFonts w:ascii="Palatino Linotype" w:eastAsia="Palatino Linotype" w:hAnsi="Palatino Linotype" w:cs="Palatino Linotype"/>
        </w:rPr>
      </w:pPr>
      <w:r w:rsidRPr="00945190">
        <w:rPr>
          <w:rFonts w:ascii="Palatino Linotype" w:eastAsia="Palatino Linotype" w:hAnsi="Palatino Linotype" w:cs="Palatino Linotype"/>
        </w:rPr>
        <w:t xml:space="preserve">Asimismo, en términos del artículo 132 fracción I de la Ley de Protección de Datos Personales en Posesión de Sujetos Obligados del Estado de México y Municipios, se hizo del conocimiento de las partes un resumen del recurso de </w:t>
      </w:r>
      <w:r w:rsidRPr="00945190">
        <w:rPr>
          <w:rFonts w:ascii="Palatino Linotype" w:eastAsia="Palatino Linotype" w:hAnsi="Palatino Linotype" w:cs="Palatino Linotype"/>
        </w:rPr>
        <w:lastRenderedPageBreak/>
        <w:t>revisión de mérito, así como los elementos comunes y puntos de controversia, respecto del presente asunto.</w:t>
      </w:r>
    </w:p>
    <w:p w14:paraId="28659BDA" w14:textId="77777777" w:rsidR="001827A2" w:rsidRPr="00945190" w:rsidRDefault="005448A4">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945190">
        <w:rPr>
          <w:rFonts w:ascii="Palatino Linotype" w:eastAsia="Palatino Linotype" w:hAnsi="Palatino Linotype" w:cs="Palatino Linotype"/>
          <w:b/>
        </w:rPr>
        <w:t xml:space="preserve">6. Etapa de Conciliación. </w:t>
      </w:r>
      <w:r w:rsidRPr="00945190">
        <w:rPr>
          <w:rFonts w:ascii="Palatino Linotype" w:eastAsia="Palatino Linotype" w:hAnsi="Palatino Linotype" w:cs="Palatino Linotype"/>
        </w:rPr>
        <w:t xml:space="preserve">El </w:t>
      </w:r>
      <w:r w:rsidRPr="00945190">
        <w:rPr>
          <w:rFonts w:ascii="Palatino Linotype" w:eastAsia="Palatino Linotype" w:hAnsi="Palatino Linotype" w:cs="Palatino Linotype"/>
          <w:b/>
        </w:rPr>
        <w:t>dieciséis de julio dos mil veinticuatro</w:t>
      </w:r>
      <w:r w:rsidRPr="00945190">
        <w:rPr>
          <w:rFonts w:ascii="Palatino Linotype" w:eastAsia="Palatino Linotype" w:hAnsi="Palatino Linotype" w:cs="Palatino Linotype"/>
        </w:rPr>
        <w:t xml:space="preserve">, la parte </w:t>
      </w:r>
      <w:r w:rsidRPr="00945190">
        <w:rPr>
          <w:rFonts w:ascii="Palatino Linotype" w:eastAsia="Palatino Linotype" w:hAnsi="Palatino Linotype" w:cs="Palatino Linotype"/>
          <w:b/>
        </w:rPr>
        <w:t xml:space="preserve">Recurrente </w:t>
      </w:r>
      <w:r w:rsidRPr="00945190">
        <w:rPr>
          <w:rFonts w:ascii="Palatino Linotype" w:eastAsia="Palatino Linotype" w:hAnsi="Palatino Linotype" w:cs="Palatino Linotype"/>
        </w:rPr>
        <w:t xml:space="preserve">manifestó su voluntad para conciliar, tal como se aprecia en la siguiente imagen. </w:t>
      </w:r>
    </w:p>
    <w:p w14:paraId="5D18CC17" w14:textId="77777777" w:rsidR="001827A2" w:rsidRPr="00945190" w:rsidRDefault="005448A4">
      <w:pPr>
        <w:spacing w:before="240" w:after="240" w:line="360" w:lineRule="auto"/>
        <w:jc w:val="both"/>
        <w:rPr>
          <w:rFonts w:ascii="Palatino Linotype" w:eastAsia="Palatino Linotype" w:hAnsi="Palatino Linotype" w:cs="Palatino Linotype"/>
        </w:rPr>
      </w:pPr>
      <w:r w:rsidRPr="00945190">
        <w:rPr>
          <w:rFonts w:ascii="Palatino Linotype" w:eastAsia="Palatino Linotype" w:hAnsi="Palatino Linotype" w:cs="Palatino Linotype"/>
          <w:noProof/>
        </w:rPr>
        <w:drawing>
          <wp:inline distT="0" distB="0" distL="0" distR="0" wp14:anchorId="057DDCF6" wp14:editId="489274D3">
            <wp:extent cx="5612130" cy="940435"/>
            <wp:effectExtent l="0" t="0" r="0" b="0"/>
            <wp:docPr id="20197576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2130" cy="940435"/>
                    </a:xfrm>
                    <a:prstGeom prst="rect">
                      <a:avLst/>
                    </a:prstGeom>
                    <a:ln/>
                  </pic:spPr>
                </pic:pic>
              </a:graphicData>
            </a:graphic>
          </wp:inline>
        </w:drawing>
      </w:r>
    </w:p>
    <w:p w14:paraId="1B5A7CA7" w14:textId="77777777" w:rsidR="001827A2" w:rsidRPr="00945190" w:rsidRDefault="005448A4">
      <w:pPr>
        <w:spacing w:before="240" w:after="240" w:line="360" w:lineRule="auto"/>
        <w:jc w:val="both"/>
        <w:rPr>
          <w:rFonts w:ascii="Palatino Linotype" w:eastAsia="Palatino Linotype" w:hAnsi="Palatino Linotype" w:cs="Palatino Linotype"/>
        </w:rPr>
      </w:pPr>
      <w:r w:rsidRPr="00945190">
        <w:rPr>
          <w:rFonts w:ascii="Palatino Linotype" w:eastAsia="Palatino Linotype" w:hAnsi="Palatino Linotype" w:cs="Palatino Linotype"/>
        </w:rPr>
        <w:t xml:space="preserve">El </w:t>
      </w:r>
      <w:r w:rsidRPr="00945190">
        <w:rPr>
          <w:rFonts w:ascii="Palatino Linotype" w:eastAsia="Palatino Linotype" w:hAnsi="Palatino Linotype" w:cs="Palatino Linotype"/>
          <w:b/>
        </w:rPr>
        <w:t>dieciocho de julio de dos mil veinticuatro</w:t>
      </w:r>
      <w:r w:rsidRPr="00945190">
        <w:rPr>
          <w:rFonts w:ascii="Palatino Linotype" w:eastAsia="Palatino Linotype" w:hAnsi="Palatino Linotype" w:cs="Palatino Linotype"/>
        </w:rPr>
        <w:t xml:space="preserve">, el </w:t>
      </w:r>
      <w:r w:rsidRPr="00945190">
        <w:rPr>
          <w:rFonts w:ascii="Palatino Linotype" w:eastAsia="Palatino Linotype" w:hAnsi="Palatino Linotype" w:cs="Palatino Linotype"/>
          <w:b/>
        </w:rPr>
        <w:t>Sujeto Obligado</w:t>
      </w:r>
      <w:r w:rsidRPr="00945190">
        <w:rPr>
          <w:rFonts w:ascii="Palatino Linotype" w:eastAsia="Palatino Linotype" w:hAnsi="Palatino Linotype" w:cs="Palatino Linotype"/>
        </w:rPr>
        <w:t xml:space="preserve"> manifestó su voluntad para conciliar, mediante el oficio número 207C0401210001S-UT-1918/2024, por medio del cual solicita conciliar en el presente asunto, con la finalidad de que, a través de este mecanismo alterno de solución de conflictos, se beneficie al solicitante.</w:t>
      </w:r>
    </w:p>
    <w:p w14:paraId="796CD487" w14:textId="77777777" w:rsidR="001827A2" w:rsidRPr="00945190" w:rsidRDefault="005448A4">
      <w:pPr>
        <w:spacing w:before="240" w:after="240" w:line="360" w:lineRule="auto"/>
        <w:jc w:val="both"/>
        <w:rPr>
          <w:rFonts w:ascii="Palatino Linotype" w:eastAsia="Palatino Linotype" w:hAnsi="Palatino Linotype" w:cs="Palatino Linotype"/>
        </w:rPr>
      </w:pPr>
      <w:r w:rsidRPr="00945190">
        <w:rPr>
          <w:rFonts w:ascii="Palatino Linotype" w:eastAsia="Palatino Linotype" w:hAnsi="Palatino Linotype" w:cs="Palatino Linotype"/>
          <w:b/>
        </w:rPr>
        <w:t xml:space="preserve">7. Desistimiento del Recurso de Revisión. </w:t>
      </w:r>
      <w:r w:rsidRPr="00945190">
        <w:rPr>
          <w:rFonts w:ascii="Palatino Linotype" w:eastAsia="Palatino Linotype" w:hAnsi="Palatino Linotype" w:cs="Palatino Linotype"/>
        </w:rPr>
        <w:t xml:space="preserve"> El </w:t>
      </w:r>
      <w:r w:rsidRPr="00945190">
        <w:rPr>
          <w:rFonts w:ascii="Palatino Linotype" w:eastAsia="Palatino Linotype" w:hAnsi="Palatino Linotype" w:cs="Palatino Linotype"/>
          <w:b/>
        </w:rPr>
        <w:t xml:space="preserve">quince de agosto de dos mil veinticuatro, </w:t>
      </w:r>
      <w:r w:rsidRPr="00945190">
        <w:rPr>
          <w:rFonts w:ascii="Palatino Linotype" w:eastAsia="Palatino Linotype" w:hAnsi="Palatino Linotype" w:cs="Palatino Linotype"/>
        </w:rPr>
        <w:t xml:space="preserve">la parte </w:t>
      </w:r>
      <w:r w:rsidRPr="00945190">
        <w:rPr>
          <w:rFonts w:ascii="Palatino Linotype" w:eastAsia="Palatino Linotype" w:hAnsi="Palatino Linotype" w:cs="Palatino Linotype"/>
          <w:b/>
        </w:rPr>
        <w:t xml:space="preserve">Recurrente </w:t>
      </w:r>
      <w:r w:rsidRPr="00945190">
        <w:rPr>
          <w:rFonts w:ascii="Palatino Linotype" w:eastAsia="Palatino Linotype" w:hAnsi="Palatino Linotype" w:cs="Palatino Linotype"/>
        </w:rPr>
        <w:t xml:space="preserve">decidió desistirse del presente medio de impugnación, señalando como motivo lo siguiente: </w:t>
      </w:r>
    </w:p>
    <w:p w14:paraId="5F223248" w14:textId="77777777" w:rsidR="001827A2" w:rsidRPr="00945190" w:rsidRDefault="005448A4">
      <w:pPr>
        <w:spacing w:before="240" w:after="240" w:line="360" w:lineRule="auto"/>
        <w:ind w:left="851"/>
        <w:jc w:val="both"/>
        <w:rPr>
          <w:rFonts w:ascii="Palatino Linotype" w:eastAsia="Palatino Linotype" w:hAnsi="Palatino Linotype" w:cs="Palatino Linotype"/>
          <w:b/>
          <w:i/>
          <w:sz w:val="22"/>
          <w:szCs w:val="22"/>
          <w:u w:val="single"/>
        </w:rPr>
      </w:pPr>
      <w:r w:rsidRPr="00945190">
        <w:rPr>
          <w:rFonts w:ascii="Palatino Linotype" w:eastAsia="Palatino Linotype" w:hAnsi="Palatino Linotype" w:cs="Palatino Linotype"/>
          <w:b/>
          <w:i/>
          <w:sz w:val="22"/>
          <w:szCs w:val="22"/>
          <w:u w:val="single"/>
        </w:rPr>
        <w:t xml:space="preserve">“Se entregaron los documentos al asistir” </w:t>
      </w:r>
    </w:p>
    <w:p w14:paraId="3DEFDC15" w14:textId="77777777" w:rsidR="001827A2" w:rsidRPr="00945190" w:rsidRDefault="005448A4">
      <w:pPr>
        <w:spacing w:before="240" w:after="240" w:line="360" w:lineRule="auto"/>
        <w:jc w:val="both"/>
        <w:rPr>
          <w:rFonts w:ascii="Palatino Linotype" w:eastAsia="Palatino Linotype" w:hAnsi="Palatino Linotype" w:cs="Palatino Linotype"/>
        </w:rPr>
      </w:pPr>
      <w:r w:rsidRPr="00945190">
        <w:rPr>
          <w:rFonts w:ascii="Palatino Linotype" w:eastAsia="Palatino Linotype" w:hAnsi="Palatino Linotype" w:cs="Palatino Linotype"/>
          <w:b/>
        </w:rPr>
        <w:t xml:space="preserve">8. Cierre de instrucción. </w:t>
      </w:r>
      <w:r w:rsidRPr="00945190">
        <w:rPr>
          <w:rFonts w:ascii="Palatino Linotype" w:eastAsia="Palatino Linotype" w:hAnsi="Palatino Linotype" w:cs="Palatino Linotype"/>
        </w:rPr>
        <w:t xml:space="preserve">Una vez analizado el estado procesal que guardaba el expediente, el </w:t>
      </w:r>
      <w:r w:rsidRPr="00945190">
        <w:rPr>
          <w:rFonts w:ascii="Palatino Linotype" w:eastAsia="Palatino Linotype" w:hAnsi="Palatino Linotype" w:cs="Palatino Linotype"/>
          <w:b/>
        </w:rPr>
        <w:t xml:space="preserve">veinte de agosto de dos mil veinticuatro, </w:t>
      </w:r>
      <w:r w:rsidRPr="00945190">
        <w:rPr>
          <w:rFonts w:ascii="Palatino Linotype" w:eastAsia="Palatino Linotype" w:hAnsi="Palatino Linotype" w:cs="Palatino Linotype"/>
        </w:rPr>
        <w:t xml:space="preserve">y de conformidad con lo establecido en los artículos 11, 125, 127 y 133 de la Ley de Protección de Datos Personales en Posesión de Sujetos Obligados del Estado de México y Municipios y </w:t>
      </w:r>
      <w:r w:rsidRPr="00945190">
        <w:rPr>
          <w:rFonts w:ascii="Palatino Linotype" w:eastAsia="Palatino Linotype" w:hAnsi="Palatino Linotype" w:cs="Palatino Linotype"/>
        </w:rPr>
        <w:lastRenderedPageBreak/>
        <w:t>185 fracción VI de la Ley de Transparencia y Acceso a la Información Pública del Estado de México y Municipios de aplicación supletoria, se tiene por cerrada la etapa de instrucción a efecto de que se proceda con la integración de resolución del asunto.</w:t>
      </w:r>
    </w:p>
    <w:p w14:paraId="35DAE8FF" w14:textId="77777777" w:rsidR="001827A2" w:rsidRPr="00945190" w:rsidRDefault="005448A4">
      <w:pPr>
        <w:spacing w:before="240" w:after="240" w:line="360" w:lineRule="auto"/>
        <w:jc w:val="both"/>
        <w:rPr>
          <w:rFonts w:ascii="Palatino Linotype" w:eastAsia="Palatino Linotype" w:hAnsi="Palatino Linotype" w:cs="Palatino Linotype"/>
        </w:rPr>
      </w:pPr>
      <w:r w:rsidRPr="00945190">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2A295089" w14:textId="77777777" w:rsidR="001827A2" w:rsidRPr="00945190" w:rsidRDefault="005448A4">
      <w:pPr>
        <w:widowControl w:val="0"/>
        <w:spacing w:before="240" w:after="240" w:line="360" w:lineRule="auto"/>
        <w:jc w:val="center"/>
        <w:rPr>
          <w:rFonts w:ascii="Palatino Linotype" w:eastAsia="Palatino Linotype" w:hAnsi="Palatino Linotype" w:cs="Palatino Linotype"/>
          <w:b/>
        </w:rPr>
      </w:pPr>
      <w:r w:rsidRPr="00945190">
        <w:rPr>
          <w:rFonts w:ascii="Palatino Linotype" w:eastAsia="Palatino Linotype" w:hAnsi="Palatino Linotype" w:cs="Palatino Linotype"/>
          <w:b/>
        </w:rPr>
        <w:t>II. C O N S I D E R A N D O S</w:t>
      </w:r>
    </w:p>
    <w:p w14:paraId="0E035FB4" w14:textId="77777777" w:rsidR="001827A2" w:rsidRPr="00945190" w:rsidRDefault="005448A4">
      <w:pPr>
        <w:spacing w:before="240" w:after="240" w:line="360" w:lineRule="auto"/>
        <w:jc w:val="both"/>
        <w:rPr>
          <w:rFonts w:ascii="Palatino Linotype" w:eastAsia="Palatino Linotype" w:hAnsi="Palatino Linotype" w:cs="Palatino Linotype"/>
        </w:rPr>
      </w:pPr>
      <w:r w:rsidRPr="00945190">
        <w:rPr>
          <w:rFonts w:ascii="Palatino Linotype" w:eastAsia="Palatino Linotype" w:hAnsi="Palatino Linotype" w:cs="Palatino Linotype"/>
          <w:b/>
        </w:rPr>
        <w:t>Primero. Competencia.</w:t>
      </w:r>
      <w:r w:rsidRPr="00945190">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w:t>
      </w:r>
      <w:r w:rsidRPr="00945190">
        <w:rPr>
          <w:rFonts w:ascii="Palatino Linotype" w:eastAsia="Palatino Linotype" w:hAnsi="Palatino Linotype" w:cs="Palatino Linotype"/>
        </w:rPr>
        <w:lastRenderedPageBreak/>
        <w:t>Municipios; 9, fracciones I y XXIII y 11 del Reglamento Interior del Instituto de Transparencia, Acceso a la Información Pública y Protección de Datos Personales del Estado de México y Municipios.</w:t>
      </w:r>
    </w:p>
    <w:p w14:paraId="327B3E41" w14:textId="77777777" w:rsidR="001827A2" w:rsidRPr="00945190" w:rsidRDefault="005448A4">
      <w:pPr>
        <w:spacing w:line="360" w:lineRule="auto"/>
        <w:jc w:val="both"/>
        <w:rPr>
          <w:rFonts w:ascii="Palatino Linotype" w:eastAsia="Palatino Linotype" w:hAnsi="Palatino Linotype" w:cs="Palatino Linotype"/>
        </w:rPr>
      </w:pPr>
      <w:r w:rsidRPr="00945190">
        <w:rPr>
          <w:rFonts w:ascii="Palatino Linotype" w:eastAsia="Palatino Linotype" w:hAnsi="Palatino Linotype" w:cs="Palatino Linotype"/>
          <w:b/>
        </w:rPr>
        <w:t>Segundo. Oportunidad y Procedibilidad.</w:t>
      </w:r>
      <w:r w:rsidRPr="00945190">
        <w:rPr>
          <w:rFonts w:ascii="Palatino Linotype" w:eastAsia="Palatino Linotype" w:hAnsi="Palatino Linotype" w:cs="Palatino Linotype"/>
        </w:rPr>
        <w:t xml:space="preserve"> Previo al estudio del fondo del asunto, se procede a analizar los requisitos de oportunidad y procedibilidad que debe reunir el recurso de revisión interpuesto, previstos en los artículos 128 y 130 de la Ley de Protección de Datos Personales en Posesión de Sujetos Obligado del Estado de México y Municipios.</w:t>
      </w:r>
    </w:p>
    <w:p w14:paraId="3D10107D" w14:textId="77777777" w:rsidR="001827A2" w:rsidRPr="00945190" w:rsidRDefault="001827A2">
      <w:pPr>
        <w:spacing w:line="360" w:lineRule="auto"/>
        <w:jc w:val="both"/>
        <w:rPr>
          <w:rFonts w:ascii="Palatino Linotype" w:eastAsia="Palatino Linotype" w:hAnsi="Palatino Linotype" w:cs="Palatino Linotype"/>
        </w:rPr>
      </w:pPr>
    </w:p>
    <w:p w14:paraId="2C557330" w14:textId="77777777" w:rsidR="001827A2" w:rsidRPr="00945190" w:rsidRDefault="005448A4">
      <w:pPr>
        <w:spacing w:line="360" w:lineRule="auto"/>
        <w:jc w:val="both"/>
      </w:pPr>
      <w:r w:rsidRPr="00945190">
        <w:rPr>
          <w:rFonts w:ascii="Palatino Linotype" w:eastAsia="Palatino Linotype" w:hAnsi="Palatino Linotype" w:cs="Palatino Linotype"/>
        </w:rPr>
        <w:t>El recurso de revisión fue interpuesto dentro del plazo de quince días hábiles, previsto en el artículo 128 de la Ley de Protección de Datos Personales en Posesión de Sujetos Obligado del Estado de México y Municipios, toda vez que el</w:t>
      </w:r>
      <w:r w:rsidRPr="00945190">
        <w:rPr>
          <w:rFonts w:ascii="Palatino Linotype" w:eastAsia="Palatino Linotype" w:hAnsi="Palatino Linotype" w:cs="Palatino Linotype"/>
          <w:b/>
        </w:rPr>
        <w:t xml:space="preserve"> Sujeto Obligado </w:t>
      </w:r>
      <w:r w:rsidRPr="00945190">
        <w:rPr>
          <w:rFonts w:ascii="Palatino Linotype" w:eastAsia="Palatino Linotype" w:hAnsi="Palatino Linotype" w:cs="Palatino Linotype"/>
        </w:rPr>
        <w:t xml:space="preserve">respondió a la solicitud de acceso a datos personales el </w:t>
      </w:r>
      <w:r w:rsidRPr="00945190">
        <w:rPr>
          <w:rFonts w:ascii="Palatino Linotype" w:eastAsia="Palatino Linotype" w:hAnsi="Palatino Linotype" w:cs="Palatino Linotype"/>
          <w:b/>
        </w:rPr>
        <w:t xml:space="preserve">nueve de julio de dos mil veinticuatro, </w:t>
      </w:r>
      <w:r w:rsidRPr="00945190">
        <w:rPr>
          <w:rFonts w:ascii="Palatino Linotype" w:eastAsia="Palatino Linotype" w:hAnsi="Palatino Linotype" w:cs="Palatino Linotype"/>
        </w:rPr>
        <w:t>mientras que la parte</w:t>
      </w:r>
      <w:r w:rsidRPr="00945190">
        <w:rPr>
          <w:rFonts w:ascii="Palatino Linotype" w:eastAsia="Palatino Linotype" w:hAnsi="Palatino Linotype" w:cs="Palatino Linotype"/>
          <w:b/>
        </w:rPr>
        <w:t xml:space="preserve"> Recurrente</w:t>
      </w:r>
      <w:r w:rsidRPr="00945190">
        <w:rPr>
          <w:rFonts w:ascii="Palatino Linotype" w:eastAsia="Palatino Linotype" w:hAnsi="Palatino Linotype" w:cs="Palatino Linotype"/>
        </w:rPr>
        <w:t xml:space="preserve"> interpuso el recurso de revisión en fecha </w:t>
      </w:r>
      <w:r w:rsidRPr="00945190">
        <w:rPr>
          <w:rFonts w:ascii="Palatino Linotype" w:eastAsia="Palatino Linotype" w:hAnsi="Palatino Linotype" w:cs="Palatino Linotype"/>
          <w:b/>
        </w:rPr>
        <w:t xml:space="preserve">diez de julio de dos mil veinticuatro; </w:t>
      </w:r>
      <w:r w:rsidRPr="00945190">
        <w:rPr>
          <w:rFonts w:ascii="Palatino Linotype" w:eastAsia="Palatino Linotype" w:hAnsi="Palatino Linotype" w:cs="Palatino Linotype"/>
        </w:rPr>
        <w:t>esto es el primer día hábil siguiente a aquel en que tuvo conocimiento de la respuesta impugnada. En este sentido, se concluye que el presente medio de impugnación se encuentra dentro de los márgenes temporales previstos en las disposiciones legales referidas.</w:t>
      </w:r>
    </w:p>
    <w:p w14:paraId="6530C1DE" w14:textId="77777777" w:rsidR="001827A2" w:rsidRPr="00945190" w:rsidRDefault="005448A4">
      <w:p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945190">
        <w:rPr>
          <w:rFonts w:ascii="Palatino Linotype" w:eastAsia="Palatino Linotype" w:hAnsi="Palatino Linotype" w:cs="Palatino Linotype"/>
        </w:rPr>
        <w:t xml:space="preserve">Por otro lado, del análisis efectuado se advierte que resulta procedente la interposición del recurso y se concluye la acreditación plena de todos y cada uno de los elementos formales exigidos por el artículo 130 de la Ley de Protección de Datos </w:t>
      </w:r>
      <w:r w:rsidRPr="00945190">
        <w:rPr>
          <w:rFonts w:ascii="Palatino Linotype" w:eastAsia="Palatino Linotype" w:hAnsi="Palatino Linotype" w:cs="Palatino Linotype"/>
        </w:rPr>
        <w:lastRenderedPageBreak/>
        <w:t>Personales en Posesión de Sujetos Obligados del Estado de México y Municipios, en atención a que fue presentado mediante el formato visible</w:t>
      </w:r>
      <w:r w:rsidRPr="00945190">
        <w:rPr>
          <w:rFonts w:ascii="Palatino Linotype" w:eastAsia="Palatino Linotype" w:hAnsi="Palatino Linotype" w:cs="Palatino Linotype"/>
          <w:b/>
        </w:rPr>
        <w:t xml:space="preserve"> </w:t>
      </w:r>
      <w:r w:rsidRPr="00945190">
        <w:rPr>
          <w:rFonts w:ascii="Palatino Linotype" w:eastAsia="Palatino Linotype" w:hAnsi="Palatino Linotype" w:cs="Palatino Linotype"/>
        </w:rPr>
        <w:t>del</w:t>
      </w:r>
      <w:r w:rsidRPr="00945190">
        <w:rPr>
          <w:rFonts w:ascii="Palatino Linotype" w:eastAsia="Palatino Linotype" w:hAnsi="Palatino Linotype" w:cs="Palatino Linotype"/>
          <w:b/>
        </w:rPr>
        <w:t xml:space="preserve"> SARCOEM.  </w:t>
      </w:r>
    </w:p>
    <w:p w14:paraId="1A8A3BCA" w14:textId="77777777" w:rsidR="001827A2" w:rsidRPr="00945190" w:rsidRDefault="005448A4">
      <w:pPr>
        <w:spacing w:line="360" w:lineRule="auto"/>
        <w:jc w:val="both"/>
        <w:rPr>
          <w:rFonts w:ascii="Palatino Linotype" w:eastAsia="Palatino Linotype" w:hAnsi="Palatino Linotype" w:cs="Palatino Linotype"/>
        </w:rPr>
      </w:pPr>
      <w:r w:rsidRPr="00945190">
        <w:rPr>
          <w:rFonts w:ascii="Palatino Linotype" w:eastAsia="Palatino Linotype" w:hAnsi="Palatino Linotype" w:cs="Palatino Linotype"/>
          <w:b/>
        </w:rPr>
        <w:t xml:space="preserve">Cuarto. Análisis de las causales de sobreseimiento del recurso de revisión. </w:t>
      </w:r>
      <w:r w:rsidRPr="00945190">
        <w:rPr>
          <w:rFonts w:ascii="Palatino Linotype" w:eastAsia="Palatino Linotype" w:hAnsi="Palatino Linotype" w:cs="Palatino Linotype"/>
        </w:rPr>
        <w:t>El artículo 139 de la Ley de Protección de Datos Personales en Posesión de Sujetos Obligados del Estado de México y Municipios, señala que el recurso de revisión será sobreseído en todo o en parte, cuando, una vez admitido, se actualice alguno de los siguientes supuestos:</w:t>
      </w:r>
    </w:p>
    <w:p w14:paraId="44247B91" w14:textId="77777777" w:rsidR="001827A2" w:rsidRPr="00945190" w:rsidRDefault="005448A4">
      <w:pPr>
        <w:pBdr>
          <w:top w:val="nil"/>
          <w:left w:val="nil"/>
          <w:bottom w:val="nil"/>
          <w:right w:val="nil"/>
          <w:between w:val="nil"/>
        </w:pBdr>
        <w:spacing w:before="240" w:line="276" w:lineRule="auto"/>
        <w:ind w:left="851" w:right="851"/>
        <w:jc w:val="both"/>
        <w:rPr>
          <w:rFonts w:ascii="Palatino Linotype" w:eastAsia="Palatino Linotype" w:hAnsi="Palatino Linotype" w:cs="Palatino Linotype"/>
          <w:b/>
          <w:i/>
          <w:sz w:val="22"/>
          <w:szCs w:val="22"/>
          <w:u w:val="single"/>
        </w:rPr>
      </w:pPr>
      <w:r w:rsidRPr="00945190">
        <w:rPr>
          <w:rFonts w:ascii="Palatino Linotype" w:eastAsia="Palatino Linotype" w:hAnsi="Palatino Linotype" w:cs="Palatino Linotype"/>
          <w:b/>
          <w:i/>
          <w:sz w:val="22"/>
          <w:szCs w:val="22"/>
        </w:rPr>
        <w:t>Artículo 139. El recurso de revisión sólo podrá ser sobreseído cuando:</w:t>
      </w:r>
      <w:r w:rsidRPr="00945190">
        <w:rPr>
          <w:rFonts w:ascii="Palatino Linotype" w:eastAsia="Palatino Linotype" w:hAnsi="Palatino Linotype" w:cs="Palatino Linotype"/>
          <w:b/>
          <w:i/>
          <w:sz w:val="22"/>
          <w:szCs w:val="22"/>
        </w:rPr>
        <w:br/>
      </w:r>
      <w:r w:rsidRPr="00945190">
        <w:rPr>
          <w:rFonts w:ascii="Palatino Linotype" w:eastAsia="Palatino Linotype" w:hAnsi="Palatino Linotype" w:cs="Palatino Linotype"/>
          <w:i/>
          <w:sz w:val="22"/>
          <w:szCs w:val="22"/>
        </w:rPr>
        <w:t xml:space="preserve"> </w:t>
      </w:r>
      <w:r w:rsidRPr="00945190">
        <w:rPr>
          <w:rFonts w:ascii="Palatino Linotype" w:eastAsia="Palatino Linotype" w:hAnsi="Palatino Linotype" w:cs="Palatino Linotype"/>
          <w:b/>
          <w:i/>
          <w:sz w:val="22"/>
          <w:szCs w:val="22"/>
          <w:u w:val="single"/>
        </w:rPr>
        <w:t>I. El recurrente se desista expresamente.</w:t>
      </w:r>
    </w:p>
    <w:p w14:paraId="46A53295" w14:textId="77777777" w:rsidR="001827A2" w:rsidRPr="00945190" w:rsidRDefault="005448A4">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945190">
        <w:rPr>
          <w:rFonts w:ascii="Palatino Linotype" w:eastAsia="Palatino Linotype" w:hAnsi="Palatino Linotype" w:cs="Palatino Linotype"/>
          <w:i/>
          <w:sz w:val="22"/>
          <w:szCs w:val="22"/>
        </w:rPr>
        <w:t>II. El recurrente fallezca.</w:t>
      </w:r>
    </w:p>
    <w:p w14:paraId="4A924DDA" w14:textId="77777777" w:rsidR="001827A2" w:rsidRPr="00945190" w:rsidRDefault="005448A4">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945190">
        <w:rPr>
          <w:rFonts w:ascii="Palatino Linotype" w:eastAsia="Palatino Linotype" w:hAnsi="Palatino Linotype" w:cs="Palatino Linotype"/>
          <w:i/>
          <w:sz w:val="22"/>
          <w:szCs w:val="22"/>
        </w:rPr>
        <w:t>III. Admitido el recurso de revisión, se actualice alguna causal de improcedencia en los términos de la presente Ley.</w:t>
      </w:r>
    </w:p>
    <w:p w14:paraId="69C18839" w14:textId="77777777" w:rsidR="001827A2" w:rsidRPr="00945190" w:rsidRDefault="005448A4">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945190">
        <w:rPr>
          <w:rFonts w:ascii="Palatino Linotype" w:eastAsia="Palatino Linotype" w:hAnsi="Palatino Linotype" w:cs="Palatino Linotype"/>
          <w:i/>
          <w:sz w:val="22"/>
          <w:szCs w:val="22"/>
        </w:rPr>
        <w:t>IV. El responsable modifique o revoque su respuesta de tal manera que el recurso de revisión quede sin materia.</w:t>
      </w:r>
    </w:p>
    <w:p w14:paraId="4093DF5A" w14:textId="77777777" w:rsidR="001827A2" w:rsidRPr="00945190" w:rsidRDefault="005448A4">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945190">
        <w:rPr>
          <w:rFonts w:ascii="Palatino Linotype" w:eastAsia="Palatino Linotype" w:hAnsi="Palatino Linotype" w:cs="Palatino Linotype"/>
          <w:i/>
          <w:sz w:val="22"/>
          <w:szCs w:val="22"/>
        </w:rPr>
        <w:t>V. Quede sin materia el recurso de revisión.</w:t>
      </w:r>
    </w:p>
    <w:p w14:paraId="03EC6813" w14:textId="77777777" w:rsidR="001827A2" w:rsidRPr="00945190" w:rsidRDefault="001827A2">
      <w:pPr>
        <w:pBdr>
          <w:top w:val="nil"/>
          <w:left w:val="nil"/>
          <w:bottom w:val="nil"/>
          <w:right w:val="nil"/>
          <w:between w:val="nil"/>
        </w:pBdr>
        <w:spacing w:line="276" w:lineRule="auto"/>
        <w:ind w:left="851" w:right="851"/>
        <w:jc w:val="both"/>
        <w:rPr>
          <w:rFonts w:ascii="Palatino Linotype" w:eastAsia="Palatino Linotype" w:hAnsi="Palatino Linotype" w:cs="Palatino Linotype"/>
          <w:i/>
        </w:rPr>
      </w:pPr>
    </w:p>
    <w:p w14:paraId="1F61555B" w14:textId="77777777" w:rsidR="001827A2" w:rsidRPr="00945190" w:rsidRDefault="005448A4">
      <w:pPr>
        <w:spacing w:line="360" w:lineRule="auto"/>
        <w:jc w:val="both"/>
        <w:rPr>
          <w:rFonts w:ascii="Palatino Linotype" w:eastAsia="Palatino Linotype" w:hAnsi="Palatino Linotype" w:cs="Palatino Linotype"/>
        </w:rPr>
      </w:pPr>
      <w:r w:rsidRPr="00945190">
        <w:rPr>
          <w:rFonts w:ascii="Palatino Linotype" w:eastAsia="Palatino Linotype" w:hAnsi="Palatino Linotype" w:cs="Palatino Linotype"/>
        </w:rPr>
        <w:t>En ese sentido, es susceptible de análisis la actualización del supuesto jurídico previsto en la fracción I, del artículo 139, de la ley en cita, mismo que dispone que el recurso de revisión será sobreseído cuando la parte</w:t>
      </w:r>
      <w:r w:rsidRPr="00945190">
        <w:rPr>
          <w:rFonts w:ascii="Palatino Linotype" w:eastAsia="Palatino Linotype" w:hAnsi="Palatino Linotype" w:cs="Palatino Linotype"/>
          <w:b/>
        </w:rPr>
        <w:t xml:space="preserve"> Recurrente se desista expresamente</w:t>
      </w:r>
      <w:r w:rsidRPr="00945190">
        <w:rPr>
          <w:rFonts w:ascii="Palatino Linotype" w:eastAsia="Palatino Linotype" w:hAnsi="Palatino Linotype" w:cs="Palatino Linotype"/>
        </w:rPr>
        <w:t xml:space="preserve">. </w:t>
      </w:r>
    </w:p>
    <w:p w14:paraId="74143D3A" w14:textId="77777777" w:rsidR="001827A2" w:rsidRPr="00945190" w:rsidRDefault="001827A2">
      <w:pPr>
        <w:spacing w:line="360" w:lineRule="auto"/>
        <w:jc w:val="both"/>
        <w:rPr>
          <w:rFonts w:ascii="Palatino Linotype" w:eastAsia="Palatino Linotype" w:hAnsi="Palatino Linotype" w:cs="Palatino Linotype"/>
        </w:rPr>
      </w:pPr>
    </w:p>
    <w:p w14:paraId="477DCA9D" w14:textId="77777777" w:rsidR="001827A2" w:rsidRPr="00945190" w:rsidRDefault="005448A4">
      <w:pPr>
        <w:spacing w:line="360" w:lineRule="auto"/>
        <w:jc w:val="both"/>
        <w:rPr>
          <w:rFonts w:ascii="Palatino Linotype" w:eastAsia="Palatino Linotype" w:hAnsi="Palatino Linotype" w:cs="Palatino Linotype"/>
        </w:rPr>
      </w:pPr>
      <w:r w:rsidRPr="00945190">
        <w:rPr>
          <w:rFonts w:ascii="Palatino Linotype" w:eastAsia="Palatino Linotype" w:hAnsi="Palatino Linotype" w:cs="Palatino Linotype"/>
        </w:rPr>
        <w:t>Ello, toda vez que la parte</w:t>
      </w:r>
      <w:r w:rsidRPr="00945190">
        <w:rPr>
          <w:rFonts w:ascii="Palatino Linotype" w:eastAsia="Palatino Linotype" w:hAnsi="Palatino Linotype" w:cs="Palatino Linotype"/>
          <w:b/>
        </w:rPr>
        <w:t xml:space="preserve"> Recurrente</w:t>
      </w:r>
      <w:r w:rsidRPr="00945190">
        <w:rPr>
          <w:rFonts w:ascii="Palatino Linotype" w:eastAsia="Palatino Linotype" w:hAnsi="Palatino Linotype" w:cs="Palatino Linotype"/>
        </w:rPr>
        <w:t xml:space="preserve"> el </w:t>
      </w:r>
      <w:r w:rsidRPr="00945190">
        <w:rPr>
          <w:rFonts w:ascii="Palatino Linotype" w:eastAsia="Palatino Linotype" w:hAnsi="Palatino Linotype" w:cs="Palatino Linotype"/>
          <w:b/>
        </w:rPr>
        <w:t>quince de agosto de dos mil veinticuatro</w:t>
      </w:r>
      <w:r w:rsidRPr="00945190">
        <w:rPr>
          <w:rFonts w:ascii="Palatino Linotype" w:eastAsia="Palatino Linotype" w:hAnsi="Palatino Linotype" w:cs="Palatino Linotype"/>
        </w:rPr>
        <w:t xml:space="preserve">, a través del SARCOEM, se desistió expresamente del presente medio de impugnación y; en consecuencia, se estima que se actualiza el supuesto previsto en </w:t>
      </w:r>
      <w:r w:rsidRPr="00945190">
        <w:rPr>
          <w:rFonts w:ascii="Palatino Linotype" w:eastAsia="Palatino Linotype" w:hAnsi="Palatino Linotype" w:cs="Palatino Linotype"/>
        </w:rPr>
        <w:lastRenderedPageBreak/>
        <w:t>el artículo 139, fracción I, de la Ley de Protección de Datos Personales en Posesión de Sujetos Obligados del Estado de México y Municipios.</w:t>
      </w:r>
    </w:p>
    <w:p w14:paraId="3FD2BC48" w14:textId="77777777" w:rsidR="001827A2" w:rsidRPr="00945190" w:rsidRDefault="001827A2">
      <w:pPr>
        <w:spacing w:line="360" w:lineRule="auto"/>
        <w:jc w:val="both"/>
        <w:rPr>
          <w:rFonts w:ascii="Palatino Linotype" w:eastAsia="Palatino Linotype" w:hAnsi="Palatino Linotype" w:cs="Palatino Linotype"/>
        </w:rPr>
      </w:pPr>
    </w:p>
    <w:p w14:paraId="128DE86E" w14:textId="77777777" w:rsidR="001827A2" w:rsidRPr="00945190" w:rsidRDefault="005448A4">
      <w:pPr>
        <w:spacing w:line="360" w:lineRule="auto"/>
        <w:jc w:val="both"/>
        <w:rPr>
          <w:rFonts w:ascii="Palatino Linotype" w:eastAsia="Palatino Linotype" w:hAnsi="Palatino Linotype" w:cs="Palatino Linotype"/>
        </w:rPr>
      </w:pPr>
      <w:r w:rsidRPr="00945190">
        <w:rPr>
          <w:rFonts w:ascii="Palatino Linotype" w:eastAsia="Palatino Linotype" w:hAnsi="Palatino Linotype" w:cs="Palatino Linotype"/>
        </w:rPr>
        <w:t>En ese tenor, resulta aplicable la Jurisprudencia número 1a./J. 65/2005, Semanario Judicial de la Federación y su Gaceta, Novena Época, Tomo XXII, julio de dos mil cinco, página ciento sesenta y uno, que establece lo siguiente:</w:t>
      </w:r>
    </w:p>
    <w:p w14:paraId="691A885E" w14:textId="77777777" w:rsidR="001827A2" w:rsidRPr="00945190" w:rsidRDefault="001827A2">
      <w:pPr>
        <w:spacing w:line="360" w:lineRule="auto"/>
        <w:jc w:val="both"/>
        <w:rPr>
          <w:rFonts w:ascii="Palatino Linotype" w:eastAsia="Palatino Linotype" w:hAnsi="Palatino Linotype" w:cs="Palatino Linotype"/>
        </w:rPr>
      </w:pPr>
    </w:p>
    <w:p w14:paraId="39EE7822" w14:textId="77777777" w:rsidR="001827A2" w:rsidRPr="00945190" w:rsidRDefault="005448A4">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945190">
        <w:rPr>
          <w:rFonts w:ascii="Palatino Linotype" w:eastAsia="Palatino Linotype" w:hAnsi="Palatino Linotype" w:cs="Palatino Linotype"/>
          <w:b/>
          <w:i/>
          <w:sz w:val="22"/>
          <w:szCs w:val="22"/>
        </w:rPr>
        <w:t xml:space="preserve">DESISTIMIENTO DE LA INSTANCIA. SURTE EFECTOS DESDE EL MOMENTO EN QUE SE PRESENTA EL ESCRITO CORRESPONDIENTE. </w:t>
      </w:r>
      <w:r w:rsidRPr="00945190">
        <w:rPr>
          <w:rFonts w:ascii="Palatino Linotype" w:eastAsia="Palatino Linotype" w:hAnsi="Palatino Linotype" w:cs="Palatino Linotype"/>
          <w:i/>
          <w:sz w:val="22"/>
          <w:szCs w:val="22"/>
        </w:rPr>
        <w:t>Los órganos jurisdiccionales tienen conocimiento de las pretensiones de las partes sólo a partir de que la promoción respectiva es presentada y, en tal virtud, en ese momento surge la obligación de atender la petición correspondiente.  Por ello, puede considerarse que las promociones de las partes surten efecto desde el momento en que se presentan y no hasta que son acordadas por el tribunal o hasta que se notifique a la contraparte el acuerdo respectivo.  De esta manera, cuando se presenta el escrito de desistimiento de la instancia, se hace saber al juzgador la intención del actor de destruir los efectos jurídicos generados con la demanda, y como el efecto que produce el desistimiento es que las cosas vuelvan al estado que tenían antes de su presentación, desde ese momento desaparece cualquier efecto jurídico que pudiera haberse generado con la demanda, esto es, todos los derechos y las obligaciones derivados de la manifestación de la voluntad de demandar se destruyen, como si nunca se hubiera presentado la demanda ni hubiera existido el juicio;  ello con independencia de que exija la ratificación de la mencionada promoción y ésta se haga con posterioridad, ya que en estos casos, por igualdad de razón, los efectos del desistimiento se retrotraen a la fecha de presentación del escrito ante la autoridad jurisdiccional.</w:t>
      </w:r>
    </w:p>
    <w:p w14:paraId="0C837F1B" w14:textId="77777777" w:rsidR="001827A2" w:rsidRPr="00945190" w:rsidRDefault="001827A2">
      <w:pPr>
        <w:pBdr>
          <w:top w:val="nil"/>
          <w:left w:val="nil"/>
          <w:bottom w:val="nil"/>
          <w:right w:val="nil"/>
          <w:between w:val="nil"/>
        </w:pBdr>
        <w:spacing w:line="360" w:lineRule="auto"/>
        <w:ind w:left="851" w:right="851"/>
        <w:jc w:val="both"/>
        <w:rPr>
          <w:rFonts w:ascii="Palatino Linotype" w:eastAsia="Palatino Linotype" w:hAnsi="Palatino Linotype" w:cs="Palatino Linotype"/>
        </w:rPr>
      </w:pPr>
    </w:p>
    <w:p w14:paraId="2BAFDE9D" w14:textId="77777777" w:rsidR="001827A2" w:rsidRPr="00945190" w:rsidRDefault="005448A4">
      <w:pPr>
        <w:pBdr>
          <w:top w:val="nil"/>
          <w:left w:val="nil"/>
          <w:bottom w:val="nil"/>
          <w:right w:val="nil"/>
          <w:between w:val="nil"/>
        </w:pBdr>
        <w:spacing w:before="240" w:after="240" w:line="360" w:lineRule="auto"/>
        <w:ind w:right="49"/>
        <w:jc w:val="both"/>
      </w:pPr>
      <w:r w:rsidRPr="00945190">
        <w:rPr>
          <w:rFonts w:ascii="Palatino Linotype" w:eastAsia="Palatino Linotype" w:hAnsi="Palatino Linotype" w:cs="Palatino Linotype"/>
        </w:rPr>
        <w:lastRenderedPageBreak/>
        <w:t xml:space="preserve">De esta forma, y atendiendo a que se ha declarado el sobreseimiento del presente medio de impugnación, este Organismo Garante se abstiene de analizar el  motivo de inconformidad que expresó la parte </w:t>
      </w:r>
      <w:r w:rsidRPr="00945190">
        <w:rPr>
          <w:rFonts w:ascii="Palatino Linotype" w:eastAsia="Palatino Linotype" w:hAnsi="Palatino Linotype" w:cs="Palatino Linotype"/>
          <w:b/>
        </w:rPr>
        <w:t>Recurrente</w:t>
      </w:r>
      <w:r w:rsidRPr="00945190">
        <w:rPr>
          <w:rFonts w:ascii="Palatino Linotype" w:eastAsia="Palatino Linotype" w:hAnsi="Palatino Linotype" w:cs="Palatino Linotype"/>
        </w:rPr>
        <w:t>, en atención a que el sobreseimiento impide el análisis de los motivos de inconformidad hechos valer en el recurso de revisión, discernimiento que encuentra apoyo en la Tesis de Jurisprudencia publicada en el Apéndice de 1995, Tomo III, Parte TCC, Octava Época, Instancia Tribunales Colegiados de Circuito, Materia Administrativa, página 566, registrada con el rubro: </w:t>
      </w:r>
    </w:p>
    <w:p w14:paraId="14FC0288" w14:textId="77777777" w:rsidR="001827A2" w:rsidRPr="00945190" w:rsidRDefault="005448A4">
      <w:pPr>
        <w:pBdr>
          <w:top w:val="nil"/>
          <w:left w:val="nil"/>
          <w:bottom w:val="nil"/>
          <w:right w:val="nil"/>
          <w:between w:val="nil"/>
        </w:pBdr>
        <w:spacing w:line="276" w:lineRule="auto"/>
        <w:ind w:left="851" w:right="851"/>
        <w:jc w:val="both"/>
      </w:pPr>
      <w:r w:rsidRPr="00945190">
        <w:rPr>
          <w:rFonts w:ascii="Palatino Linotype" w:eastAsia="Palatino Linotype" w:hAnsi="Palatino Linotype" w:cs="Palatino Linotype"/>
          <w:i/>
          <w:sz w:val="22"/>
          <w:szCs w:val="22"/>
        </w:rPr>
        <w:t>“</w:t>
      </w:r>
      <w:r w:rsidRPr="00945190">
        <w:rPr>
          <w:rFonts w:ascii="Palatino Linotype" w:eastAsia="Palatino Linotype" w:hAnsi="Palatino Linotype" w:cs="Palatino Linotype"/>
          <w:b/>
          <w:i/>
          <w:sz w:val="22"/>
          <w:szCs w:val="22"/>
        </w:rPr>
        <w:t>SOBRESEIMIENTO DEL JUICIO CONTENCIOSO-ADMINISTRATIVO, NO PERMITE ENTRAR AL ESTUDIO DE LAS CUESTIONES DE FONDO</w:t>
      </w:r>
      <w:r w:rsidRPr="00945190">
        <w:rPr>
          <w:rFonts w:ascii="Palatino Linotype" w:eastAsia="Palatino Linotype" w:hAnsi="Palatino Linotype" w:cs="Palatino Linotype"/>
          <w:i/>
          <w:sz w:val="22"/>
          <w:szCs w:val="22"/>
        </w:rPr>
        <w:t>.</w:t>
      </w:r>
    </w:p>
    <w:p w14:paraId="22F9D88D" w14:textId="77777777" w:rsidR="001827A2" w:rsidRPr="00945190" w:rsidRDefault="001827A2">
      <w:pPr>
        <w:spacing w:line="276" w:lineRule="auto"/>
        <w:ind w:right="851"/>
      </w:pPr>
    </w:p>
    <w:p w14:paraId="65F55517" w14:textId="77777777" w:rsidR="001827A2" w:rsidRPr="00945190" w:rsidRDefault="005448A4">
      <w:pPr>
        <w:pBdr>
          <w:top w:val="nil"/>
          <w:left w:val="nil"/>
          <w:bottom w:val="nil"/>
          <w:right w:val="nil"/>
          <w:between w:val="nil"/>
        </w:pBdr>
        <w:spacing w:line="276" w:lineRule="auto"/>
        <w:ind w:left="851" w:right="851"/>
        <w:jc w:val="both"/>
      </w:pPr>
      <w:r w:rsidRPr="00945190">
        <w:rPr>
          <w:rFonts w:ascii="Palatino Linotype" w:eastAsia="Palatino Linotype" w:hAnsi="Palatino Linotype" w:cs="Palatino Linotype"/>
          <w:i/>
          <w:sz w:val="22"/>
          <w:szCs w:val="22"/>
        </w:rPr>
        <w:t>No causa agravio la sentencia que no se ocupa de los conceptos de anulación tendientes a demostrar las causales de nulidad de que adolece la resolución impugnada, que constituye el problema de fondo, si se declara el sobreseimiento del juicio contencioso-administrativo.</w:t>
      </w:r>
    </w:p>
    <w:p w14:paraId="0FCE3238" w14:textId="77777777" w:rsidR="001827A2" w:rsidRPr="00945190" w:rsidRDefault="001827A2">
      <w:pPr>
        <w:spacing w:line="276" w:lineRule="auto"/>
        <w:ind w:right="851"/>
      </w:pPr>
    </w:p>
    <w:p w14:paraId="7469402B" w14:textId="77777777" w:rsidR="001827A2" w:rsidRPr="00945190" w:rsidRDefault="005448A4">
      <w:pPr>
        <w:pBdr>
          <w:top w:val="nil"/>
          <w:left w:val="nil"/>
          <w:bottom w:val="nil"/>
          <w:right w:val="nil"/>
          <w:between w:val="nil"/>
        </w:pBdr>
        <w:spacing w:line="276" w:lineRule="auto"/>
        <w:ind w:left="851" w:right="851"/>
        <w:jc w:val="both"/>
      </w:pPr>
      <w:r w:rsidRPr="00945190">
        <w:rPr>
          <w:rFonts w:ascii="Palatino Linotype" w:eastAsia="Palatino Linotype" w:hAnsi="Palatino Linotype" w:cs="Palatino Linotype"/>
          <w:i/>
          <w:sz w:val="22"/>
          <w:szCs w:val="22"/>
        </w:rPr>
        <w:t>SEGUNDO TRIBUNAL COLEGIADO DEL SEXTO CIRCUITO.</w:t>
      </w:r>
    </w:p>
    <w:p w14:paraId="04CFA9CF" w14:textId="77777777" w:rsidR="001827A2" w:rsidRPr="00945190" w:rsidRDefault="001827A2">
      <w:pPr>
        <w:spacing w:line="276" w:lineRule="auto"/>
        <w:ind w:right="851"/>
      </w:pPr>
    </w:p>
    <w:p w14:paraId="2DB22B2A" w14:textId="77777777" w:rsidR="001827A2" w:rsidRPr="00945190" w:rsidRDefault="005448A4">
      <w:pPr>
        <w:pBdr>
          <w:top w:val="nil"/>
          <w:left w:val="nil"/>
          <w:bottom w:val="nil"/>
          <w:right w:val="nil"/>
          <w:between w:val="nil"/>
        </w:pBdr>
        <w:spacing w:line="276" w:lineRule="auto"/>
        <w:ind w:left="851" w:right="851"/>
        <w:jc w:val="both"/>
      </w:pPr>
      <w:r w:rsidRPr="00945190">
        <w:rPr>
          <w:rFonts w:ascii="Palatino Linotype" w:eastAsia="Palatino Linotype" w:hAnsi="Palatino Linotype" w:cs="Palatino Linotype"/>
          <w:i/>
          <w:sz w:val="22"/>
          <w:szCs w:val="22"/>
        </w:rPr>
        <w:t>Octava Época:</w:t>
      </w:r>
    </w:p>
    <w:p w14:paraId="272EB03E" w14:textId="77777777" w:rsidR="001827A2" w:rsidRPr="00945190" w:rsidRDefault="005448A4">
      <w:pPr>
        <w:pBdr>
          <w:top w:val="nil"/>
          <w:left w:val="nil"/>
          <w:bottom w:val="nil"/>
          <w:right w:val="nil"/>
          <w:between w:val="nil"/>
        </w:pBdr>
        <w:spacing w:line="276" w:lineRule="auto"/>
        <w:ind w:left="851" w:right="851"/>
        <w:jc w:val="both"/>
      </w:pPr>
      <w:r w:rsidRPr="00945190">
        <w:rPr>
          <w:rFonts w:ascii="Palatino Linotype" w:eastAsia="Palatino Linotype" w:hAnsi="Palatino Linotype" w:cs="Palatino Linotype"/>
          <w:i/>
          <w:sz w:val="22"/>
          <w:szCs w:val="22"/>
        </w:rPr>
        <w:t>Amparo directo 412/90. Emilio Juárez Becerra. 23 de octubre de 1990. Unanimidad de votos.</w:t>
      </w:r>
    </w:p>
    <w:p w14:paraId="452C0706" w14:textId="77777777" w:rsidR="001827A2" w:rsidRPr="00945190" w:rsidRDefault="005448A4">
      <w:pPr>
        <w:pBdr>
          <w:top w:val="nil"/>
          <w:left w:val="nil"/>
          <w:bottom w:val="nil"/>
          <w:right w:val="nil"/>
          <w:between w:val="nil"/>
        </w:pBdr>
        <w:spacing w:line="276" w:lineRule="auto"/>
        <w:ind w:left="851" w:right="851"/>
        <w:jc w:val="both"/>
      </w:pPr>
      <w:r w:rsidRPr="00945190">
        <w:rPr>
          <w:rFonts w:ascii="Palatino Linotype" w:eastAsia="Palatino Linotype" w:hAnsi="Palatino Linotype" w:cs="Palatino Linotype"/>
          <w:i/>
          <w:sz w:val="22"/>
          <w:szCs w:val="22"/>
        </w:rPr>
        <w:t>Amparo directo 359/92. Grupo Naviero de Tuxpan, S. A. de C. V. 14 de octubre de 1992. Unanimidad de votos.</w:t>
      </w:r>
    </w:p>
    <w:p w14:paraId="45165C7A" w14:textId="77777777" w:rsidR="001827A2" w:rsidRPr="00945190" w:rsidRDefault="005448A4">
      <w:pPr>
        <w:pBdr>
          <w:top w:val="nil"/>
          <w:left w:val="nil"/>
          <w:bottom w:val="nil"/>
          <w:right w:val="nil"/>
          <w:between w:val="nil"/>
        </w:pBdr>
        <w:spacing w:line="276" w:lineRule="auto"/>
        <w:ind w:left="851" w:right="851"/>
        <w:jc w:val="both"/>
      </w:pPr>
      <w:r w:rsidRPr="00945190">
        <w:rPr>
          <w:rFonts w:ascii="Palatino Linotype" w:eastAsia="Palatino Linotype" w:hAnsi="Palatino Linotype" w:cs="Palatino Linotype"/>
          <w:i/>
          <w:sz w:val="22"/>
          <w:szCs w:val="22"/>
        </w:rPr>
        <w:t>Amparo directo 154/93. Antonio Lima Flores. 6 de mayo de 1993. Unanimidad de votos.</w:t>
      </w:r>
    </w:p>
    <w:p w14:paraId="05E6925C" w14:textId="77777777" w:rsidR="001827A2" w:rsidRPr="00945190" w:rsidRDefault="005448A4">
      <w:pPr>
        <w:pBdr>
          <w:top w:val="nil"/>
          <w:left w:val="nil"/>
          <w:bottom w:val="nil"/>
          <w:right w:val="nil"/>
          <w:between w:val="nil"/>
        </w:pBdr>
        <w:spacing w:line="276" w:lineRule="auto"/>
        <w:ind w:left="851" w:right="851"/>
        <w:jc w:val="both"/>
      </w:pPr>
      <w:r w:rsidRPr="00945190">
        <w:rPr>
          <w:rFonts w:ascii="Palatino Linotype" w:eastAsia="Palatino Linotype" w:hAnsi="Palatino Linotype" w:cs="Palatino Linotype"/>
          <w:i/>
          <w:sz w:val="22"/>
          <w:szCs w:val="22"/>
        </w:rPr>
        <w:t>Amparo directo 189/93. José Pedro Temolzin Brais. 6 de mayo de 1993. Unanimidad de votos.</w:t>
      </w:r>
    </w:p>
    <w:p w14:paraId="79898552" w14:textId="77777777" w:rsidR="001827A2" w:rsidRPr="00945190" w:rsidRDefault="005448A4">
      <w:pPr>
        <w:pBdr>
          <w:top w:val="nil"/>
          <w:left w:val="nil"/>
          <w:bottom w:val="nil"/>
          <w:right w:val="nil"/>
          <w:between w:val="nil"/>
        </w:pBdr>
        <w:spacing w:line="276" w:lineRule="auto"/>
        <w:ind w:left="851" w:right="851"/>
        <w:jc w:val="both"/>
      </w:pPr>
      <w:r w:rsidRPr="00945190">
        <w:rPr>
          <w:rFonts w:ascii="Palatino Linotype" w:eastAsia="Palatino Linotype" w:hAnsi="Palatino Linotype" w:cs="Palatino Linotype"/>
          <w:i/>
          <w:sz w:val="22"/>
          <w:szCs w:val="22"/>
        </w:rPr>
        <w:lastRenderedPageBreak/>
        <w:t>Amparo directo 349/93. José Jerónimo Cerezo Vélez. 29 de septiembre de 1993. Unanimidad de votos.</w:t>
      </w:r>
    </w:p>
    <w:p w14:paraId="2BCC99F2" w14:textId="77777777" w:rsidR="001827A2" w:rsidRPr="00945190" w:rsidRDefault="001827A2">
      <w:pPr>
        <w:spacing w:line="276" w:lineRule="auto"/>
        <w:ind w:right="851"/>
      </w:pPr>
    </w:p>
    <w:p w14:paraId="633A95D4" w14:textId="77777777" w:rsidR="001827A2" w:rsidRPr="00945190" w:rsidRDefault="005448A4">
      <w:pPr>
        <w:pBdr>
          <w:top w:val="nil"/>
          <w:left w:val="nil"/>
          <w:bottom w:val="nil"/>
          <w:right w:val="nil"/>
          <w:between w:val="nil"/>
        </w:pBdr>
        <w:spacing w:line="276" w:lineRule="auto"/>
        <w:ind w:left="851" w:right="851"/>
        <w:jc w:val="both"/>
      </w:pPr>
      <w:r w:rsidRPr="00945190">
        <w:rPr>
          <w:rFonts w:ascii="Palatino Linotype" w:eastAsia="Palatino Linotype" w:hAnsi="Palatino Linotype" w:cs="Palatino Linotype"/>
          <w:i/>
          <w:sz w:val="22"/>
          <w:szCs w:val="22"/>
        </w:rPr>
        <w:t>NOTA: </w:t>
      </w:r>
    </w:p>
    <w:p w14:paraId="5992D9B4" w14:textId="77777777" w:rsidR="001827A2" w:rsidRPr="00945190" w:rsidRDefault="005448A4">
      <w:pPr>
        <w:pBdr>
          <w:top w:val="nil"/>
          <w:left w:val="nil"/>
          <w:bottom w:val="nil"/>
          <w:right w:val="nil"/>
          <w:between w:val="nil"/>
        </w:pBdr>
        <w:spacing w:line="276" w:lineRule="auto"/>
        <w:ind w:left="851" w:right="851"/>
        <w:jc w:val="both"/>
      </w:pPr>
      <w:r w:rsidRPr="00945190">
        <w:rPr>
          <w:rFonts w:ascii="Palatino Linotype" w:eastAsia="Palatino Linotype" w:hAnsi="Palatino Linotype" w:cs="Palatino Linotype"/>
          <w:i/>
          <w:sz w:val="22"/>
          <w:szCs w:val="22"/>
        </w:rPr>
        <w:t>Tesis VI.2o.J/280, Gaceta número 77, pág. 77; véase ejecutoria en el Semanario Judicial de la Federación, tomo XIII-Mayo, pág. 348.”</w:t>
      </w:r>
    </w:p>
    <w:p w14:paraId="71B6B99C" w14:textId="77777777" w:rsidR="001827A2" w:rsidRPr="00945190" w:rsidRDefault="005448A4">
      <w:pPr>
        <w:spacing w:before="240" w:after="240" w:line="360" w:lineRule="auto"/>
        <w:jc w:val="both"/>
        <w:rPr>
          <w:rFonts w:ascii="Palatino Linotype" w:eastAsia="Palatino Linotype" w:hAnsi="Palatino Linotype" w:cs="Palatino Linotype"/>
        </w:rPr>
      </w:pPr>
      <w:r w:rsidRPr="00945190">
        <w:rPr>
          <w:rFonts w:ascii="Palatino Linotype" w:eastAsia="Palatino Linotype" w:hAnsi="Palatino Linotype" w:cs="Palatino Linotype"/>
        </w:rPr>
        <w:t>Conforme a lo citado se puede colegir que cuando la parte Recurrente</w:t>
      </w:r>
      <w:r w:rsidRPr="00945190">
        <w:rPr>
          <w:rFonts w:ascii="Palatino Linotype" w:eastAsia="Palatino Linotype" w:hAnsi="Palatino Linotype" w:cs="Palatino Linotype"/>
          <w:b/>
        </w:rPr>
        <w:t xml:space="preserve"> </w:t>
      </w:r>
      <w:r w:rsidRPr="00945190">
        <w:rPr>
          <w:rFonts w:ascii="Palatino Linotype" w:eastAsia="Palatino Linotype" w:hAnsi="Palatino Linotype" w:cs="Palatino Linotype"/>
        </w:rPr>
        <w:t>manifieste el desistimiento, le hace saber a este Instituto la intención de cesar los efectos jurídicos generados con el Recurso de Revisión, situación que genera el efecto de que las cosas vuelvan al estado que tenía la solicitud de información antes de la presentación del medio de impugnación y por lo cual, desaparece cualquier efecto jurídico que pudiera haberse generado con el medio de impugnación, esto es, todos los derechos y obligaciones de las partes.</w:t>
      </w:r>
    </w:p>
    <w:p w14:paraId="09FB931B" w14:textId="77777777" w:rsidR="001827A2" w:rsidRPr="00945190" w:rsidRDefault="005448A4">
      <w:pPr>
        <w:spacing w:before="240" w:after="240" w:line="360" w:lineRule="auto"/>
        <w:jc w:val="both"/>
        <w:rPr>
          <w:rFonts w:ascii="Palatino Linotype" w:eastAsia="Palatino Linotype" w:hAnsi="Palatino Linotype" w:cs="Palatino Linotype"/>
        </w:rPr>
      </w:pPr>
      <w:r w:rsidRPr="00945190">
        <w:rPr>
          <w:rFonts w:ascii="Palatino Linotype" w:eastAsia="Palatino Linotype" w:hAnsi="Palatino Linotype" w:cs="Palatino Linotype"/>
        </w:rPr>
        <w:t xml:space="preserve">En ese sentido, toda vez que este Instituto constató que la parte </w:t>
      </w:r>
      <w:r w:rsidRPr="00945190">
        <w:rPr>
          <w:rFonts w:ascii="Palatino Linotype" w:eastAsia="Palatino Linotype" w:hAnsi="Palatino Linotype" w:cs="Palatino Linotype"/>
          <w:b/>
        </w:rPr>
        <w:t>Recurrente</w:t>
      </w:r>
      <w:r w:rsidRPr="00945190">
        <w:rPr>
          <w:rFonts w:ascii="Palatino Linotype" w:eastAsia="Palatino Linotype" w:hAnsi="Palatino Linotype" w:cs="Palatino Linotype"/>
        </w:rPr>
        <w:t xml:space="preserve"> se desistió por la vía idónea para realizar dicha acción, a saber, por el SARCOEM, resulta procedente </w:t>
      </w:r>
      <w:r w:rsidRPr="00945190">
        <w:rPr>
          <w:rFonts w:ascii="Palatino Linotype" w:eastAsia="Palatino Linotype" w:hAnsi="Palatino Linotype" w:cs="Palatino Linotype"/>
          <w:b/>
        </w:rPr>
        <w:t xml:space="preserve">sobreseer </w:t>
      </w:r>
      <w:r w:rsidRPr="00945190">
        <w:rPr>
          <w:rFonts w:ascii="Palatino Linotype" w:eastAsia="Palatino Linotype" w:hAnsi="Palatino Linotype" w:cs="Palatino Linotype"/>
        </w:rPr>
        <w:t xml:space="preserve">el Recurso de Revisión con número </w:t>
      </w:r>
      <w:r w:rsidRPr="00945190">
        <w:rPr>
          <w:rFonts w:ascii="Palatino Linotype" w:eastAsia="Palatino Linotype" w:hAnsi="Palatino Linotype" w:cs="Palatino Linotype"/>
          <w:b/>
        </w:rPr>
        <w:t xml:space="preserve">04374/INFOEM/AD/RR/2024, </w:t>
      </w:r>
      <w:r w:rsidRPr="00945190">
        <w:rPr>
          <w:rFonts w:ascii="Palatino Linotype" w:eastAsia="Palatino Linotype" w:hAnsi="Palatino Linotype" w:cs="Palatino Linotype"/>
        </w:rPr>
        <w:t>al actualizarse el supuesto previsto en el artículo 139 fracción I, de la Ley de Protección de Datos Personales en Posesión de Sujetos Obligados del Estado de México y Municipios, en relación con el 186, fracción I de ese ordenamiento legal.</w:t>
      </w:r>
    </w:p>
    <w:p w14:paraId="134728FC" w14:textId="77777777" w:rsidR="001827A2" w:rsidRPr="00945190" w:rsidRDefault="005448A4">
      <w:pPr>
        <w:pBdr>
          <w:top w:val="nil"/>
          <w:left w:val="nil"/>
          <w:bottom w:val="nil"/>
          <w:right w:val="nil"/>
          <w:between w:val="nil"/>
        </w:pBdr>
        <w:spacing w:before="280" w:after="280" w:line="360" w:lineRule="auto"/>
        <w:ind w:right="49"/>
        <w:jc w:val="both"/>
      </w:pPr>
      <w:r w:rsidRPr="00945190">
        <w:rPr>
          <w:rFonts w:ascii="Palatino Linotype" w:eastAsia="Palatino Linotype" w:hAnsi="Palatino Linotype" w:cs="Palatino Linotype"/>
        </w:rPr>
        <w:t xml:space="preserve">Así, con fundamento en lo prescrito en los artículos 5 párrafos trigésimo segundo, trigésimo tercero y trigésimo cuarto de la Constitución Política del Estado Libre y Soberano de México; 2, fracción II; 29, 36 fracciones I y II; 176, 178, 179, 181 y 185 de </w:t>
      </w:r>
      <w:r w:rsidRPr="00945190">
        <w:rPr>
          <w:rFonts w:ascii="Palatino Linotype" w:eastAsia="Palatino Linotype" w:hAnsi="Palatino Linotype" w:cs="Palatino Linotype"/>
        </w:rPr>
        <w:lastRenderedPageBreak/>
        <w:t>la Ley de Transparencia y Acceso a la Información Pública del Estado de México y Municipios, de aplicación supletoria, y 137 fracción I de la Ley de Protección de Datos Personales en Posesión de Sujetos Obligados del Estado de México y Municipios este Pleno:</w:t>
      </w:r>
    </w:p>
    <w:p w14:paraId="2BFC0B8A" w14:textId="77777777" w:rsidR="001827A2" w:rsidRPr="00945190" w:rsidRDefault="005448A4">
      <w:pPr>
        <w:pBdr>
          <w:top w:val="nil"/>
          <w:left w:val="nil"/>
          <w:bottom w:val="nil"/>
          <w:right w:val="nil"/>
          <w:between w:val="nil"/>
        </w:pBdr>
        <w:spacing w:line="360" w:lineRule="auto"/>
        <w:ind w:left="1080"/>
        <w:jc w:val="center"/>
        <w:rPr>
          <w:rFonts w:ascii="Palatino Linotype" w:eastAsia="Palatino Linotype" w:hAnsi="Palatino Linotype" w:cs="Palatino Linotype"/>
          <w:b/>
        </w:rPr>
      </w:pPr>
      <w:r w:rsidRPr="00945190">
        <w:rPr>
          <w:rFonts w:ascii="Palatino Linotype" w:eastAsia="Palatino Linotype" w:hAnsi="Palatino Linotype" w:cs="Palatino Linotype"/>
          <w:b/>
        </w:rPr>
        <w:t>R E S U E L V E:</w:t>
      </w:r>
    </w:p>
    <w:p w14:paraId="7F536540" w14:textId="77777777" w:rsidR="001827A2" w:rsidRPr="00945190" w:rsidRDefault="001827A2">
      <w:pPr>
        <w:pBdr>
          <w:top w:val="nil"/>
          <w:left w:val="nil"/>
          <w:bottom w:val="nil"/>
          <w:right w:val="nil"/>
          <w:between w:val="nil"/>
        </w:pBdr>
        <w:spacing w:line="360" w:lineRule="auto"/>
        <w:ind w:left="1080"/>
        <w:jc w:val="center"/>
        <w:rPr>
          <w:rFonts w:ascii="Palatino Linotype" w:eastAsia="Palatino Linotype" w:hAnsi="Palatino Linotype" w:cs="Palatino Linotype"/>
          <w:b/>
        </w:rPr>
      </w:pPr>
    </w:p>
    <w:p w14:paraId="3D604A53" w14:textId="77777777" w:rsidR="001827A2" w:rsidRPr="00945190" w:rsidRDefault="005448A4">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b/>
        </w:rPr>
      </w:pPr>
      <w:r w:rsidRPr="00945190">
        <w:rPr>
          <w:rFonts w:ascii="Palatino Linotype" w:eastAsia="Palatino Linotype" w:hAnsi="Palatino Linotype" w:cs="Palatino Linotype"/>
          <w:b/>
        </w:rPr>
        <w:t xml:space="preserve">PRIMERO. </w:t>
      </w:r>
      <w:r w:rsidRPr="00945190">
        <w:rPr>
          <w:rFonts w:ascii="Palatino Linotype" w:eastAsia="Palatino Linotype" w:hAnsi="Palatino Linotype" w:cs="Palatino Linotype"/>
        </w:rPr>
        <w:t>Se</w:t>
      </w:r>
      <w:r w:rsidRPr="00945190">
        <w:rPr>
          <w:rFonts w:ascii="Palatino Linotype" w:eastAsia="Palatino Linotype" w:hAnsi="Palatino Linotype" w:cs="Palatino Linotype"/>
          <w:b/>
        </w:rPr>
        <w:t xml:space="preserve"> sobresee </w:t>
      </w:r>
      <w:r w:rsidRPr="00945190">
        <w:rPr>
          <w:rFonts w:ascii="Palatino Linotype" w:eastAsia="Palatino Linotype" w:hAnsi="Palatino Linotype" w:cs="Palatino Linotype"/>
        </w:rPr>
        <w:t xml:space="preserve">el recurso de revisión número </w:t>
      </w:r>
      <w:r w:rsidRPr="00945190">
        <w:rPr>
          <w:rFonts w:ascii="Palatino Linotype" w:eastAsia="Palatino Linotype" w:hAnsi="Palatino Linotype" w:cs="Palatino Linotype"/>
          <w:b/>
        </w:rPr>
        <w:t>04374/INFOEM/AD/RR/2024</w:t>
      </w:r>
      <w:r w:rsidRPr="00945190">
        <w:rPr>
          <w:rFonts w:ascii="Palatino Linotype" w:eastAsia="Palatino Linotype" w:hAnsi="Palatino Linotype" w:cs="Palatino Linotype"/>
        </w:rPr>
        <w:t>,</w:t>
      </w:r>
      <w:r w:rsidRPr="00945190">
        <w:rPr>
          <w:rFonts w:ascii="Palatino Linotype" w:eastAsia="Palatino Linotype" w:hAnsi="Palatino Linotype" w:cs="Palatino Linotype"/>
          <w:b/>
        </w:rPr>
        <w:t xml:space="preserve"> </w:t>
      </w:r>
      <w:r w:rsidRPr="00945190">
        <w:rPr>
          <w:rFonts w:ascii="Palatino Linotype" w:eastAsia="Palatino Linotype" w:hAnsi="Palatino Linotype" w:cs="Palatino Linotype"/>
        </w:rPr>
        <w:t>en términos del Considerando Tercero de la presente resolución, al actualizarse la fracción I del artículo 139 de la Ley de Protección de Datos Personales en Posesión de Sujetos Obligados del Estado de México y Municipios por haberse desistido expresamente la parte</w:t>
      </w:r>
      <w:r w:rsidRPr="00945190">
        <w:rPr>
          <w:rFonts w:ascii="Palatino Linotype" w:eastAsia="Palatino Linotype" w:hAnsi="Palatino Linotype" w:cs="Palatino Linotype"/>
          <w:b/>
        </w:rPr>
        <w:t xml:space="preserve"> Recurrente.</w:t>
      </w:r>
    </w:p>
    <w:p w14:paraId="32103895" w14:textId="77777777" w:rsidR="001827A2" w:rsidRPr="00945190" w:rsidRDefault="001827A2">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b/>
        </w:rPr>
      </w:pPr>
    </w:p>
    <w:p w14:paraId="33576B38" w14:textId="77777777" w:rsidR="001827A2" w:rsidRPr="00945190" w:rsidRDefault="005448A4">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r w:rsidRPr="00945190">
        <w:rPr>
          <w:rFonts w:ascii="Palatino Linotype" w:eastAsia="Palatino Linotype" w:hAnsi="Palatino Linotype" w:cs="Palatino Linotype"/>
          <w:b/>
        </w:rPr>
        <w:t xml:space="preserve">SEGUNDO. Notifíquese, </w:t>
      </w:r>
      <w:r w:rsidRPr="00945190">
        <w:rPr>
          <w:rFonts w:ascii="Palatino Linotype" w:eastAsia="Palatino Linotype" w:hAnsi="Palatino Linotype" w:cs="Palatino Linotype"/>
        </w:rPr>
        <w:t xml:space="preserve">vía </w:t>
      </w:r>
      <w:r w:rsidRPr="00945190">
        <w:rPr>
          <w:rFonts w:ascii="Palatino Linotype" w:eastAsia="Palatino Linotype" w:hAnsi="Palatino Linotype" w:cs="Palatino Linotype"/>
          <w:b/>
        </w:rPr>
        <w:t xml:space="preserve">SARCOEM, </w:t>
      </w:r>
      <w:r w:rsidRPr="00945190">
        <w:rPr>
          <w:rFonts w:ascii="Palatino Linotype" w:eastAsia="Palatino Linotype" w:hAnsi="Palatino Linotype" w:cs="Palatino Linotype"/>
        </w:rPr>
        <w:t>la presente resolución a la Persona Titular de la Unidad de Transparencia del</w:t>
      </w:r>
      <w:r w:rsidRPr="00945190">
        <w:rPr>
          <w:rFonts w:ascii="Palatino Linotype" w:eastAsia="Palatino Linotype" w:hAnsi="Palatino Linotype" w:cs="Palatino Linotype"/>
          <w:b/>
        </w:rPr>
        <w:t xml:space="preserve"> Sujeto Obligado, </w:t>
      </w:r>
      <w:r w:rsidRPr="00945190">
        <w:rPr>
          <w:rFonts w:ascii="Palatino Linotype" w:eastAsia="Palatino Linotype" w:hAnsi="Palatino Linotype" w:cs="Palatino Linotype"/>
        </w:rPr>
        <w:t>para su conocimiento.</w:t>
      </w:r>
    </w:p>
    <w:p w14:paraId="3BB91AEF" w14:textId="77777777" w:rsidR="001827A2" w:rsidRPr="00945190" w:rsidRDefault="001827A2">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b/>
        </w:rPr>
      </w:pPr>
    </w:p>
    <w:p w14:paraId="474B29A0" w14:textId="4E0909FA" w:rsidR="001827A2" w:rsidRPr="00945190" w:rsidRDefault="005448A4">
      <w:pPr>
        <w:spacing w:line="360" w:lineRule="auto"/>
        <w:jc w:val="both"/>
        <w:rPr>
          <w:rFonts w:ascii="Palatino Linotype" w:eastAsia="Palatino Linotype" w:hAnsi="Palatino Linotype" w:cs="Palatino Linotype"/>
        </w:rPr>
      </w:pPr>
      <w:r w:rsidRPr="00945190">
        <w:rPr>
          <w:rFonts w:ascii="Palatino Linotype" w:eastAsia="Palatino Linotype" w:hAnsi="Palatino Linotype" w:cs="Palatino Linotype"/>
          <w:b/>
        </w:rPr>
        <w:t xml:space="preserve">TERCERO. Notifíquese, </w:t>
      </w:r>
      <w:r w:rsidRPr="00945190">
        <w:rPr>
          <w:rFonts w:ascii="Palatino Linotype" w:eastAsia="Palatino Linotype" w:hAnsi="Palatino Linotype" w:cs="Palatino Linotype"/>
        </w:rPr>
        <w:t xml:space="preserve">vía </w:t>
      </w:r>
      <w:r w:rsidRPr="00945190">
        <w:rPr>
          <w:rFonts w:ascii="Palatino Linotype" w:eastAsia="Palatino Linotype" w:hAnsi="Palatino Linotype" w:cs="Palatino Linotype"/>
          <w:b/>
        </w:rPr>
        <w:t>SARCOEM</w:t>
      </w:r>
      <w:r w:rsidRPr="00945190">
        <w:rPr>
          <w:rFonts w:ascii="Palatino Linotype" w:eastAsia="Palatino Linotype" w:hAnsi="Palatino Linotype" w:cs="Palatino Linotype"/>
        </w:rPr>
        <w:t>, a</w:t>
      </w:r>
      <w:r w:rsidRPr="00945190">
        <w:rPr>
          <w:rFonts w:ascii="Palatino Linotype" w:eastAsia="Palatino Linotype" w:hAnsi="Palatino Linotype" w:cs="Palatino Linotype"/>
          <w:b/>
        </w:rPr>
        <w:t xml:space="preserve"> </w:t>
      </w:r>
      <w:r w:rsidRPr="00945190">
        <w:rPr>
          <w:rFonts w:ascii="Palatino Linotype" w:eastAsia="Palatino Linotype" w:hAnsi="Palatino Linotype" w:cs="Palatino Linotype"/>
        </w:rPr>
        <w:t>la parte</w:t>
      </w:r>
      <w:r w:rsidRPr="00945190">
        <w:rPr>
          <w:rFonts w:ascii="Palatino Linotype" w:eastAsia="Palatino Linotype" w:hAnsi="Palatino Linotype" w:cs="Palatino Linotype"/>
          <w:b/>
        </w:rPr>
        <w:t xml:space="preserve"> Recurrente</w:t>
      </w:r>
      <w:r w:rsidRPr="00945190">
        <w:rPr>
          <w:rFonts w:ascii="Palatino Linotype" w:eastAsia="Palatino Linotype" w:hAnsi="Palatino Linotype" w:cs="Palatino Linotype"/>
        </w:rPr>
        <w:t xml:space="preserve"> la presente resolución, así como, que de conformidad con lo establecido en el artículo 142 de la Ley de Protección de Datos Personales en Posesión de Sujetos Obligados del Estado de México y Municipios, podrá impugnarla vía el Juicio de Amparo en los términos de las leyes aplicables. </w:t>
      </w:r>
    </w:p>
    <w:p w14:paraId="4BD09655" w14:textId="77777777" w:rsidR="001D3A1C" w:rsidRPr="00945190" w:rsidRDefault="001D3A1C">
      <w:pPr>
        <w:spacing w:line="360" w:lineRule="auto"/>
        <w:jc w:val="both"/>
        <w:rPr>
          <w:rFonts w:ascii="Palatino Linotype" w:eastAsia="Palatino Linotype" w:hAnsi="Palatino Linotype" w:cs="Palatino Linotype"/>
        </w:rPr>
      </w:pPr>
    </w:p>
    <w:p w14:paraId="2988C10F" w14:textId="77777777" w:rsidR="001827A2" w:rsidRPr="00945190" w:rsidRDefault="005448A4">
      <w:pPr>
        <w:spacing w:before="240" w:after="240" w:line="360" w:lineRule="auto"/>
        <w:ind w:right="51"/>
        <w:jc w:val="both"/>
        <w:rPr>
          <w:rFonts w:ascii="Palatino Linotype" w:eastAsia="Palatino Linotype" w:hAnsi="Palatino Linotype" w:cs="Palatino Linotype"/>
        </w:rPr>
      </w:pPr>
      <w:r w:rsidRPr="00945190">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w:t>
      </w:r>
      <w:r w:rsidRPr="00945190">
        <w:t xml:space="preserve"> </w:t>
      </w:r>
      <w:r w:rsidRPr="00945190">
        <w:rPr>
          <w:rFonts w:ascii="Palatino Linotype" w:eastAsia="Palatino Linotype" w:hAnsi="Palatino Linotype" w:cs="Palatino Linotype"/>
        </w:rPr>
        <w:t>VEINTIOCHO DE AGOSTO DE DOS MIL VEINTICUATRO, ANTE EL SECRETARIO TÉCNICO DEL PLENO ALEXIS TAPIA RAMÍREZ.</w:t>
      </w:r>
    </w:p>
    <w:p w14:paraId="7E631F6E" w14:textId="77777777" w:rsidR="001827A2" w:rsidRPr="00945190" w:rsidRDefault="001827A2">
      <w:pPr>
        <w:spacing w:before="240" w:after="240" w:line="360" w:lineRule="auto"/>
        <w:jc w:val="both"/>
        <w:rPr>
          <w:rFonts w:ascii="Palatino Linotype" w:eastAsia="Palatino Linotype" w:hAnsi="Palatino Linotype" w:cs="Palatino Linotype"/>
        </w:rPr>
      </w:pPr>
    </w:p>
    <w:p w14:paraId="3BB9CE00" w14:textId="77777777" w:rsidR="001827A2" w:rsidRPr="00945190" w:rsidRDefault="001827A2">
      <w:pPr>
        <w:spacing w:line="360" w:lineRule="auto"/>
        <w:jc w:val="both"/>
        <w:rPr>
          <w:rFonts w:ascii="Palatino Linotype" w:eastAsia="Palatino Linotype" w:hAnsi="Palatino Linotype" w:cs="Palatino Linotype"/>
        </w:rPr>
      </w:pPr>
      <w:bookmarkStart w:id="5" w:name="_heading=h.1t3h5sf" w:colFirst="0" w:colLast="0"/>
      <w:bookmarkEnd w:id="5"/>
    </w:p>
    <w:p w14:paraId="6220A665" w14:textId="77777777" w:rsidR="001827A2" w:rsidRPr="00945190" w:rsidRDefault="001827A2">
      <w:pPr>
        <w:spacing w:line="360" w:lineRule="auto"/>
        <w:jc w:val="both"/>
        <w:rPr>
          <w:rFonts w:ascii="Palatino Linotype" w:eastAsia="Palatino Linotype" w:hAnsi="Palatino Linotype" w:cs="Palatino Linotype"/>
        </w:rPr>
      </w:pPr>
    </w:p>
    <w:p w14:paraId="199C6D13" w14:textId="77777777" w:rsidR="001827A2" w:rsidRPr="00945190" w:rsidRDefault="001827A2">
      <w:pPr>
        <w:spacing w:line="360" w:lineRule="auto"/>
        <w:jc w:val="both"/>
        <w:rPr>
          <w:rFonts w:ascii="Palatino Linotype" w:eastAsia="Palatino Linotype" w:hAnsi="Palatino Linotype" w:cs="Palatino Linotype"/>
        </w:rPr>
      </w:pPr>
    </w:p>
    <w:p w14:paraId="21113976" w14:textId="77777777" w:rsidR="001827A2" w:rsidRPr="00945190" w:rsidRDefault="001827A2">
      <w:pPr>
        <w:spacing w:line="360" w:lineRule="auto"/>
        <w:jc w:val="both"/>
        <w:rPr>
          <w:rFonts w:ascii="Palatino Linotype" w:eastAsia="Palatino Linotype" w:hAnsi="Palatino Linotype" w:cs="Palatino Linotype"/>
        </w:rPr>
      </w:pPr>
    </w:p>
    <w:p w14:paraId="2CD62941" w14:textId="77777777" w:rsidR="001827A2" w:rsidRPr="00945190" w:rsidRDefault="001827A2">
      <w:pPr>
        <w:spacing w:line="360" w:lineRule="auto"/>
        <w:jc w:val="both"/>
        <w:rPr>
          <w:rFonts w:ascii="Palatino Linotype" w:eastAsia="Palatino Linotype" w:hAnsi="Palatino Linotype" w:cs="Palatino Linotype"/>
        </w:rPr>
      </w:pPr>
    </w:p>
    <w:p w14:paraId="2EF95DBC" w14:textId="77777777" w:rsidR="001827A2" w:rsidRPr="00945190" w:rsidRDefault="001827A2">
      <w:pPr>
        <w:spacing w:line="360" w:lineRule="auto"/>
        <w:jc w:val="both"/>
        <w:rPr>
          <w:rFonts w:ascii="Palatino Linotype" w:eastAsia="Palatino Linotype" w:hAnsi="Palatino Linotype" w:cs="Palatino Linotype"/>
        </w:rPr>
      </w:pPr>
    </w:p>
    <w:p w14:paraId="2F8DB4D6" w14:textId="77777777" w:rsidR="001827A2" w:rsidRPr="00945190" w:rsidRDefault="001827A2">
      <w:pPr>
        <w:spacing w:line="360" w:lineRule="auto"/>
        <w:jc w:val="both"/>
        <w:rPr>
          <w:rFonts w:ascii="Palatino Linotype" w:eastAsia="Palatino Linotype" w:hAnsi="Palatino Linotype" w:cs="Palatino Linotype"/>
        </w:rPr>
      </w:pPr>
    </w:p>
    <w:p w14:paraId="6A5F50C7" w14:textId="77777777" w:rsidR="001827A2" w:rsidRPr="00945190" w:rsidRDefault="001827A2">
      <w:pPr>
        <w:spacing w:line="360" w:lineRule="auto"/>
        <w:jc w:val="both"/>
        <w:rPr>
          <w:rFonts w:ascii="Palatino Linotype" w:eastAsia="Palatino Linotype" w:hAnsi="Palatino Linotype" w:cs="Palatino Linotype"/>
        </w:rPr>
      </w:pPr>
    </w:p>
    <w:p w14:paraId="65AAD6BB" w14:textId="77777777" w:rsidR="001827A2" w:rsidRPr="00945190" w:rsidRDefault="001827A2">
      <w:pPr>
        <w:spacing w:line="360" w:lineRule="auto"/>
        <w:jc w:val="both"/>
        <w:rPr>
          <w:rFonts w:ascii="Palatino Linotype" w:eastAsia="Palatino Linotype" w:hAnsi="Palatino Linotype" w:cs="Palatino Linotype"/>
        </w:rPr>
      </w:pPr>
    </w:p>
    <w:p w14:paraId="65FCA81C" w14:textId="77777777" w:rsidR="001827A2" w:rsidRPr="00945190" w:rsidRDefault="001827A2">
      <w:pPr>
        <w:spacing w:line="360" w:lineRule="auto"/>
        <w:jc w:val="both"/>
        <w:rPr>
          <w:rFonts w:ascii="Palatino Linotype" w:eastAsia="Palatino Linotype" w:hAnsi="Palatino Linotype" w:cs="Palatino Linotype"/>
        </w:rPr>
      </w:pPr>
    </w:p>
    <w:p w14:paraId="28CA34C2" w14:textId="77777777" w:rsidR="001827A2" w:rsidRPr="00945190" w:rsidRDefault="001827A2">
      <w:pPr>
        <w:spacing w:line="360" w:lineRule="auto"/>
        <w:jc w:val="both"/>
        <w:rPr>
          <w:rFonts w:ascii="Palatino Linotype" w:eastAsia="Palatino Linotype" w:hAnsi="Palatino Linotype" w:cs="Palatino Linotype"/>
        </w:rPr>
      </w:pPr>
    </w:p>
    <w:p w14:paraId="7056B03E" w14:textId="77777777" w:rsidR="001827A2" w:rsidRPr="00945190" w:rsidRDefault="001827A2">
      <w:pPr>
        <w:spacing w:line="360" w:lineRule="auto"/>
        <w:jc w:val="both"/>
        <w:rPr>
          <w:rFonts w:ascii="Palatino Linotype" w:eastAsia="Palatino Linotype" w:hAnsi="Palatino Linotype" w:cs="Palatino Linotype"/>
        </w:rPr>
      </w:pPr>
    </w:p>
    <w:p w14:paraId="48B43C73" w14:textId="77777777" w:rsidR="001827A2" w:rsidRPr="00945190" w:rsidRDefault="001827A2">
      <w:pPr>
        <w:spacing w:line="360" w:lineRule="auto"/>
        <w:jc w:val="both"/>
        <w:rPr>
          <w:rFonts w:ascii="Palatino Linotype" w:eastAsia="Palatino Linotype" w:hAnsi="Palatino Linotype" w:cs="Palatino Linotype"/>
        </w:rPr>
      </w:pPr>
    </w:p>
    <w:p w14:paraId="457FE06B" w14:textId="77777777" w:rsidR="001827A2" w:rsidRPr="00945190" w:rsidRDefault="001827A2">
      <w:pPr>
        <w:spacing w:line="360" w:lineRule="auto"/>
        <w:jc w:val="both"/>
        <w:rPr>
          <w:rFonts w:ascii="Palatino Linotype" w:eastAsia="Palatino Linotype" w:hAnsi="Palatino Linotype" w:cs="Palatino Linotype"/>
        </w:rPr>
      </w:pPr>
    </w:p>
    <w:p w14:paraId="55D13E23" w14:textId="77777777" w:rsidR="001827A2" w:rsidRPr="00945190" w:rsidRDefault="001827A2">
      <w:pPr>
        <w:spacing w:line="360" w:lineRule="auto"/>
        <w:jc w:val="both"/>
        <w:rPr>
          <w:rFonts w:ascii="Palatino Linotype" w:eastAsia="Palatino Linotype" w:hAnsi="Palatino Linotype" w:cs="Palatino Linotype"/>
        </w:rPr>
      </w:pPr>
    </w:p>
    <w:p w14:paraId="5749B9AD" w14:textId="77777777" w:rsidR="001827A2" w:rsidRPr="00945190" w:rsidRDefault="001827A2">
      <w:pPr>
        <w:spacing w:line="360" w:lineRule="auto"/>
        <w:jc w:val="both"/>
        <w:rPr>
          <w:rFonts w:ascii="Palatino Linotype" w:eastAsia="Palatino Linotype" w:hAnsi="Palatino Linotype" w:cs="Palatino Linotype"/>
        </w:rPr>
      </w:pPr>
    </w:p>
    <w:p w14:paraId="42651071" w14:textId="77777777" w:rsidR="001827A2" w:rsidRPr="00945190" w:rsidRDefault="001827A2">
      <w:pPr>
        <w:spacing w:line="360" w:lineRule="auto"/>
        <w:jc w:val="both"/>
        <w:rPr>
          <w:rFonts w:ascii="Palatino Linotype" w:eastAsia="Palatino Linotype" w:hAnsi="Palatino Linotype" w:cs="Palatino Linotype"/>
        </w:rPr>
      </w:pPr>
    </w:p>
    <w:p w14:paraId="3A349CC9" w14:textId="77777777" w:rsidR="001827A2" w:rsidRPr="00945190" w:rsidRDefault="001827A2">
      <w:pPr>
        <w:spacing w:line="360" w:lineRule="auto"/>
        <w:jc w:val="both"/>
        <w:rPr>
          <w:rFonts w:ascii="Palatino Linotype" w:eastAsia="Palatino Linotype" w:hAnsi="Palatino Linotype" w:cs="Palatino Linotype"/>
        </w:rPr>
      </w:pPr>
    </w:p>
    <w:p w14:paraId="0F6FADC7" w14:textId="77777777" w:rsidR="001827A2" w:rsidRPr="00945190" w:rsidRDefault="001827A2">
      <w:pPr>
        <w:spacing w:line="360" w:lineRule="auto"/>
        <w:jc w:val="both"/>
        <w:rPr>
          <w:rFonts w:ascii="Palatino Linotype" w:eastAsia="Palatino Linotype" w:hAnsi="Palatino Linotype" w:cs="Palatino Linotype"/>
        </w:rPr>
      </w:pPr>
    </w:p>
    <w:p w14:paraId="4A6A6E34" w14:textId="77777777" w:rsidR="001827A2" w:rsidRPr="00945190" w:rsidRDefault="001827A2">
      <w:pPr>
        <w:spacing w:line="360" w:lineRule="auto"/>
        <w:jc w:val="both"/>
        <w:rPr>
          <w:rFonts w:ascii="Palatino Linotype" w:eastAsia="Palatino Linotype" w:hAnsi="Palatino Linotype" w:cs="Palatino Linotype"/>
        </w:rPr>
      </w:pPr>
    </w:p>
    <w:p w14:paraId="7012A298" w14:textId="77777777" w:rsidR="001827A2" w:rsidRPr="00945190" w:rsidRDefault="001827A2">
      <w:pPr>
        <w:spacing w:line="360" w:lineRule="auto"/>
        <w:jc w:val="both"/>
        <w:rPr>
          <w:rFonts w:ascii="Palatino Linotype" w:eastAsia="Palatino Linotype" w:hAnsi="Palatino Linotype" w:cs="Palatino Linotype"/>
        </w:rPr>
      </w:pPr>
    </w:p>
    <w:p w14:paraId="15F49C07" w14:textId="77777777" w:rsidR="001827A2" w:rsidRPr="00945190" w:rsidRDefault="001827A2">
      <w:pPr>
        <w:spacing w:line="360" w:lineRule="auto"/>
        <w:jc w:val="both"/>
        <w:rPr>
          <w:rFonts w:ascii="Palatino Linotype" w:eastAsia="Palatino Linotype" w:hAnsi="Palatino Linotype" w:cs="Palatino Linotype"/>
        </w:rPr>
      </w:pPr>
    </w:p>
    <w:p w14:paraId="6412874A" w14:textId="77777777" w:rsidR="001827A2" w:rsidRPr="00945190" w:rsidRDefault="001827A2">
      <w:pPr>
        <w:spacing w:line="360" w:lineRule="auto"/>
        <w:jc w:val="both"/>
        <w:rPr>
          <w:rFonts w:ascii="Palatino Linotype" w:eastAsia="Palatino Linotype" w:hAnsi="Palatino Linotype" w:cs="Palatino Linotype"/>
        </w:rPr>
      </w:pPr>
    </w:p>
    <w:p w14:paraId="35DD1E6A" w14:textId="77777777" w:rsidR="001827A2" w:rsidRPr="00945190" w:rsidRDefault="001827A2">
      <w:pPr>
        <w:spacing w:line="360" w:lineRule="auto"/>
        <w:jc w:val="both"/>
        <w:rPr>
          <w:rFonts w:ascii="Palatino Linotype" w:eastAsia="Palatino Linotype" w:hAnsi="Palatino Linotype" w:cs="Palatino Linotype"/>
        </w:rPr>
      </w:pPr>
    </w:p>
    <w:p w14:paraId="7EE49DFF" w14:textId="77777777" w:rsidR="001827A2" w:rsidRPr="00945190" w:rsidRDefault="001827A2">
      <w:pPr>
        <w:spacing w:line="360" w:lineRule="auto"/>
        <w:jc w:val="both"/>
        <w:rPr>
          <w:rFonts w:ascii="Palatino Linotype" w:eastAsia="Palatino Linotype" w:hAnsi="Palatino Linotype" w:cs="Palatino Linotype"/>
        </w:rPr>
      </w:pPr>
    </w:p>
    <w:p w14:paraId="238E4982" w14:textId="77777777" w:rsidR="001827A2" w:rsidRPr="00945190" w:rsidRDefault="001827A2">
      <w:pPr>
        <w:spacing w:line="360" w:lineRule="auto"/>
        <w:jc w:val="both"/>
        <w:rPr>
          <w:rFonts w:ascii="Palatino Linotype" w:eastAsia="Palatino Linotype" w:hAnsi="Palatino Linotype" w:cs="Palatino Linotype"/>
        </w:rPr>
      </w:pPr>
    </w:p>
    <w:sectPr w:rsidR="001827A2" w:rsidRPr="00945190">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0F1C" w14:textId="77777777" w:rsidR="005F144E" w:rsidRDefault="005F144E">
      <w:r>
        <w:separator/>
      </w:r>
    </w:p>
  </w:endnote>
  <w:endnote w:type="continuationSeparator" w:id="0">
    <w:p w14:paraId="3BDE9998" w14:textId="77777777" w:rsidR="005F144E" w:rsidRDefault="005F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6029" w14:textId="77777777" w:rsidR="001827A2" w:rsidRDefault="005448A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14AEC">
      <w:rPr>
        <w:rFonts w:ascii="Palatino Linotype" w:eastAsia="Palatino Linotype" w:hAnsi="Palatino Linotype" w:cs="Palatino Linotype"/>
        <w:b/>
        <w:noProof/>
        <w:color w:val="000000"/>
        <w:sz w:val="20"/>
        <w:szCs w:val="20"/>
      </w:rPr>
      <w:t>14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14AEC">
      <w:rPr>
        <w:rFonts w:ascii="Palatino Linotype" w:eastAsia="Palatino Linotype" w:hAnsi="Palatino Linotype" w:cs="Palatino Linotype"/>
        <w:b/>
        <w:noProof/>
        <w:color w:val="000000"/>
        <w:sz w:val="20"/>
        <w:szCs w:val="20"/>
      </w:rPr>
      <w:t>14</w:t>
    </w:r>
    <w:r>
      <w:rPr>
        <w:rFonts w:ascii="Palatino Linotype" w:eastAsia="Palatino Linotype" w:hAnsi="Palatino Linotype" w:cs="Palatino Linotype"/>
        <w:b/>
        <w:color w:val="000000"/>
        <w:sz w:val="20"/>
        <w:szCs w:val="20"/>
      </w:rPr>
      <w:fldChar w:fldCharType="end"/>
    </w:r>
  </w:p>
  <w:p w14:paraId="7C67E3E6" w14:textId="77777777" w:rsidR="001827A2" w:rsidRDefault="001827A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4805" w14:textId="77777777" w:rsidR="001827A2" w:rsidRDefault="005448A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14AE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14AEC">
      <w:rPr>
        <w:rFonts w:ascii="Palatino Linotype" w:eastAsia="Palatino Linotype" w:hAnsi="Palatino Linotype" w:cs="Palatino Linotype"/>
        <w:b/>
        <w:noProof/>
        <w:color w:val="000000"/>
        <w:sz w:val="20"/>
        <w:szCs w:val="20"/>
      </w:rPr>
      <w:t>14</w:t>
    </w:r>
    <w:r>
      <w:rPr>
        <w:rFonts w:ascii="Palatino Linotype" w:eastAsia="Palatino Linotype" w:hAnsi="Palatino Linotype" w:cs="Palatino Linotype"/>
        <w:b/>
        <w:color w:val="000000"/>
        <w:sz w:val="20"/>
        <w:szCs w:val="20"/>
      </w:rPr>
      <w:fldChar w:fldCharType="end"/>
    </w:r>
  </w:p>
  <w:p w14:paraId="5CC2EC83" w14:textId="77777777" w:rsidR="001827A2" w:rsidRDefault="001827A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D900C" w14:textId="77777777" w:rsidR="005F144E" w:rsidRDefault="005F144E">
      <w:r>
        <w:separator/>
      </w:r>
    </w:p>
  </w:footnote>
  <w:footnote w:type="continuationSeparator" w:id="0">
    <w:p w14:paraId="4CD9CAD5" w14:textId="77777777" w:rsidR="005F144E" w:rsidRDefault="005F1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1347" w14:textId="77777777" w:rsidR="001827A2" w:rsidRDefault="005448A4">
    <w:pPr>
      <w:rPr>
        <w:rFonts w:ascii="Cambria" w:eastAsia="Cambria" w:hAnsi="Cambria" w:cs="Cambria"/>
        <w:color w:val="000000"/>
      </w:rPr>
    </w:pPr>
    <w:r>
      <w:rPr>
        <w:noProof/>
      </w:rPr>
      <w:drawing>
        <wp:anchor distT="0" distB="0" distL="0" distR="0" simplePos="0" relativeHeight="251658240" behindDoc="1" locked="0" layoutInCell="1" hidden="0" allowOverlap="1" wp14:anchorId="1787E1C2" wp14:editId="52EC881F">
          <wp:simplePos x="0" y="0"/>
          <wp:positionH relativeFrom="column">
            <wp:posOffset>-1080118</wp:posOffset>
          </wp:positionH>
          <wp:positionV relativeFrom="paragraph">
            <wp:posOffset>-488296</wp:posOffset>
          </wp:positionV>
          <wp:extent cx="7809865" cy="10165715"/>
          <wp:effectExtent l="0" t="0" r="0" b="0"/>
          <wp:wrapNone/>
          <wp:docPr id="20197576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0"/>
      <w:tblW w:w="5953" w:type="dxa"/>
      <w:tblInd w:w="3261" w:type="dxa"/>
      <w:tblLayout w:type="fixed"/>
      <w:tblLook w:val="0400" w:firstRow="0" w:lastRow="0" w:firstColumn="0" w:lastColumn="0" w:noHBand="0" w:noVBand="1"/>
    </w:tblPr>
    <w:tblGrid>
      <w:gridCol w:w="2489"/>
      <w:gridCol w:w="3464"/>
    </w:tblGrid>
    <w:tr w:rsidR="001827A2" w14:paraId="57C518AB" w14:textId="77777777">
      <w:tc>
        <w:tcPr>
          <w:tcW w:w="2489" w:type="dxa"/>
          <w:shd w:val="clear" w:color="auto" w:fill="auto"/>
        </w:tcPr>
        <w:p w14:paraId="530353C6" w14:textId="77777777" w:rsidR="001827A2" w:rsidRDefault="005448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1B1A99F" w14:textId="77777777" w:rsidR="001827A2" w:rsidRDefault="005448A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04374/INFOEM/AD/RR/2024</w:t>
          </w:r>
        </w:p>
      </w:tc>
    </w:tr>
    <w:tr w:rsidR="001827A2" w14:paraId="1BA24909" w14:textId="77777777">
      <w:trPr>
        <w:trHeight w:val="228"/>
      </w:trPr>
      <w:tc>
        <w:tcPr>
          <w:tcW w:w="2489" w:type="dxa"/>
          <w:shd w:val="clear" w:color="auto" w:fill="auto"/>
          <w:vAlign w:val="center"/>
        </w:tcPr>
        <w:p w14:paraId="3F504524" w14:textId="77777777" w:rsidR="001827A2" w:rsidRDefault="005448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5795AEF" w14:textId="77777777" w:rsidR="001827A2" w:rsidRDefault="005448A4">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Instituto de Seguridad Social del Estado de México y Municipios</w:t>
          </w:r>
        </w:p>
      </w:tc>
    </w:tr>
    <w:tr w:rsidR="001827A2" w14:paraId="30C1C5CC" w14:textId="77777777">
      <w:tc>
        <w:tcPr>
          <w:tcW w:w="2489" w:type="dxa"/>
          <w:shd w:val="clear" w:color="auto" w:fill="auto"/>
          <w:vAlign w:val="center"/>
        </w:tcPr>
        <w:p w14:paraId="3BD89950" w14:textId="77777777" w:rsidR="001827A2" w:rsidRDefault="005448A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F7E70FE" w14:textId="77777777" w:rsidR="001827A2" w:rsidRDefault="005448A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4CDF0F6" w14:textId="77777777" w:rsidR="001827A2" w:rsidRDefault="005448A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C504" w14:textId="77777777" w:rsidR="001827A2" w:rsidRDefault="005448A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72EF363" wp14:editId="3F3C0CE8">
          <wp:simplePos x="0" y="0"/>
          <wp:positionH relativeFrom="column">
            <wp:posOffset>-1136014</wp:posOffset>
          </wp:positionH>
          <wp:positionV relativeFrom="paragraph">
            <wp:posOffset>-385444</wp:posOffset>
          </wp:positionV>
          <wp:extent cx="7809865" cy="10165715"/>
          <wp:effectExtent l="0" t="0" r="0" b="0"/>
          <wp:wrapNone/>
          <wp:docPr id="20197576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1"/>
      <w:tblW w:w="5670" w:type="dxa"/>
      <w:tblInd w:w="3261" w:type="dxa"/>
      <w:tblLayout w:type="fixed"/>
      <w:tblLook w:val="0400" w:firstRow="0" w:lastRow="0" w:firstColumn="0" w:lastColumn="0" w:noHBand="0" w:noVBand="1"/>
    </w:tblPr>
    <w:tblGrid>
      <w:gridCol w:w="2551"/>
      <w:gridCol w:w="3119"/>
    </w:tblGrid>
    <w:tr w:rsidR="001827A2" w14:paraId="77BB91CC" w14:textId="77777777">
      <w:tc>
        <w:tcPr>
          <w:tcW w:w="2551" w:type="dxa"/>
          <w:shd w:val="clear" w:color="auto" w:fill="auto"/>
          <w:vAlign w:val="center"/>
        </w:tcPr>
        <w:p w14:paraId="32BFF322" w14:textId="77777777" w:rsidR="001827A2" w:rsidRDefault="005448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08DF408A" w14:textId="77777777" w:rsidR="001827A2" w:rsidRDefault="005448A4">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04374/INFOEM/AD/RR/2024</w:t>
          </w:r>
        </w:p>
      </w:tc>
    </w:tr>
    <w:tr w:rsidR="001827A2" w14:paraId="0ECA08D0" w14:textId="77777777">
      <w:trPr>
        <w:trHeight w:val="130"/>
      </w:trPr>
      <w:tc>
        <w:tcPr>
          <w:tcW w:w="2551" w:type="dxa"/>
          <w:shd w:val="clear" w:color="auto" w:fill="auto"/>
          <w:vAlign w:val="center"/>
        </w:tcPr>
        <w:p w14:paraId="71D52AA1" w14:textId="77777777" w:rsidR="001827A2" w:rsidRDefault="005448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19D15582" w14:textId="31E9C82A" w:rsidR="001827A2" w:rsidRDefault="00751C4D">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XXXXXXXXX XXXXXXX XXXXXXXXX </w:t>
          </w:r>
        </w:p>
      </w:tc>
    </w:tr>
    <w:tr w:rsidR="001827A2" w14:paraId="2E53578A" w14:textId="77777777">
      <w:trPr>
        <w:trHeight w:val="228"/>
      </w:trPr>
      <w:tc>
        <w:tcPr>
          <w:tcW w:w="2551" w:type="dxa"/>
          <w:shd w:val="clear" w:color="auto" w:fill="auto"/>
          <w:vAlign w:val="center"/>
        </w:tcPr>
        <w:p w14:paraId="77C0C9F5" w14:textId="77777777" w:rsidR="001827A2" w:rsidRDefault="005448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3A10B743" w14:textId="77777777" w:rsidR="001827A2" w:rsidRDefault="005448A4">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Seguridad Social del Estado de México y Municipios</w:t>
          </w:r>
        </w:p>
      </w:tc>
    </w:tr>
    <w:tr w:rsidR="001827A2" w14:paraId="2AAC12D1" w14:textId="77777777">
      <w:tc>
        <w:tcPr>
          <w:tcW w:w="2551" w:type="dxa"/>
          <w:shd w:val="clear" w:color="auto" w:fill="auto"/>
          <w:vAlign w:val="center"/>
        </w:tcPr>
        <w:p w14:paraId="4E520693" w14:textId="77777777" w:rsidR="001827A2" w:rsidRDefault="005448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3BD30D25" w14:textId="77777777" w:rsidR="001827A2" w:rsidRDefault="005448A4">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65AB59E" w14:textId="77777777" w:rsidR="001827A2" w:rsidRDefault="001827A2">
    <w:pPr>
      <w:pBdr>
        <w:top w:val="nil"/>
        <w:left w:val="nil"/>
        <w:bottom w:val="nil"/>
        <w:right w:val="nil"/>
        <w:between w:val="nil"/>
      </w:pBdr>
      <w:tabs>
        <w:tab w:val="center" w:pos="4252"/>
        <w:tab w:val="right" w:pos="8504"/>
      </w:tabs>
      <w:rPr>
        <w:rFonts w:ascii="Cambria" w:eastAsia="Cambria" w:hAnsi="Cambria" w:cs="Cambria"/>
        <w:color w:val="000000"/>
      </w:rPr>
    </w:pPr>
  </w:p>
  <w:p w14:paraId="00F63223" w14:textId="77777777" w:rsidR="001827A2" w:rsidRDefault="00182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62D3E"/>
    <w:multiLevelType w:val="multilevel"/>
    <w:tmpl w:val="B178E99A"/>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3E306BF1"/>
    <w:multiLevelType w:val="multilevel"/>
    <w:tmpl w:val="A8FAF15E"/>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7A2"/>
    <w:rsid w:val="001827A2"/>
    <w:rsid w:val="001D3A1C"/>
    <w:rsid w:val="005448A4"/>
    <w:rsid w:val="005F144E"/>
    <w:rsid w:val="00635E02"/>
    <w:rsid w:val="00751C4D"/>
    <w:rsid w:val="00752254"/>
    <w:rsid w:val="00907F65"/>
    <w:rsid w:val="00945190"/>
    <w:rsid w:val="00B14AEC"/>
    <w:rsid w:val="00E879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705C"/>
  <w15:docId w15:val="{CC83AD73-CC8D-4EC8-A73D-908184C7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603D72"/>
    <w:pPr>
      <w:spacing w:after="120"/>
      <w:ind w:left="283"/>
    </w:pPr>
  </w:style>
  <w:style w:type="character" w:customStyle="1" w:styleId="SangradetextonormalCar">
    <w:name w:val="Sangría de texto normal Car"/>
    <w:basedOn w:val="Fuentedeprrafopredeter"/>
    <w:link w:val="Sangradetextonormal"/>
    <w:uiPriority w:val="99"/>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9">
    <w:name w:val="9"/>
    <w:basedOn w:val="TableNormal20"/>
    <w:tblPr>
      <w:tblStyleRowBandSize w:val="1"/>
      <w:tblStyleColBandSize w:val="1"/>
      <w:tblCellMar>
        <w:left w:w="115" w:type="dxa"/>
        <w:right w:w="115" w:type="dxa"/>
      </w:tblCellMar>
    </w:tblPr>
  </w:style>
  <w:style w:type="table" w:customStyle="1" w:styleId="8">
    <w:name w:val="8"/>
    <w:basedOn w:val="TableNormal20"/>
    <w:tblPr>
      <w:tblStyleRowBandSize w:val="1"/>
      <w:tblStyleColBandSize w:val="1"/>
      <w:tblCellMar>
        <w:left w:w="115" w:type="dxa"/>
        <w:right w:w="115" w:type="dxa"/>
      </w:tblCellMar>
    </w:tblPr>
  </w:style>
  <w:style w:type="table" w:customStyle="1" w:styleId="7">
    <w:name w:val="7"/>
    <w:basedOn w:val="TableNormal30"/>
    <w:tblPr>
      <w:tblStyleRowBandSize w:val="1"/>
      <w:tblStyleColBandSize w:val="1"/>
      <w:tblCellMar>
        <w:left w:w="115" w:type="dxa"/>
        <w:right w:w="115" w:type="dxa"/>
      </w:tblCellMar>
    </w:tblPr>
  </w:style>
  <w:style w:type="table" w:customStyle="1" w:styleId="6">
    <w:name w:val="6"/>
    <w:basedOn w:val="TableNormal30"/>
    <w:tblPr>
      <w:tblStyleRowBandSize w:val="1"/>
      <w:tblStyleColBandSize w:val="1"/>
      <w:tblCellMar>
        <w:left w:w="115" w:type="dxa"/>
        <w:right w:w="115" w:type="dxa"/>
      </w:tblCellMar>
    </w:tblPr>
  </w:style>
  <w:style w:type="table" w:customStyle="1" w:styleId="20">
    <w:name w:val="20"/>
    <w:basedOn w:val="TableNormal40"/>
    <w:tblPr>
      <w:tblStyleRowBandSize w:val="1"/>
      <w:tblStyleColBandSize w:val="1"/>
      <w:tblCellMar>
        <w:left w:w="115" w:type="dxa"/>
        <w:right w:w="115" w:type="dxa"/>
      </w:tblCellMar>
    </w:tblPr>
  </w:style>
  <w:style w:type="table" w:customStyle="1" w:styleId="19">
    <w:name w:val="19"/>
    <w:basedOn w:val="TableNormal40"/>
    <w:tblPr>
      <w:tblStyleRowBandSize w:val="1"/>
      <w:tblStyleColBandSize w:val="1"/>
      <w:tblCellMar>
        <w:left w:w="115" w:type="dxa"/>
        <w:right w:w="115" w:type="dxa"/>
      </w:tblCellMar>
    </w:tblPr>
  </w:style>
  <w:style w:type="table" w:customStyle="1" w:styleId="18">
    <w:name w:val="18"/>
    <w:basedOn w:val="TableNormal50"/>
    <w:tblPr>
      <w:tblStyleRowBandSize w:val="1"/>
      <w:tblStyleColBandSize w:val="1"/>
      <w:tblCellMar>
        <w:left w:w="115" w:type="dxa"/>
        <w:right w:w="115"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60"/>
    <w:tblPr>
      <w:tblStyleRowBandSize w:val="1"/>
      <w:tblStyleColBandSize w:val="1"/>
      <w:tblCellMar>
        <w:left w:w="115" w:type="dxa"/>
        <w:right w:w="115" w:type="dxa"/>
      </w:tblCellMar>
    </w:tblPr>
  </w:style>
  <w:style w:type="table" w:customStyle="1" w:styleId="15">
    <w:name w:val="15"/>
    <w:basedOn w:val="TableNormal60"/>
    <w:tblPr>
      <w:tblStyleRowBandSize w:val="1"/>
      <w:tblStyleColBandSize w:val="1"/>
      <w:tblCellMar>
        <w:left w:w="115" w:type="dxa"/>
        <w:right w:w="115" w:type="dxa"/>
      </w:tblCellMar>
    </w:tblPr>
  </w:style>
  <w:style w:type="table" w:customStyle="1" w:styleId="14">
    <w:name w:val="14"/>
    <w:basedOn w:val="TableNormal7"/>
    <w:tblPr>
      <w:tblStyleRowBandSize w:val="1"/>
      <w:tblStyleColBandSize w:val="1"/>
      <w:tblCellMar>
        <w:left w:w="115" w:type="dxa"/>
        <w:right w:w="115" w:type="dxa"/>
      </w:tblCellMar>
    </w:tblPr>
  </w:style>
  <w:style w:type="table" w:customStyle="1" w:styleId="13">
    <w:name w:val="13"/>
    <w:basedOn w:val="TableNormal7"/>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
    <w:tblPr>
      <w:tblStyleRowBandSize w:val="1"/>
      <w:tblStyleColBandSize w:val="1"/>
      <w:tblCellMar>
        <w:left w:w="115" w:type="dxa"/>
        <w:right w:w="115" w:type="dxa"/>
      </w:tblCellMar>
    </w:tblPr>
  </w:style>
  <w:style w:type="table" w:customStyle="1" w:styleId="10">
    <w:name w:val="10"/>
    <w:basedOn w:val="TableNormal8"/>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a">
    <w:basedOn w:val="TableNormal6"/>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table" w:customStyle="1" w:styleId="a3">
    <w:basedOn w:val="TableNormal5"/>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character" w:customStyle="1" w:styleId="Mencinsinresolver5">
    <w:name w:val="Mención sin resolver5"/>
    <w:basedOn w:val="Fuentedeprrafopredeter"/>
    <w:uiPriority w:val="99"/>
    <w:semiHidden/>
    <w:unhideWhenUsed/>
    <w:rsid w:val="00160ABB"/>
    <w:rPr>
      <w:color w:val="605E5C"/>
      <w:shd w:val="clear" w:color="auto" w:fill="E1DFDD"/>
    </w:rPr>
  </w:style>
  <w:style w:type="table" w:customStyle="1" w:styleId="a9">
    <w:basedOn w:val="TableNormal3"/>
    <w:tblPr>
      <w:tblStyleRowBandSize w:val="1"/>
      <w:tblStyleColBandSize w:val="1"/>
      <w:tblCellMar>
        <w:left w:w="108" w:type="dxa"/>
        <w:right w:w="108"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character" w:customStyle="1" w:styleId="Mencinsinresolver6">
    <w:name w:val="Mención sin resolver6"/>
    <w:basedOn w:val="Fuentedeprrafopredeter"/>
    <w:uiPriority w:val="99"/>
    <w:semiHidden/>
    <w:unhideWhenUsed/>
    <w:rsid w:val="00D20DA7"/>
    <w:rPr>
      <w:color w:val="605E5C"/>
      <w:shd w:val="clear" w:color="auto" w:fill="E1DFDD"/>
    </w:r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character" w:customStyle="1" w:styleId="Mencinsinresolver7">
    <w:name w:val="Mención sin resolver7"/>
    <w:basedOn w:val="Fuentedeprrafopredeter"/>
    <w:uiPriority w:val="99"/>
    <w:semiHidden/>
    <w:unhideWhenUsed/>
    <w:rsid w:val="003A4FC8"/>
    <w:rPr>
      <w:color w:val="605E5C"/>
      <w:shd w:val="clear" w:color="auto" w:fill="E1DFDD"/>
    </w:rPr>
  </w:style>
  <w:style w:type="paragraph" w:customStyle="1" w:styleId="Citas">
    <w:name w:val="Citas"/>
    <w:basedOn w:val="Normal"/>
    <w:qFormat/>
    <w:rsid w:val="003613E3"/>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Bi598+NLERZypUCyhe2HwdfCig==">CgMxLjAyCGguZ2pkZ3hzMgloLjNkeTZ2a20yCWguMzBqMHpsbDIJaC4yZXQ5MnAwMgloLjJzOGV5bzEyCWguMXQzaDVzZjgAciExS3RpS1ByVFpEYXZEbHpGTlR0N3JuM3NNTkZJYjFGQVA=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2782</Words>
  <Characters>15306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2024-08-30T17:53:00Z</cp:lastPrinted>
  <dcterms:created xsi:type="dcterms:W3CDTF">2024-09-04T20:45:00Z</dcterms:created>
  <dcterms:modified xsi:type="dcterms:W3CDTF">2024-09-04T20:45:00Z</dcterms:modified>
</cp:coreProperties>
</file>