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3DB5" w14:textId="77777777" w:rsidR="009C040E" w:rsidRDefault="00EE681F">
      <w:pPr>
        <w:spacing w:before="240" w:after="240"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14:paraId="328D31F4" w14:textId="1BD0F4E0" w:rsidR="009C040E" w:rsidRDefault="00EE681F">
      <w:pPr>
        <w:pBdr>
          <w:top w:val="nil"/>
          <w:left w:val="nil"/>
          <w:bottom w:val="nil"/>
          <w:right w:val="nil"/>
          <w:between w:val="nil"/>
        </w:pBdr>
        <w:tabs>
          <w:tab w:val="center" w:pos="4419"/>
          <w:tab w:val="right" w:pos="8838"/>
        </w:tabs>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 el</w:t>
      </w:r>
      <w:r>
        <w:rPr>
          <w:rFonts w:ascii="Palatino Linotype" w:eastAsia="Palatino Linotype" w:hAnsi="Palatino Linotype" w:cs="Palatino Linotype"/>
          <w:color w:val="000000"/>
        </w:rPr>
        <w:t xml:space="preserve"> expediente electrónico formado con motivo del recurso de revisión </w:t>
      </w:r>
      <w:r>
        <w:rPr>
          <w:rFonts w:ascii="Palatino Linotype" w:eastAsia="Palatino Linotype" w:hAnsi="Palatino Linotype" w:cs="Palatino Linotype"/>
          <w:b/>
          <w:color w:val="000000"/>
        </w:rPr>
        <w:t xml:space="preserve">01108/INFOEM/AD/RR/2024, </w:t>
      </w:r>
      <w:r>
        <w:rPr>
          <w:rFonts w:ascii="Palatino Linotype" w:eastAsia="Palatino Linotype" w:hAnsi="Palatino Linotype" w:cs="Palatino Linotype"/>
          <w:color w:val="000000"/>
        </w:rPr>
        <w:t xml:space="preserve">promovido por </w:t>
      </w:r>
      <w:r w:rsidR="000F418A">
        <w:rPr>
          <w:rFonts w:ascii="Palatino Linotype" w:eastAsia="Palatino Linotype" w:hAnsi="Palatino Linotype" w:cs="Palatino Linotype"/>
          <w:b/>
          <w:color w:val="000000"/>
        </w:rPr>
        <w:t xml:space="preserve">XXX </w:t>
      </w:r>
      <w:proofErr w:type="spellStart"/>
      <w:r w:rsidR="000F418A">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xml:space="preserve">, en su calidad de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 la </w:t>
      </w:r>
      <w:r>
        <w:rPr>
          <w:rFonts w:ascii="Palatino Linotype" w:eastAsia="Palatino Linotype" w:hAnsi="Palatino Linotype" w:cs="Palatino Linotype"/>
          <w:b/>
          <w:color w:val="000000"/>
        </w:rPr>
        <w:t>Secretaría General de Gobierno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se procede a dictar la presente resolución, con base en los siguientes: </w:t>
      </w:r>
    </w:p>
    <w:p w14:paraId="5F3E9FE9" w14:textId="77777777" w:rsidR="000028D2" w:rsidRDefault="000028D2">
      <w:pPr>
        <w:pBdr>
          <w:top w:val="nil"/>
          <w:left w:val="nil"/>
          <w:bottom w:val="nil"/>
          <w:right w:val="nil"/>
          <w:between w:val="nil"/>
        </w:pBdr>
        <w:tabs>
          <w:tab w:val="center" w:pos="4419"/>
          <w:tab w:val="right" w:pos="8838"/>
        </w:tabs>
        <w:spacing w:line="360" w:lineRule="auto"/>
        <w:ind w:right="-876"/>
        <w:jc w:val="both"/>
        <w:rPr>
          <w:rFonts w:ascii="Palatino Linotype" w:eastAsia="Palatino Linotype" w:hAnsi="Palatino Linotype" w:cs="Palatino Linotype"/>
          <w:b/>
          <w:color w:val="000000"/>
        </w:rPr>
      </w:pPr>
    </w:p>
    <w:p w14:paraId="6DC23860" w14:textId="77777777" w:rsidR="009C040E" w:rsidRDefault="00EE681F">
      <w:pPr>
        <w:pStyle w:val="Ttulo1"/>
        <w:ind w:right="-87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 xml:space="preserve">A N T E C E D E N T E S </w:t>
      </w:r>
    </w:p>
    <w:p w14:paraId="4EF9B9CE" w14:textId="77777777" w:rsidR="009C040E" w:rsidRDefault="009C040E">
      <w:pPr>
        <w:ind w:right="-876"/>
        <w:rPr>
          <w:rFonts w:ascii="Palatino Linotype" w:eastAsia="Palatino Linotype" w:hAnsi="Palatino Linotype" w:cs="Palatino Linotype"/>
        </w:rPr>
      </w:pPr>
    </w:p>
    <w:p w14:paraId="5D59E249" w14:textId="77777777" w:rsidR="009C040E" w:rsidRDefault="00EE681F" w:rsidP="007F4A25">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El catorce de febrero de dos mil veinticuatro, 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Rectificación, Cancelación y Oposición de Datos Personales del Estado de México (</w:t>
      </w:r>
      <w:r>
        <w:rPr>
          <w:rFonts w:ascii="Palatino Linotype" w:eastAsia="Palatino Linotype" w:hAnsi="Palatino Linotype" w:cs="Palatino Linotype"/>
          <w:b/>
          <w:color w:val="000000"/>
        </w:rPr>
        <w:t>SARCOEM)</w:t>
      </w:r>
      <w:r>
        <w:rPr>
          <w:rFonts w:ascii="Palatino Linotype" w:eastAsia="Palatino Linotype" w:hAnsi="Palatino Linotype" w:cs="Palatino Linotype"/>
          <w:color w:val="000000"/>
        </w:rPr>
        <w:t xml:space="preserve">, presentó la solicitud de información pública registrada con el número </w:t>
      </w:r>
      <w:r>
        <w:rPr>
          <w:rFonts w:ascii="Palatino Linotype" w:eastAsia="Palatino Linotype" w:hAnsi="Palatino Linotype" w:cs="Palatino Linotype"/>
          <w:b/>
          <w:color w:val="000000"/>
        </w:rPr>
        <w:t xml:space="preserve">00005/SEGEGOB/AD/2024,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solicitó lo siguiente:</w:t>
      </w:r>
    </w:p>
    <w:p w14:paraId="5C4AEB2D" w14:textId="77777777" w:rsidR="009C040E" w:rsidRDefault="009C040E" w:rsidP="007F4A25">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412D0353" w14:textId="4BCB2BD0" w:rsidR="009C040E" w:rsidRDefault="00EE681F">
      <w:pPr>
        <w:ind w:left="567" w:right="-25"/>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El 7 de febrero de 1968 el Gobernador en ese tiempo Juan Fernández Albarrán, tenía la obligación de haber levantado un Acta ante la Procuraduría General del Estado de México, y supervisar esa investigación ya que a él le tuvo que haber llegado información fidedigna tanto del municipio, policía municipal, dirección general de seguridad pública y tránsito del Estado de México, Policía Judicial del Estado de México y demás dependencias acerca del asunto (todo ello ya que en los periódicos y notas que adjunto se mencionan) y habernos ayudado ya que en ese tiempo mi madre quedó viuda y mi hermano mayor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13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11 años, </w:t>
      </w:r>
      <w:r w:rsidR="006144DF" w:rsidRPr="004E5864">
        <w:rPr>
          <w:rFonts w:ascii="Palatino Linotype" w:eastAsia="Palatino Linotype" w:hAnsi="Palatino Linotype" w:cs="Palatino Linotype"/>
          <w:i/>
          <w:color w:val="000000"/>
        </w:rPr>
        <w:t>XXXX</w:t>
      </w:r>
      <w:r w:rsidRPr="004E5864">
        <w:rPr>
          <w:rFonts w:ascii="Palatino Linotype" w:eastAsia="Palatino Linotype" w:hAnsi="Palatino Linotype" w:cs="Palatino Linotype"/>
          <w:i/>
          <w:color w:val="000000"/>
        </w:rPr>
        <w:t xml:space="preserve"> 9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7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5 años y </w:t>
      </w:r>
      <w:r w:rsidR="006144DF">
        <w:rPr>
          <w:rFonts w:ascii="Palatino Linotype" w:eastAsia="Palatino Linotype" w:hAnsi="Palatino Linotype" w:cs="Palatino Linotype"/>
          <w:i/>
          <w:color w:val="000000"/>
        </w:rPr>
        <w:t xml:space="preserve">XXX </w:t>
      </w:r>
      <w:proofErr w:type="spellStart"/>
      <w:r w:rsidR="006144DF">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 xml:space="preserve"> 3 años, todos de apellido </w:t>
      </w:r>
      <w:r w:rsidR="006144DF">
        <w:rPr>
          <w:rFonts w:ascii="Palatino Linotype" w:eastAsia="Palatino Linotype" w:hAnsi="Palatino Linotype" w:cs="Palatino Linotype"/>
          <w:i/>
          <w:color w:val="000000"/>
        </w:rPr>
        <w:t>XXXX XXX</w:t>
      </w:r>
      <w:r>
        <w:rPr>
          <w:rFonts w:ascii="Palatino Linotype" w:eastAsia="Palatino Linotype" w:hAnsi="Palatino Linotype" w:cs="Palatino Linotype"/>
          <w:i/>
          <w:color w:val="000000"/>
        </w:rPr>
        <w:t xml:space="preserve"> y no nos dieron pensión ni ayuda para las becas mencionadas municipales y a la vez la Gubernatura. Todo lo anterior en relación con los hechos de secuestro, tortura y homicidio de mi padre el 7 de febrero de 1968, cuando fungía como tercer regidor del Ayuntamiento de Naucalpan del trienio 1967-1969 estando en funciones. El nombre </w:t>
      </w:r>
      <w:r>
        <w:rPr>
          <w:rFonts w:ascii="Palatino Linotype" w:eastAsia="Palatino Linotype" w:hAnsi="Palatino Linotype" w:cs="Palatino Linotype"/>
          <w:i/>
          <w:color w:val="000000"/>
        </w:rPr>
        <w:lastRenderedPageBreak/>
        <w:t xml:space="preserve">de mi padre fallecido es </w:t>
      </w:r>
      <w:r w:rsidR="006144DF">
        <w:rPr>
          <w:rFonts w:ascii="Palatino Linotype" w:eastAsia="Palatino Linotype" w:hAnsi="Palatino Linotype" w:cs="Palatino Linotype"/>
          <w:i/>
          <w:color w:val="000000"/>
        </w:rPr>
        <w:t xml:space="preserve">XXXX </w:t>
      </w:r>
      <w:proofErr w:type="spellStart"/>
      <w:r w:rsidR="006144DF">
        <w:rPr>
          <w:rFonts w:ascii="Palatino Linotype" w:eastAsia="Palatino Linotype" w:hAnsi="Palatino Linotype" w:cs="Palatino Linotype"/>
          <w:i/>
          <w:color w:val="000000"/>
        </w:rPr>
        <w:t>XXXX</w:t>
      </w:r>
      <w:proofErr w:type="spellEnd"/>
      <w:r>
        <w:rPr>
          <w:rFonts w:ascii="Palatino Linotype" w:eastAsia="Palatino Linotype" w:hAnsi="Palatino Linotype" w:cs="Palatino Linotype"/>
          <w:i/>
          <w:color w:val="000000"/>
        </w:rPr>
        <w:t>. De ahí que requiero todos los documentos relacionados con acciones que el Gobernador haya realizado para esclarecer el hecho por el homicidio de mi padre en funciones como servidor público y los apoyos, becas o ayudas que nos prometieron. Aunado a ello todas las fichas informativas, informes, oficios, o como se denominen relacionados con los informes que las distintas dependencias de seguridad, Procuraduría General del Estado de México o de competencia, mediante las que informaron al Gobernado acerca de los hechos relacionados con el secuestro, tortura y homicidio de mi padre el 7 de febrero de 1968. Todo lo anterior lo estoy solicitando por los hechos de 1968 a 1990 que comprende la "Guerra Sucia" esclarecimiento del crimen de reparación del daño a los deudos que creó nuestro Presidente Andrés Manuel López Obrador.</w:t>
      </w:r>
      <w:r>
        <w:rPr>
          <w:rFonts w:ascii="Palatino Linotype" w:eastAsia="Palatino Linotype" w:hAnsi="Palatino Linotype" w:cs="Palatino Linotype"/>
          <w:i/>
        </w:rPr>
        <w:t>” (Sic)</w:t>
      </w:r>
    </w:p>
    <w:p w14:paraId="76E56928" w14:textId="77777777" w:rsidR="009C040E" w:rsidRDefault="009C040E">
      <w:pPr>
        <w:ind w:right="-25"/>
        <w:jc w:val="both"/>
        <w:rPr>
          <w:rFonts w:ascii="Palatino Linotype" w:eastAsia="Palatino Linotype" w:hAnsi="Palatino Linotype" w:cs="Palatino Linotype"/>
          <w:i/>
        </w:rPr>
      </w:pPr>
    </w:p>
    <w:p w14:paraId="5A0013D9" w14:textId="77777777" w:rsidR="009C040E" w:rsidRDefault="00EE681F">
      <w:pPr>
        <w:spacing w:before="280" w:after="280"/>
        <w:ind w:right="-25"/>
        <w:jc w:val="both"/>
        <w:rPr>
          <w:rFonts w:ascii="Palatino Linotype" w:eastAsia="Palatino Linotype" w:hAnsi="Palatino Linotype" w:cs="Palatino Linotype"/>
        </w:rPr>
      </w:pPr>
      <w:r>
        <w:rPr>
          <w:rFonts w:ascii="Palatino Linotype" w:eastAsia="Palatino Linotype" w:hAnsi="Palatino Linotype" w:cs="Palatino Linotype"/>
        </w:rPr>
        <w:t>Documentos adjuntos:</w:t>
      </w:r>
    </w:p>
    <w:p w14:paraId="50065076" w14:textId="4F102730" w:rsidR="009C040E" w:rsidRDefault="00EE681F">
      <w:pPr>
        <w:widowControl w:val="0"/>
        <w:tabs>
          <w:tab w:val="left" w:pos="822"/>
        </w:tabs>
        <w:spacing w:before="276"/>
        <w:ind w:left="567" w:right="-25"/>
        <w:jc w:val="both"/>
        <w:rPr>
          <w:rFonts w:ascii="Palatino Linotype" w:eastAsia="Palatino Linotype" w:hAnsi="Palatino Linotype" w:cs="Palatino Linotype"/>
        </w:rPr>
      </w:pPr>
      <w:r>
        <w:rPr>
          <w:rFonts w:ascii="Palatino Linotype" w:eastAsia="Palatino Linotype" w:hAnsi="Palatino Linotype" w:cs="Palatino Linotype"/>
        </w:rPr>
        <w:t xml:space="preserve">-De </w:t>
      </w:r>
      <w:r w:rsidR="006144DF">
        <w:rPr>
          <w:rFonts w:ascii="Palatino Linotype" w:eastAsia="Palatino Linotype" w:hAnsi="Palatino Linotype" w:cs="Palatino Linotype"/>
        </w:rPr>
        <w:t xml:space="preserve">XXXX </w:t>
      </w:r>
      <w:proofErr w:type="spellStart"/>
      <w:r w:rsidR="006144DF">
        <w:rPr>
          <w:rFonts w:ascii="Palatino Linotype" w:eastAsia="Palatino Linotype" w:hAnsi="Palatino Linotype" w:cs="Palatino Linotype"/>
        </w:rPr>
        <w:t>XXXX</w:t>
      </w:r>
      <w:proofErr w:type="spellEnd"/>
      <w:r>
        <w:rPr>
          <w:rFonts w:ascii="Palatino Linotype" w:eastAsia="Palatino Linotype" w:hAnsi="Palatino Linotype" w:cs="Palatino Linotype"/>
        </w:rPr>
        <w:t>:</w:t>
      </w:r>
    </w:p>
    <w:p w14:paraId="1D499689" w14:textId="77777777" w:rsidR="009C040E" w:rsidRDefault="00EE681F">
      <w:pPr>
        <w:widowControl w:val="0"/>
        <w:pBdr>
          <w:top w:val="nil"/>
          <w:left w:val="nil"/>
          <w:bottom w:val="nil"/>
          <w:right w:val="nil"/>
          <w:between w:val="nil"/>
        </w:pBdr>
        <w:spacing w:before="3"/>
        <w:ind w:left="567"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Acta de nacimiento y credencial para votar.</w:t>
      </w:r>
    </w:p>
    <w:p w14:paraId="2B20CD2E" w14:textId="77777777" w:rsidR="009C040E" w:rsidRDefault="009C040E">
      <w:pPr>
        <w:widowControl w:val="0"/>
        <w:pBdr>
          <w:top w:val="nil"/>
          <w:left w:val="nil"/>
          <w:bottom w:val="nil"/>
          <w:right w:val="nil"/>
          <w:between w:val="nil"/>
        </w:pBdr>
        <w:spacing w:before="3"/>
        <w:ind w:left="567" w:right="-25"/>
        <w:jc w:val="both"/>
        <w:rPr>
          <w:rFonts w:ascii="Palatino Linotype" w:eastAsia="Palatino Linotype" w:hAnsi="Palatino Linotype" w:cs="Palatino Linotype"/>
          <w:color w:val="000000"/>
        </w:rPr>
      </w:pPr>
    </w:p>
    <w:p w14:paraId="246C1529" w14:textId="1C381A9C" w:rsidR="009C040E" w:rsidRDefault="00EE681F">
      <w:pPr>
        <w:widowControl w:val="0"/>
        <w:pBdr>
          <w:top w:val="nil"/>
          <w:left w:val="nil"/>
          <w:bottom w:val="nil"/>
          <w:right w:val="nil"/>
          <w:between w:val="nil"/>
        </w:pBdr>
        <w:tabs>
          <w:tab w:val="left" w:pos="822"/>
        </w:tabs>
        <w:ind w:left="567"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sidR="006144DF">
        <w:rPr>
          <w:rFonts w:ascii="Palatino Linotype" w:eastAsia="Palatino Linotype" w:hAnsi="Palatino Linotype" w:cs="Palatino Linotype"/>
          <w:color w:val="000000"/>
        </w:rPr>
        <w:t xml:space="preserve">XXXX </w:t>
      </w:r>
      <w:proofErr w:type="spellStart"/>
      <w:r w:rsidR="006144DF">
        <w:rPr>
          <w:rFonts w:ascii="Palatino Linotype" w:eastAsia="Palatino Linotype" w:hAnsi="Palatino Linotype" w:cs="Palatino Linotype"/>
          <w:color w:val="000000"/>
        </w:rPr>
        <w:t>XXXX</w:t>
      </w:r>
      <w:proofErr w:type="spellEnd"/>
      <w:r>
        <w:rPr>
          <w:rFonts w:ascii="Palatino Linotype" w:eastAsia="Palatino Linotype" w:hAnsi="Palatino Linotype" w:cs="Palatino Linotype"/>
          <w:color w:val="000000"/>
        </w:rPr>
        <w:t>:</w:t>
      </w:r>
    </w:p>
    <w:p w14:paraId="61748941" w14:textId="77777777" w:rsidR="009C040E" w:rsidRDefault="00EE681F">
      <w:pPr>
        <w:tabs>
          <w:tab w:val="left" w:pos="1134"/>
        </w:tabs>
        <w:ind w:left="567" w:right="-25"/>
        <w:jc w:val="both"/>
        <w:rPr>
          <w:rFonts w:ascii="Palatino Linotype" w:eastAsia="Palatino Linotype" w:hAnsi="Palatino Linotype" w:cs="Palatino Linotype"/>
        </w:rPr>
      </w:pPr>
      <w:r>
        <w:rPr>
          <w:rFonts w:ascii="Palatino Linotype" w:eastAsia="Palatino Linotype" w:hAnsi="Palatino Linotype" w:cs="Palatino Linotype"/>
        </w:rPr>
        <w:t>Constancia de mayoría de votos de la elección para miembros de ayuntamientos del Municipio de Naucalpan de Juárez.</w:t>
      </w:r>
    </w:p>
    <w:p w14:paraId="4EC267C4" w14:textId="77777777" w:rsidR="009C040E" w:rsidRDefault="00EE681F">
      <w:pPr>
        <w:tabs>
          <w:tab w:val="left" w:pos="1134"/>
        </w:tabs>
        <w:ind w:left="567" w:right="-25"/>
        <w:jc w:val="both"/>
        <w:rPr>
          <w:rFonts w:ascii="Palatino Linotype" w:eastAsia="Palatino Linotype" w:hAnsi="Palatino Linotype" w:cs="Palatino Linotype"/>
        </w:rPr>
      </w:pPr>
      <w:r>
        <w:rPr>
          <w:rFonts w:ascii="Palatino Linotype" w:eastAsia="Palatino Linotype" w:hAnsi="Palatino Linotype" w:cs="Palatino Linotype"/>
        </w:rPr>
        <w:t>Acta de defunción.</w:t>
      </w:r>
    </w:p>
    <w:p w14:paraId="1313AC4A" w14:textId="77777777" w:rsidR="009C040E" w:rsidRDefault="00EE681F">
      <w:pPr>
        <w:tabs>
          <w:tab w:val="left" w:pos="1134"/>
        </w:tabs>
        <w:ind w:left="567" w:right="-25"/>
        <w:jc w:val="both"/>
        <w:rPr>
          <w:rFonts w:ascii="Palatino Linotype" w:eastAsia="Palatino Linotype" w:hAnsi="Palatino Linotype" w:cs="Palatino Linotype"/>
        </w:rPr>
      </w:pPr>
      <w:r>
        <w:rPr>
          <w:rFonts w:ascii="Palatino Linotype" w:eastAsia="Palatino Linotype" w:hAnsi="Palatino Linotype" w:cs="Palatino Linotype"/>
        </w:rPr>
        <w:t>Oficio de la fiscalía general de justicia relativo a la denuncia de hechos y carátula de una carpeta de investigación</w:t>
      </w:r>
    </w:p>
    <w:p w14:paraId="74C53D70" w14:textId="77777777" w:rsidR="009C040E" w:rsidRDefault="00EE681F">
      <w:pPr>
        <w:tabs>
          <w:tab w:val="left" w:pos="1134"/>
        </w:tabs>
        <w:ind w:left="567" w:right="-25"/>
        <w:jc w:val="both"/>
        <w:rPr>
          <w:rFonts w:ascii="Palatino Linotype" w:eastAsia="Palatino Linotype" w:hAnsi="Palatino Linotype" w:cs="Palatino Linotype"/>
        </w:rPr>
      </w:pPr>
      <w:r>
        <w:rPr>
          <w:rFonts w:ascii="Palatino Linotype" w:eastAsia="Palatino Linotype" w:hAnsi="Palatino Linotype" w:cs="Palatino Linotype"/>
        </w:rPr>
        <w:t>Diversas notas periodísticas</w:t>
      </w:r>
    </w:p>
    <w:p w14:paraId="4DD2F87C" w14:textId="77777777" w:rsidR="009C040E" w:rsidRDefault="009C040E">
      <w:pPr>
        <w:ind w:right="-876"/>
        <w:jc w:val="both"/>
        <w:rPr>
          <w:rFonts w:ascii="Palatino Linotype" w:eastAsia="Palatino Linotype" w:hAnsi="Palatino Linotype" w:cs="Palatino Linotype"/>
          <w:i/>
        </w:rPr>
      </w:pPr>
    </w:p>
    <w:p w14:paraId="31937E32"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Señaló como modalidad de entrega de la información a través del </w:t>
      </w:r>
      <w:r>
        <w:rPr>
          <w:rFonts w:ascii="Palatino Linotype" w:eastAsia="Palatino Linotype" w:hAnsi="Palatino Linotype" w:cs="Palatino Linotype"/>
          <w:b/>
          <w:color w:val="000000"/>
        </w:rPr>
        <w:t>SARCOEM.</w:t>
      </w:r>
    </w:p>
    <w:p w14:paraId="025D1324"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47B410CA"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El diecinueve de febrero de dos mil veinticuatro,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emitió respuesta en los siguientes términos:</w:t>
      </w:r>
    </w:p>
    <w:p w14:paraId="0A09433A" w14:textId="77777777" w:rsidR="009C040E" w:rsidRDefault="00EE681F">
      <w:pPr>
        <w:pBdr>
          <w:top w:val="nil"/>
          <w:left w:val="nil"/>
          <w:bottom w:val="nil"/>
          <w:right w:val="nil"/>
          <w:between w:val="nil"/>
        </w:pBdr>
        <w:spacing w:after="240"/>
        <w:ind w:left="567" w:right="-25"/>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i/>
          <w:color w:val="000000"/>
          <w:sz w:val="22"/>
          <w:szCs w:val="22"/>
        </w:rPr>
        <w:t>“SE ANEXA RESPUESTA EN UN ARCHIVO. EN CASO DE TENER ALGÚN PROBLEMA CON LA RECEPCIÓN DE ESTE ARCHIVO, FAVOR DE COMUNICARSE AL TELÉFONO 722 2138893, EXT. 111, 119 Y 132” (Sic)</w:t>
      </w:r>
    </w:p>
    <w:p w14:paraId="2064B04F" w14:textId="77777777" w:rsidR="009C040E" w:rsidRDefault="009C040E">
      <w:pPr>
        <w:spacing w:before="240" w:after="240"/>
        <w:ind w:right="-25"/>
        <w:jc w:val="both"/>
        <w:rPr>
          <w:rFonts w:ascii="Palatino Linotype" w:eastAsia="Palatino Linotype" w:hAnsi="Palatino Linotype" w:cs="Palatino Linotype"/>
          <w:i/>
          <w:color w:val="000000"/>
          <w:sz w:val="22"/>
          <w:szCs w:val="22"/>
        </w:rPr>
      </w:pPr>
    </w:p>
    <w:p w14:paraId="51CC8EEE" w14:textId="77777777" w:rsidR="009C040E" w:rsidRDefault="00EE681F">
      <w:pPr>
        <w:pBdr>
          <w:top w:val="nil"/>
          <w:left w:val="nil"/>
          <w:bottom w:val="nil"/>
          <w:right w:val="nil"/>
          <w:between w:val="nil"/>
        </w:pBdr>
        <w:spacing w:before="240"/>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Se adjuntó el archivo electrónico denominado </w:t>
      </w:r>
      <w:hyperlink r:id="rId8">
        <w:r>
          <w:rPr>
            <w:rFonts w:ascii="Palatino Linotype" w:eastAsia="Palatino Linotype" w:hAnsi="Palatino Linotype" w:cs="Palatino Linotype"/>
            <w:b/>
            <w:color w:val="000000"/>
            <w:sz w:val="22"/>
            <w:szCs w:val="22"/>
          </w:rPr>
          <w:t>Rpta. 00005-2024-AD.pdf</w:t>
        </w:r>
      </w:hyperlink>
      <w:r>
        <w:rPr>
          <w:rFonts w:ascii="Palatino Linotype" w:eastAsia="Palatino Linotype" w:hAnsi="Palatino Linotype" w:cs="Palatino Linotype"/>
          <w:color w:val="000000"/>
          <w:sz w:val="22"/>
          <w:szCs w:val="22"/>
        </w:rPr>
        <w:t xml:space="preserve">, consistente en el oficio número 00005/SEGEGOB/AD/2024, suscrito por el Titular de la Unidad de Transparencia, por medio del cual, informó lo siguiente: </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222222"/>
          <w:sz w:val="22"/>
          <w:szCs w:val="22"/>
          <w:highlight w:val="white"/>
        </w:rPr>
        <w:t>De conformidad con los ordenamientos normativos que regulan el actuar de la Secretaría General de Gobierno, no se encuentra ninguna relacionada con la descripción de su Solicitud de Información,</w:t>
      </w:r>
      <w:r>
        <w:rPr>
          <w:rFonts w:ascii="Palatino Linotype" w:eastAsia="Palatino Linotype" w:hAnsi="Palatino Linotype" w:cs="Palatino Linotype"/>
          <w:i/>
          <w:color w:val="222222"/>
          <w:sz w:val="22"/>
          <w:szCs w:val="22"/>
          <w:highlight w:val="white"/>
        </w:rPr>
        <w:t xml:space="preserve"> como se puede advertir en los artículos 24 y 25 de la Ley Orgánica de la Administración Pública del Estado de México, por lo cual </w:t>
      </w:r>
      <w:r>
        <w:rPr>
          <w:rFonts w:ascii="Palatino Linotype" w:eastAsia="Palatino Linotype" w:hAnsi="Palatino Linotype" w:cs="Palatino Linotype"/>
          <w:b/>
          <w:i/>
          <w:color w:val="222222"/>
          <w:sz w:val="22"/>
          <w:szCs w:val="22"/>
          <w:highlight w:val="white"/>
        </w:rPr>
        <w:t>carece de facultades legales para dar una respuesta favorable a su petición.</w:t>
      </w:r>
      <w:r>
        <w:rPr>
          <w:rFonts w:ascii="Palatino Linotype" w:eastAsia="Palatino Linotype" w:hAnsi="Palatino Linotype" w:cs="Palatino Linotype"/>
          <w:i/>
          <w:color w:val="222222"/>
          <w:sz w:val="22"/>
          <w:szCs w:val="22"/>
          <w:highlight w:val="white"/>
        </w:rPr>
        <w:t xml:space="preserve"> En este sentido, la instancia gubernamental que pudiera contar con la información de su interés es la Fiscalía General de Justicia del Estado de México.</w:t>
      </w:r>
      <w:r>
        <w:rPr>
          <w:rFonts w:ascii="Palatino Linotype" w:eastAsia="Palatino Linotype" w:hAnsi="Palatino Linotype" w:cs="Palatino Linotype"/>
          <w:i/>
          <w:color w:val="000000"/>
          <w:sz w:val="22"/>
          <w:szCs w:val="22"/>
        </w:rPr>
        <w:t>” (Sic)</w:t>
      </w:r>
    </w:p>
    <w:p w14:paraId="2F941E33"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rPr>
      </w:pPr>
    </w:p>
    <w:p w14:paraId="605746EB" w14:textId="77777777" w:rsidR="009C040E" w:rsidRDefault="00EE681F">
      <w:pPr>
        <w:numPr>
          <w:ilvl w:val="0"/>
          <w:numId w:val="1"/>
        </w:numPr>
        <w:pBdr>
          <w:top w:val="nil"/>
          <w:left w:val="nil"/>
          <w:bottom w:val="nil"/>
          <w:right w:val="nil"/>
          <w:between w:val="nil"/>
        </w:pBdr>
        <w:spacing w:after="240" w:line="360" w:lineRule="auto"/>
        <w:ind w:left="0" w:right="-876" w:firstLine="0"/>
        <w:jc w:val="both"/>
        <w:rPr>
          <w:color w:val="000000"/>
        </w:rPr>
      </w:pPr>
      <w:bookmarkStart w:id="2" w:name="_heading=h.1fob9te" w:colFirst="0" w:colLast="0"/>
      <w:bookmarkEnd w:id="2"/>
      <w:r>
        <w:rPr>
          <w:rFonts w:ascii="Palatino Linotype" w:eastAsia="Palatino Linotype" w:hAnsi="Palatino Linotype" w:cs="Palatino Linotype"/>
          <w:color w:val="000000"/>
        </w:rPr>
        <w:t xml:space="preserve">El veintiocho de febrero de dos mil veinticuatro,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interpuso el recurso de revisión, en contra de la respuesta y, señaló como:</w:t>
      </w:r>
    </w:p>
    <w:p w14:paraId="0F488EA6" w14:textId="77777777" w:rsidR="009C040E" w:rsidRDefault="00EE681F">
      <w:pPr>
        <w:numPr>
          <w:ilvl w:val="0"/>
          <w:numId w:val="3"/>
        </w:numPr>
        <w:pBdr>
          <w:top w:val="nil"/>
          <w:left w:val="nil"/>
          <w:bottom w:val="nil"/>
          <w:right w:val="nil"/>
          <w:between w:val="nil"/>
        </w:pBdr>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2E75B5"/>
          <w:sz w:val="22"/>
          <w:szCs w:val="22"/>
        </w:rPr>
        <w:t xml:space="preserve"> </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 xml:space="preserve">Declara incompetencia </w:t>
      </w:r>
      <w:r>
        <w:rPr>
          <w:rFonts w:ascii="Palatino Linotype" w:eastAsia="Palatino Linotype" w:hAnsi="Palatino Linotype" w:cs="Palatino Linotype"/>
          <w:color w:val="000000"/>
          <w:sz w:val="22"/>
          <w:szCs w:val="22"/>
        </w:rPr>
        <w:t>" (Sic)</w:t>
      </w:r>
    </w:p>
    <w:p w14:paraId="6D9531A5" w14:textId="77777777" w:rsidR="009C040E" w:rsidRDefault="00EE681F">
      <w:pPr>
        <w:numPr>
          <w:ilvl w:val="0"/>
          <w:numId w:val="3"/>
        </w:numPr>
        <w:pBdr>
          <w:top w:val="nil"/>
          <w:left w:val="nil"/>
          <w:bottom w:val="nil"/>
          <w:right w:val="nil"/>
          <w:between w:val="nil"/>
        </w:pBdr>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color w:val="000000"/>
          <w:sz w:val="22"/>
          <w:szCs w:val="22"/>
        </w:rPr>
        <w:t>“La solicitud la presenté con el objeto de allegarme de información que esclarezca los hechos ocurridos y relacionados con el secuestro, tortura y homicidio de mi padre el 7 de febrero de 1968, tal y como lo describí en la solicitud y apoye para mayor referencia con los archivos adjuntos. En ese sentido considero que el sujeto obligado debió proceder a la búsqueda de los documentos requeridos en sus archivos, tal y como lo solicité en primera instancia al referir "...De ahí que requiero todos los documentos relacionados con acciones que el Gobernador haya realizado para esclarecer el hecho por el homicidio de mi padre en funciones como servidor público y los apoyos, becas o ayudas que nos prometieron. Aunado a ello todas las fichas informativas, informes, oficios, o como se denominen relacionados con los informes que las distintas dependencias de seguridad, Procuraduría General del Estado de México o de competencia, mediante las que informaron al Gobernado acerca de los hechos relacionados con el secuestro, tortura y homicidio de mi padre el 7 de febrero de 1968..." Por ende, debió procederse a la búsqueda de cualquier documento relacionado con lo citado, ya que considero el Gobernador debió tener alguna participación o recibir información acerca de los hechos, con independencia de proporcionar también lo relacionado con los apoyos que nos dijo que daría. Afirmo lo anterior, ya que las labores que en ese momento se realizaron comprendieron a diversas autoridades, las cuales pudieron informar mediante diversos medios al Gobernador el estado de la investigación y esclarecimiento de los hechos. Además al haber fallecido mi padre siendo servidor público, debió el Gobernador también ordenar la realización de diversos actos. De todo lo anterior se debió proceder a su búsqueda para que en caso de relacionarse me sea proporcionado y de esta forma seguir allegándome de información. Adjunto otras notas periodísticas que he seguido encontrando.” (Sic)</w:t>
      </w:r>
      <w:r>
        <w:rPr>
          <w:rFonts w:ascii="Palatino Linotype" w:eastAsia="Palatino Linotype" w:hAnsi="Palatino Linotype" w:cs="Palatino Linotype"/>
          <w:color w:val="000000"/>
          <w:sz w:val="22"/>
          <w:szCs w:val="22"/>
        </w:rPr>
        <w:t xml:space="preserve"> </w:t>
      </w:r>
    </w:p>
    <w:p w14:paraId="0F9E81C1" w14:textId="77777777" w:rsidR="009C040E" w:rsidRDefault="009C040E">
      <w:pPr>
        <w:ind w:right="-876"/>
        <w:jc w:val="both"/>
        <w:rPr>
          <w:rFonts w:ascii="Palatino Linotype" w:eastAsia="Palatino Linotype" w:hAnsi="Palatino Linotype" w:cs="Palatino Linotype"/>
        </w:rPr>
      </w:pPr>
    </w:p>
    <w:p w14:paraId="4EE47180" w14:textId="77777777" w:rsidR="009C040E" w:rsidRDefault="00EE681F">
      <w:pPr>
        <w:spacing w:before="280" w:after="280"/>
        <w:ind w:right="-876"/>
        <w:jc w:val="both"/>
        <w:rPr>
          <w:rFonts w:ascii="Palatino Linotype" w:eastAsia="Palatino Linotype" w:hAnsi="Palatino Linotype" w:cs="Palatino Linotype"/>
          <w:color w:val="333333"/>
        </w:rPr>
      </w:pPr>
      <w:r>
        <w:rPr>
          <w:rFonts w:ascii="Palatino Linotype" w:eastAsia="Palatino Linotype" w:hAnsi="Palatino Linotype" w:cs="Palatino Linotype"/>
        </w:rPr>
        <w:t xml:space="preserve">Se adjuntó el archivo electrónico denominado </w:t>
      </w:r>
      <w:hyperlink r:id="rId9">
        <w:r>
          <w:rPr>
            <w:rFonts w:ascii="Palatino Linotype" w:eastAsia="Palatino Linotype" w:hAnsi="Palatino Linotype" w:cs="Palatino Linotype"/>
            <w:b/>
            <w:color w:val="000000"/>
          </w:rPr>
          <w:t>Image to PDF 20240228 12.18.58.pdf</w:t>
        </w:r>
      </w:hyperlink>
      <w:r>
        <w:rPr>
          <w:rFonts w:ascii="Palatino Linotype" w:eastAsia="Palatino Linotype" w:hAnsi="Palatino Linotype" w:cs="Palatino Linotype"/>
        </w:rPr>
        <w:t xml:space="preserve">, consistente en diversas notas periodísticas. </w:t>
      </w:r>
    </w:p>
    <w:p w14:paraId="2CE311AB" w14:textId="77777777" w:rsidR="009C040E" w:rsidRDefault="00EE681F">
      <w:pPr>
        <w:numPr>
          <w:ilvl w:val="0"/>
          <w:numId w:val="1"/>
        </w:numPr>
        <w:pBdr>
          <w:top w:val="nil"/>
          <w:left w:val="nil"/>
          <w:bottom w:val="nil"/>
          <w:right w:val="nil"/>
          <w:between w:val="nil"/>
        </w:pBdr>
        <w:spacing w:before="240" w:line="360" w:lineRule="auto"/>
        <w:ind w:left="0" w:right="-876" w:firstLine="0"/>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de aplicación supletoria,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tornó</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 y se admitió el veintiuno de marzo de dos mil veinticuatro.</w:t>
      </w:r>
    </w:p>
    <w:p w14:paraId="1E29A29E"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3E50448A" w14:textId="77777777" w:rsidR="009C040E" w:rsidRDefault="00EE681F">
      <w:pPr>
        <w:numPr>
          <w:ilvl w:val="0"/>
          <w:numId w:val="1"/>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El doce de junio de dos mil veinticuatro, la Comisionada Ponente exhortó a las partes para conciliar.</w:t>
      </w:r>
    </w:p>
    <w:p w14:paraId="2862445E" w14:textId="77777777" w:rsidR="009C040E" w:rsidRDefault="009C040E">
      <w:pPr>
        <w:ind w:right="-876"/>
        <w:rPr>
          <w:rFonts w:ascii="Palatino Linotype" w:eastAsia="Palatino Linotype" w:hAnsi="Palatino Linotype" w:cs="Palatino Linotype"/>
        </w:rPr>
      </w:pPr>
    </w:p>
    <w:p w14:paraId="5CE582A5" w14:textId="77777777" w:rsidR="009C040E" w:rsidRDefault="00EE681F">
      <w:pPr>
        <w:numPr>
          <w:ilvl w:val="0"/>
          <w:numId w:val="1"/>
        </w:numPr>
        <w:pBdr>
          <w:top w:val="nil"/>
          <w:left w:val="nil"/>
          <w:bottom w:val="nil"/>
          <w:right w:val="nil"/>
          <w:between w:val="nil"/>
        </w:pBdr>
        <w:spacing w:before="240" w:after="240" w:line="360" w:lineRule="auto"/>
        <w:ind w:left="0" w:right="-876" w:firstLine="0"/>
        <w:jc w:val="both"/>
        <w:rPr>
          <w:color w:val="000000"/>
        </w:rPr>
      </w:pPr>
      <w:r>
        <w:rPr>
          <w:rFonts w:ascii="Palatino Linotype" w:eastAsia="Palatino Linotype" w:hAnsi="Palatino Linotype" w:cs="Palatino Linotype"/>
          <w:color w:val="000000"/>
        </w:rPr>
        <w:t xml:space="preserve">El doce de junio de dos mil veinticuatro,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mediante correo electrónico, manifiesta su disposición para conciliar.</w:t>
      </w:r>
    </w:p>
    <w:p w14:paraId="6BD1CC21" w14:textId="77777777" w:rsidR="009C040E" w:rsidRDefault="009C040E">
      <w:pPr>
        <w:ind w:right="-876"/>
        <w:rPr>
          <w:rFonts w:ascii="Palatino Linotype" w:eastAsia="Palatino Linotype" w:hAnsi="Palatino Linotype" w:cs="Palatino Linotype"/>
        </w:rPr>
      </w:pPr>
    </w:p>
    <w:p w14:paraId="6A91062C" w14:textId="77777777" w:rsidR="009C040E" w:rsidRDefault="00EE681F">
      <w:pPr>
        <w:numPr>
          <w:ilvl w:val="0"/>
          <w:numId w:val="1"/>
        </w:numPr>
        <w:pBdr>
          <w:top w:val="nil"/>
          <w:left w:val="nil"/>
          <w:bottom w:val="nil"/>
          <w:right w:val="nil"/>
          <w:between w:val="nil"/>
        </w:pBdr>
        <w:spacing w:before="240" w:after="240" w:line="360" w:lineRule="auto"/>
        <w:ind w:left="0" w:right="-876"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del archivo electrónico denominado “</w:t>
      </w:r>
      <w:hyperlink r:id="rId10">
        <w:r>
          <w:rPr>
            <w:rFonts w:ascii="Palatino Linotype" w:eastAsia="Palatino Linotype" w:hAnsi="Palatino Linotype" w:cs="Palatino Linotype"/>
            <w:b/>
            <w:color w:val="000000"/>
          </w:rPr>
          <w:t>Acuerdo de Conciliación 00005-2024-AD.pdf</w:t>
        </w:r>
      </w:hyperlink>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manifestó su disposición para conciliar.</w:t>
      </w:r>
    </w:p>
    <w:p w14:paraId="58A6AD4F" w14:textId="77777777" w:rsidR="009C040E" w:rsidRDefault="009C040E">
      <w:pPr>
        <w:ind w:right="-876"/>
        <w:rPr>
          <w:rFonts w:ascii="Palatino Linotype" w:eastAsia="Palatino Linotype" w:hAnsi="Palatino Linotype" w:cs="Palatino Linotype"/>
        </w:rPr>
      </w:pPr>
    </w:p>
    <w:p w14:paraId="0D539C0D" w14:textId="77777777" w:rsidR="009C040E" w:rsidRDefault="00EE681F">
      <w:pPr>
        <w:numPr>
          <w:ilvl w:val="0"/>
          <w:numId w:val="1"/>
        </w:numPr>
        <w:pBdr>
          <w:top w:val="nil"/>
          <w:left w:val="nil"/>
          <w:bottom w:val="nil"/>
          <w:right w:val="nil"/>
          <w:between w:val="nil"/>
        </w:pBdr>
        <w:spacing w:before="240" w:after="240" w:line="360" w:lineRule="auto"/>
        <w:ind w:left="0" w:right="-876" w:firstLine="0"/>
        <w:jc w:val="both"/>
        <w:rPr>
          <w:color w:val="000000"/>
        </w:rPr>
      </w:pPr>
      <w:r>
        <w:rPr>
          <w:rFonts w:ascii="Palatino Linotype" w:eastAsia="Palatino Linotype" w:hAnsi="Palatino Linotype" w:cs="Palatino Linotype"/>
          <w:color w:val="000000"/>
        </w:rPr>
        <w:lastRenderedPageBreak/>
        <w:t>Una vez que las partes aceptaron conciliar, se fijó como fecha de audiencia de conciliación el treinta de agosto de dos mil veinticuatro, a través de la plataforma digital “jitsi”.</w:t>
      </w:r>
    </w:p>
    <w:p w14:paraId="5B9644DC" w14:textId="77777777" w:rsidR="009C040E" w:rsidRDefault="009C040E">
      <w:pPr>
        <w:ind w:right="-876"/>
        <w:rPr>
          <w:rFonts w:ascii="Palatino Linotype" w:eastAsia="Palatino Linotype" w:hAnsi="Palatino Linotype" w:cs="Palatino Linotype"/>
        </w:rPr>
      </w:pPr>
    </w:p>
    <w:p w14:paraId="2EDC9738" w14:textId="77777777" w:rsidR="009C040E" w:rsidRDefault="00EE681F">
      <w:pPr>
        <w:numPr>
          <w:ilvl w:val="0"/>
          <w:numId w:val="1"/>
        </w:numPr>
        <w:pBdr>
          <w:top w:val="nil"/>
          <w:left w:val="nil"/>
          <w:bottom w:val="nil"/>
          <w:right w:val="nil"/>
          <w:between w:val="nil"/>
        </w:pBdr>
        <w:spacing w:before="240" w:line="360" w:lineRule="auto"/>
        <w:ind w:left="0" w:right="-876" w:firstLine="0"/>
        <w:jc w:val="both"/>
        <w:rPr>
          <w:color w:val="000000"/>
        </w:rPr>
      </w:pPr>
      <w:r>
        <w:rPr>
          <w:rFonts w:ascii="Palatino Linotype" w:eastAsia="Palatino Linotype" w:hAnsi="Palatino Linotype" w:cs="Palatino Linotype"/>
          <w:color w:val="000000"/>
        </w:rPr>
        <w:t>El treinta de agosto de dos mil veinticuatro, se notificó el acuerdo de conciliación al que llegaron las partes en la audiencia.</w:t>
      </w:r>
    </w:p>
    <w:p w14:paraId="694DEA80" w14:textId="77777777" w:rsidR="009C040E" w:rsidRDefault="00EE681F">
      <w:pPr>
        <w:numPr>
          <w:ilvl w:val="0"/>
          <w:numId w:val="1"/>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 xml:space="preserve">El cinco de septiembre de dos mil veinticuatro, se notificó el acuerdo mediante el cual se acordó la ampliación de plazo para emitir resolución. </w:t>
      </w:r>
    </w:p>
    <w:p w14:paraId="6D2A2FA7"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672FCE0" w14:textId="77777777" w:rsidR="009C040E" w:rsidRDefault="009C040E">
      <w:pPr>
        <w:spacing w:line="360" w:lineRule="auto"/>
        <w:ind w:right="-876"/>
        <w:rPr>
          <w:rFonts w:ascii="Palatino Linotype" w:eastAsia="Palatino Linotype" w:hAnsi="Palatino Linotype" w:cs="Palatino Linotype"/>
        </w:rPr>
      </w:pPr>
    </w:p>
    <w:p w14:paraId="045BE3BD"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43C6C47" w14:textId="77777777" w:rsidR="009C040E" w:rsidRDefault="009C040E">
      <w:pPr>
        <w:spacing w:line="360" w:lineRule="auto"/>
        <w:ind w:right="-876"/>
        <w:rPr>
          <w:rFonts w:ascii="Palatino Linotype" w:eastAsia="Palatino Linotype" w:hAnsi="Palatino Linotype" w:cs="Palatino Linotype"/>
        </w:rPr>
      </w:pPr>
    </w:p>
    <w:p w14:paraId="2D12B67D"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EF92F5" w14:textId="77777777" w:rsidR="009C040E" w:rsidRDefault="009C040E">
      <w:pPr>
        <w:spacing w:line="360" w:lineRule="auto"/>
        <w:ind w:right="-876"/>
        <w:rPr>
          <w:rFonts w:ascii="Palatino Linotype" w:eastAsia="Palatino Linotype" w:hAnsi="Palatino Linotype" w:cs="Palatino Linotype"/>
        </w:rPr>
      </w:pPr>
    </w:p>
    <w:p w14:paraId="1EE587AA"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92433F" w14:textId="77777777" w:rsidR="009C040E" w:rsidRDefault="009C040E">
      <w:pPr>
        <w:spacing w:line="360" w:lineRule="auto"/>
        <w:ind w:right="-876"/>
        <w:rPr>
          <w:rFonts w:ascii="Palatino Linotype" w:eastAsia="Palatino Linotype" w:hAnsi="Palatino Linotype" w:cs="Palatino Linotype"/>
        </w:rPr>
      </w:pPr>
    </w:p>
    <w:p w14:paraId="142AB476"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4559CDE9" w14:textId="77777777" w:rsidR="009C040E" w:rsidRDefault="00EE681F">
      <w:pPr>
        <w:numPr>
          <w:ilvl w:val="0"/>
          <w:numId w:val="4"/>
        </w:numPr>
        <w:pBdr>
          <w:top w:val="nil"/>
          <w:left w:val="nil"/>
          <w:bottom w:val="nil"/>
          <w:right w:val="nil"/>
          <w:between w:val="nil"/>
        </w:pBdr>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13D4295" w14:textId="77777777" w:rsidR="009C040E" w:rsidRDefault="009C040E">
      <w:pPr>
        <w:pBdr>
          <w:top w:val="nil"/>
          <w:left w:val="nil"/>
          <w:bottom w:val="nil"/>
          <w:right w:val="nil"/>
          <w:between w:val="nil"/>
        </w:pBdr>
        <w:ind w:left="927" w:right="115"/>
        <w:jc w:val="both"/>
        <w:rPr>
          <w:rFonts w:ascii="Palatino Linotype" w:eastAsia="Palatino Linotype" w:hAnsi="Palatino Linotype" w:cs="Palatino Linotype"/>
          <w:color w:val="000000"/>
          <w:sz w:val="22"/>
          <w:szCs w:val="22"/>
        </w:rPr>
      </w:pPr>
    </w:p>
    <w:p w14:paraId="463006ED" w14:textId="77777777" w:rsidR="009C040E" w:rsidRDefault="00EE681F">
      <w:pPr>
        <w:numPr>
          <w:ilvl w:val="0"/>
          <w:numId w:val="4"/>
        </w:numPr>
        <w:pBdr>
          <w:top w:val="nil"/>
          <w:left w:val="nil"/>
          <w:bottom w:val="nil"/>
          <w:right w:val="nil"/>
          <w:between w:val="nil"/>
        </w:pBdr>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3B867FCD" w14:textId="77777777" w:rsidR="009C040E" w:rsidRDefault="009C040E">
      <w:pPr>
        <w:ind w:right="115"/>
        <w:jc w:val="both"/>
        <w:rPr>
          <w:rFonts w:ascii="Palatino Linotype" w:eastAsia="Palatino Linotype" w:hAnsi="Palatino Linotype" w:cs="Palatino Linotype"/>
          <w:sz w:val="22"/>
          <w:szCs w:val="22"/>
        </w:rPr>
      </w:pPr>
    </w:p>
    <w:p w14:paraId="31E19CD0" w14:textId="77777777" w:rsidR="009C040E" w:rsidRDefault="00EE681F">
      <w:pPr>
        <w:numPr>
          <w:ilvl w:val="0"/>
          <w:numId w:val="4"/>
        </w:numPr>
        <w:pBdr>
          <w:top w:val="nil"/>
          <w:left w:val="nil"/>
          <w:bottom w:val="nil"/>
          <w:right w:val="nil"/>
          <w:between w:val="nil"/>
        </w:pBdr>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7499A06" w14:textId="77777777" w:rsidR="009C040E" w:rsidRDefault="009C040E">
      <w:pPr>
        <w:pBdr>
          <w:top w:val="nil"/>
          <w:left w:val="nil"/>
          <w:bottom w:val="nil"/>
          <w:right w:val="nil"/>
          <w:between w:val="nil"/>
        </w:pBdr>
        <w:ind w:left="720" w:right="115"/>
        <w:rPr>
          <w:rFonts w:ascii="Palatino Linotype" w:eastAsia="Palatino Linotype" w:hAnsi="Palatino Linotype" w:cs="Palatino Linotype"/>
          <w:color w:val="000000"/>
          <w:sz w:val="22"/>
          <w:szCs w:val="22"/>
        </w:rPr>
      </w:pPr>
    </w:p>
    <w:p w14:paraId="1DA6B671" w14:textId="77777777" w:rsidR="009C040E" w:rsidRDefault="00EE681F">
      <w:pPr>
        <w:numPr>
          <w:ilvl w:val="0"/>
          <w:numId w:val="4"/>
        </w:numPr>
        <w:pBdr>
          <w:top w:val="nil"/>
          <w:left w:val="nil"/>
          <w:bottom w:val="nil"/>
          <w:right w:val="nil"/>
          <w:between w:val="nil"/>
        </w:pBdr>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1FB1D3DC" w14:textId="77777777" w:rsidR="009C040E" w:rsidRDefault="009C040E">
      <w:pPr>
        <w:spacing w:line="360" w:lineRule="auto"/>
        <w:ind w:right="-876"/>
        <w:rPr>
          <w:rFonts w:ascii="Palatino Linotype" w:eastAsia="Palatino Linotype" w:hAnsi="Palatino Linotype" w:cs="Palatino Linotype"/>
        </w:rPr>
      </w:pPr>
    </w:p>
    <w:p w14:paraId="04196B5A"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3819A9" w14:textId="77777777" w:rsidR="009C040E" w:rsidRDefault="009C040E">
      <w:pPr>
        <w:spacing w:line="360" w:lineRule="auto"/>
        <w:ind w:right="-876"/>
        <w:jc w:val="both"/>
        <w:rPr>
          <w:rFonts w:ascii="Palatino Linotype" w:eastAsia="Palatino Linotype" w:hAnsi="Palatino Linotype" w:cs="Palatino Linotype"/>
          <w:b/>
        </w:rPr>
      </w:pPr>
    </w:p>
    <w:p w14:paraId="293D4A8D"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 xml:space="preserve">“TÉRMINOS PROCESALES. PARA DETERMINAR SI UN FUNCIONARIO JUDICIAL ACTUÓ INDEBIDAMENTE POR </w:t>
      </w:r>
      <w:r>
        <w:rPr>
          <w:rFonts w:ascii="Palatino Linotype" w:eastAsia="Palatino Linotype" w:hAnsi="Palatino Linotype" w:cs="Palatino Linotype"/>
          <w:i/>
        </w:rPr>
        <w:lastRenderedPageBreak/>
        <w:t>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2F61DB1D" w14:textId="77777777" w:rsidR="009C040E" w:rsidRDefault="009C040E">
      <w:pPr>
        <w:spacing w:line="360" w:lineRule="auto"/>
        <w:ind w:right="-876"/>
        <w:rPr>
          <w:rFonts w:ascii="Palatino Linotype" w:eastAsia="Palatino Linotype" w:hAnsi="Palatino Linotype" w:cs="Palatino Linotype"/>
        </w:rPr>
      </w:pPr>
    </w:p>
    <w:p w14:paraId="581FC3D8"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A92D47" w14:textId="77777777" w:rsidR="009C040E" w:rsidRDefault="009C040E">
      <w:pPr>
        <w:spacing w:line="360" w:lineRule="auto"/>
        <w:ind w:right="-876"/>
        <w:rPr>
          <w:rFonts w:ascii="Palatino Linotype" w:eastAsia="Palatino Linotype" w:hAnsi="Palatino Linotype" w:cs="Palatino Linotype"/>
        </w:rPr>
      </w:pPr>
    </w:p>
    <w:p w14:paraId="563AE7A4" w14:textId="77777777" w:rsidR="009C040E" w:rsidRPr="000028D2"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089A8C2" w14:textId="77777777" w:rsidR="000028D2" w:rsidRDefault="000028D2" w:rsidP="000028D2">
      <w:pPr>
        <w:spacing w:line="360" w:lineRule="auto"/>
        <w:ind w:right="-876"/>
        <w:jc w:val="both"/>
        <w:rPr>
          <w:rFonts w:ascii="Palatino Linotype" w:eastAsia="Palatino Linotype" w:hAnsi="Palatino Linotype" w:cs="Palatino Linotype"/>
          <w:b/>
        </w:rPr>
      </w:pPr>
    </w:p>
    <w:p w14:paraId="2CD5592B" w14:textId="77777777" w:rsidR="009C040E" w:rsidRDefault="00EE681F">
      <w:pPr>
        <w:numPr>
          <w:ilvl w:val="0"/>
          <w:numId w:val="1"/>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FCA9141" w14:textId="77777777" w:rsidR="009C040E" w:rsidRDefault="00EE681F">
      <w:pPr>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69331ACA" w14:textId="77777777" w:rsidR="009C040E" w:rsidRDefault="009C040E">
      <w:pPr>
        <w:ind w:left="851" w:right="115"/>
        <w:jc w:val="both"/>
        <w:rPr>
          <w:rFonts w:ascii="Palatino Linotype" w:eastAsia="Palatino Linotype" w:hAnsi="Palatino Linotype" w:cs="Palatino Linotype"/>
          <w:b/>
          <w:sz w:val="22"/>
          <w:szCs w:val="22"/>
        </w:rPr>
      </w:pPr>
    </w:p>
    <w:p w14:paraId="6897AFB7" w14:textId="77777777" w:rsidR="009C040E" w:rsidRDefault="00EE681F">
      <w:pPr>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1E3CF4BF" w14:textId="77777777" w:rsidR="009C040E" w:rsidRDefault="009C040E">
      <w:pPr>
        <w:spacing w:line="360" w:lineRule="auto"/>
        <w:ind w:right="-876"/>
        <w:jc w:val="both"/>
        <w:rPr>
          <w:rFonts w:ascii="Palatino Linotype" w:eastAsia="Palatino Linotype" w:hAnsi="Palatino Linotype" w:cs="Palatino Linotype"/>
          <w:i/>
        </w:rPr>
      </w:pPr>
    </w:p>
    <w:p w14:paraId="23860121"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66E61C3D"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24D6346B"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El once de septiembre de dos mil veinticuatro, se decretó el cierre de instrucción.</w:t>
      </w:r>
    </w:p>
    <w:p w14:paraId="48A5A1B2"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153905AE" w14:textId="0E7A20B1"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Una vez que se cumplió el acuerdo al que llegaron las partes, por lo que, el Comisionado Ponente ordenó turnar el expediente para su resolución, misma que ahora se pronuncia; y ----</w:t>
      </w:r>
    </w:p>
    <w:p w14:paraId="479B99C9"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rPr>
      </w:pPr>
    </w:p>
    <w:p w14:paraId="37FA83B8" w14:textId="77777777" w:rsidR="009C040E" w:rsidRDefault="00EE681F">
      <w:pPr>
        <w:pStyle w:val="Ttulo1"/>
        <w:ind w:right="-876"/>
        <w:jc w:val="center"/>
        <w:rPr>
          <w:rFonts w:ascii="Palatino Linotype" w:eastAsia="Palatino Linotype" w:hAnsi="Palatino Linotype" w:cs="Palatino Linotype"/>
          <w:b/>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C O N S I D E R A N D O</w:t>
      </w:r>
      <w:r>
        <w:rPr>
          <w:rFonts w:ascii="Palatino Linotype" w:eastAsia="Palatino Linotype" w:hAnsi="Palatino Linotype" w:cs="Palatino Linotype"/>
          <w:b/>
          <w:sz w:val="24"/>
          <w:szCs w:val="24"/>
        </w:rPr>
        <w:t xml:space="preserve"> </w:t>
      </w:r>
    </w:p>
    <w:p w14:paraId="209BF466" w14:textId="77777777" w:rsidR="009C040E" w:rsidRDefault="009C040E">
      <w:pPr>
        <w:ind w:right="-876"/>
        <w:rPr>
          <w:rFonts w:ascii="Palatino Linotype" w:eastAsia="Palatino Linotype" w:hAnsi="Palatino Linotype" w:cs="Palatino Linotype"/>
        </w:rPr>
      </w:pPr>
    </w:p>
    <w:p w14:paraId="19FBBCA2" w14:textId="77777777" w:rsidR="009C040E" w:rsidRDefault="00EE681F">
      <w:pPr>
        <w:pStyle w:val="Ttulo2"/>
        <w:ind w:right="-87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69804294" w14:textId="77777777" w:rsidR="009C040E" w:rsidRDefault="00EE681F">
      <w:pPr>
        <w:numPr>
          <w:ilvl w:val="0"/>
          <w:numId w:val="1"/>
        </w:numPr>
        <w:pBdr>
          <w:top w:val="nil"/>
          <w:left w:val="nil"/>
          <w:bottom w:val="nil"/>
          <w:right w:val="nil"/>
          <w:between w:val="nil"/>
        </w:pBdr>
        <w:spacing w:before="240" w:after="240" w:line="360" w:lineRule="auto"/>
        <w:ind w:left="0" w:right="-876"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y 16 segundo párrafo de la Constitución Política de los Estados Unidos Mexicanos; 5, párrafos vigésimo, vigésimo primero y vigésimo segundo fracciones IV, V, VIII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w:t>
      </w:r>
      <w:r>
        <w:rPr>
          <w:rFonts w:ascii="Palatino Linotype" w:eastAsia="Palatino Linotype" w:hAnsi="Palatino Linotype" w:cs="Palatino Linotype"/>
          <w:color w:val="000000"/>
        </w:rPr>
        <w:lastRenderedPageBreak/>
        <w:t>de Transparencia, Acceso a la Información Pública y Protección de Datos Personales del Estado de México y Municipios.</w:t>
      </w:r>
    </w:p>
    <w:p w14:paraId="78871CA7" w14:textId="77777777" w:rsidR="009C040E" w:rsidRDefault="009C040E">
      <w:pPr>
        <w:pBdr>
          <w:top w:val="nil"/>
          <w:left w:val="nil"/>
          <w:bottom w:val="nil"/>
          <w:right w:val="nil"/>
          <w:between w:val="nil"/>
        </w:pBdr>
        <w:spacing w:before="240" w:after="240" w:line="360" w:lineRule="auto"/>
        <w:ind w:left="4330" w:right="-876"/>
        <w:jc w:val="both"/>
        <w:rPr>
          <w:rFonts w:ascii="Palatino Linotype" w:eastAsia="Palatino Linotype" w:hAnsi="Palatino Linotype" w:cs="Palatino Linotype"/>
        </w:rPr>
      </w:pPr>
    </w:p>
    <w:p w14:paraId="72631A4B" w14:textId="77777777" w:rsidR="009C040E" w:rsidRDefault="00EE681F">
      <w:pPr>
        <w:pStyle w:val="Ttulo2"/>
        <w:ind w:right="-876"/>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5EF4912D" w14:textId="77777777" w:rsidR="009C040E" w:rsidRDefault="00EE681F">
      <w:pPr>
        <w:numPr>
          <w:ilvl w:val="0"/>
          <w:numId w:val="1"/>
        </w:numPr>
        <w:pBdr>
          <w:top w:val="nil"/>
          <w:left w:val="nil"/>
          <w:bottom w:val="nil"/>
          <w:right w:val="nil"/>
          <w:between w:val="nil"/>
        </w:pBdr>
        <w:spacing w:before="240" w:line="360" w:lineRule="auto"/>
        <w:ind w:left="0" w:right="-876" w:firstLine="0"/>
        <w:jc w:val="both"/>
        <w:rPr>
          <w:color w:val="000000"/>
        </w:rPr>
      </w:pPr>
      <w:r>
        <w:rPr>
          <w:rFonts w:ascii="Palatino Linotype" w:eastAsia="Palatino Linotype" w:hAnsi="Palatino Linotype" w:cs="Palatino Linotype"/>
          <w:color w:val="000000"/>
        </w:rPr>
        <w:t>El medio de impugnación fue presentado a través del SARCOEM</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en el formato previamente aprobado para tal efecto y dentro del plazo legal de veinte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día diecinueve de febrero de dos mil veinticuatro, de tal forma que el plazo para interponer el recurso de revisión transcurrió del veinte de febrero al trece de marzo de dos mil veinticuatro; en consecuencia, presentó su inconformidad el veintiocho de febrero de dos mil veinticuatro, por lo que se encuentra dentro de los márgenes temporales previstos en el artículo señalados en el artículo 128 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w:t>
      </w:r>
    </w:p>
    <w:p w14:paraId="677254C5"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282AF936"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Por otro lado, el escrito contiene las formalidades previstas por el artículo 130 de la Ley de la materia, por lo que es procedente que este Instituto de Transparencia, Acceso a la Información Pública y Protección de Datos Personales del Estado de México y Municipios, conozca y resuelva el presente recurso.</w:t>
      </w:r>
    </w:p>
    <w:p w14:paraId="13A758D3" w14:textId="77777777" w:rsidR="009C040E" w:rsidRDefault="009C040E">
      <w:pPr>
        <w:pBdr>
          <w:top w:val="nil"/>
          <w:left w:val="nil"/>
          <w:bottom w:val="nil"/>
          <w:right w:val="nil"/>
          <w:between w:val="nil"/>
        </w:pBdr>
        <w:spacing w:after="160" w:line="360" w:lineRule="auto"/>
        <w:ind w:right="-876"/>
        <w:jc w:val="both"/>
        <w:rPr>
          <w:rFonts w:ascii="Palatino Linotype" w:eastAsia="Palatino Linotype" w:hAnsi="Palatino Linotype" w:cs="Palatino Linotype"/>
          <w:color w:val="000000"/>
        </w:rPr>
      </w:pPr>
    </w:p>
    <w:p w14:paraId="16073FB7" w14:textId="77777777" w:rsidR="009C040E" w:rsidRDefault="00EE681F">
      <w:pPr>
        <w:pStyle w:val="Ttulo1"/>
        <w:ind w:right="-876"/>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TERCERO. De las causales del sobreseimiento.</w:t>
      </w:r>
    </w:p>
    <w:p w14:paraId="2F2417A3" w14:textId="16E63D2A"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lo siguiente: </w:t>
      </w:r>
      <w:r>
        <w:rPr>
          <w:rFonts w:ascii="Palatino Linotype" w:eastAsia="Palatino Linotype" w:hAnsi="Palatino Linotype" w:cs="Palatino Linotype"/>
          <w:i/>
          <w:color w:val="000000"/>
        </w:rPr>
        <w:t xml:space="preserve">“El 7 de febrero de 1968 el Gobernador en ese tiempo Juan Fernández Albarrán, tenía la obligación de haber levantado un Acta ante la Procuraduría General del Estado de México, y supervisar esa investigación ya que a él le tuvo que haber llegado </w:t>
      </w:r>
      <w:r>
        <w:rPr>
          <w:rFonts w:ascii="Palatino Linotype" w:eastAsia="Palatino Linotype" w:hAnsi="Palatino Linotype" w:cs="Palatino Linotype"/>
          <w:i/>
          <w:color w:val="000000"/>
        </w:rPr>
        <w:lastRenderedPageBreak/>
        <w:t xml:space="preserve">información fidedigna tanto del municipio, policía municipal, dirección general de seguridad pública y tránsito del Estado de México, Policía Judicial del Estado de México y demás dependencias acerca del asunto (todo ello ya que en los periódicos y notas que adjunto se mencionan) y habernos ayudado ya que en ese tiempo mi madre quedó viuda y mi hermano mayor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13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11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9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7 años, </w:t>
      </w:r>
      <w:r w:rsidR="006144DF">
        <w:rPr>
          <w:rFonts w:ascii="Palatino Linotype" w:eastAsia="Palatino Linotype" w:hAnsi="Palatino Linotype" w:cs="Palatino Linotype"/>
          <w:i/>
          <w:color w:val="000000"/>
        </w:rPr>
        <w:t>XXXX</w:t>
      </w:r>
      <w:r>
        <w:rPr>
          <w:rFonts w:ascii="Palatino Linotype" w:eastAsia="Palatino Linotype" w:hAnsi="Palatino Linotype" w:cs="Palatino Linotype"/>
          <w:i/>
          <w:color w:val="000000"/>
        </w:rPr>
        <w:t xml:space="preserve"> 5 años y </w:t>
      </w:r>
      <w:r w:rsidR="006144DF">
        <w:rPr>
          <w:rFonts w:ascii="Palatino Linotype" w:eastAsia="Palatino Linotype" w:hAnsi="Palatino Linotype" w:cs="Palatino Linotype"/>
          <w:i/>
          <w:color w:val="000000"/>
        </w:rPr>
        <w:t xml:space="preserve">XXX </w:t>
      </w:r>
      <w:proofErr w:type="spellStart"/>
      <w:r w:rsidR="006144DF">
        <w:rPr>
          <w:rFonts w:ascii="Palatino Linotype" w:eastAsia="Palatino Linotype" w:hAnsi="Palatino Linotype" w:cs="Palatino Linotype"/>
          <w:i/>
          <w:color w:val="000000"/>
        </w:rPr>
        <w:t>XXX</w:t>
      </w:r>
      <w:proofErr w:type="spellEnd"/>
      <w:r w:rsidR="006144DF">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t xml:space="preserve">3 años, todos de apellido Gómez López y no nos dieron pensión ni ayuda para las becas mencionadas municipales y a la vez la Gubernatura. Todo lo anterior en relación con los hechos de secuestro, tortura y homicidio de mi padre el 7 de febrero de 1968, cuando fungía como tercer regidor del Ayuntamiento de Naucalpan del trienio 1967-1969 estando en funciones. El nombre de mi padre fallecido es </w:t>
      </w:r>
      <w:r w:rsidR="006144DF">
        <w:rPr>
          <w:rFonts w:ascii="Palatino Linotype" w:eastAsia="Palatino Linotype" w:hAnsi="Palatino Linotype" w:cs="Palatino Linotype"/>
          <w:i/>
          <w:color w:val="000000"/>
        </w:rPr>
        <w:t xml:space="preserve">XXX </w:t>
      </w:r>
      <w:proofErr w:type="spellStart"/>
      <w:r w:rsidR="006144DF">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 De ahí que requiero todos los documentos relacionados con acciones que el Gobernador haya realizado para esclarecer el hecho por el homicidio de mi padre en funciones como servidor público y los apoyos, becas o ayudas que nos prometieron. Aunado a ello todas las fichas informativas, informes, oficios, o como se denominen relacionados con los informes que las distintas dependencias de seguridad, Procuraduría General del Estado de México o de competencia, mediante las que informaron al Gobernado acerca de los hechos relacionados con el secuestro, tortura y homicidio de mi padre el 7 de febrero de 1968. Todo lo anterior lo estoy solicitando por los hechos de 1968 a 1990 que comprende la "Guerra Sucia" esclarecimiento del crimen de reparación del daño a los deudos que creó nuestro Presidente Andrés Manuel López Obrador.” (Sic)</w:t>
      </w:r>
    </w:p>
    <w:p w14:paraId="16AB9EFC"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50FEEA0F"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informó que </w:t>
      </w:r>
      <w:r>
        <w:rPr>
          <w:rFonts w:ascii="Palatino Linotype" w:eastAsia="Palatino Linotype" w:hAnsi="Palatino Linotype" w:cs="Palatino Linotype"/>
          <w:color w:val="222222"/>
          <w:highlight w:val="white"/>
        </w:rPr>
        <w:t>carece de facultades legales para dar una respuesta favorable al requerimiento, asimismo, refirió que la instancia gubernamental que pudiera contar con la información es la Fiscalía General de Justicia del Estado de México.</w:t>
      </w:r>
    </w:p>
    <w:p w14:paraId="5E662A59" w14:textId="77777777" w:rsidR="009C040E" w:rsidRDefault="009C040E">
      <w:pPr>
        <w:pBdr>
          <w:top w:val="nil"/>
          <w:left w:val="nil"/>
          <w:bottom w:val="nil"/>
          <w:right w:val="nil"/>
          <w:between w:val="nil"/>
        </w:pBdr>
        <w:ind w:left="720" w:right="-876"/>
        <w:rPr>
          <w:rFonts w:ascii="Palatino Linotype" w:eastAsia="Palatino Linotype" w:hAnsi="Palatino Linotype" w:cs="Palatino Linotype"/>
          <w:color w:val="000000"/>
        </w:rPr>
      </w:pPr>
    </w:p>
    <w:p w14:paraId="10737D90"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 xml:space="preserve">Derivado de la respuesta,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inconformó por la negativa de la información solicitada y la incompetencia del </w:t>
      </w:r>
      <w:r>
        <w:rPr>
          <w:rFonts w:ascii="Palatino Linotype" w:eastAsia="Palatino Linotype" w:hAnsi="Palatino Linotype" w:cs="Palatino Linotype"/>
          <w:b/>
          <w:color w:val="000000"/>
        </w:rPr>
        <w:t>SUJETO OBLIGADO.</w:t>
      </w:r>
    </w:p>
    <w:p w14:paraId="39A4C000" w14:textId="77777777" w:rsidR="009C040E" w:rsidRDefault="009C040E">
      <w:pPr>
        <w:pBdr>
          <w:top w:val="nil"/>
          <w:left w:val="nil"/>
          <w:bottom w:val="nil"/>
          <w:right w:val="nil"/>
          <w:between w:val="nil"/>
        </w:pBdr>
        <w:ind w:left="720" w:right="-876"/>
        <w:rPr>
          <w:rFonts w:ascii="Palatino Linotype" w:eastAsia="Palatino Linotype" w:hAnsi="Palatino Linotype" w:cs="Palatino Linotype"/>
          <w:color w:val="000000"/>
        </w:rPr>
      </w:pPr>
    </w:p>
    <w:p w14:paraId="00668CCE" w14:textId="77777777" w:rsidR="009C040E" w:rsidRDefault="00EE681F">
      <w:pPr>
        <w:numPr>
          <w:ilvl w:val="0"/>
          <w:numId w:val="1"/>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En atención a lo anterior, se analizará si se actualiza la causal de procedencia contenida en la fracción III y VI del artículo 129 de la Ley de Protección de Datos Personales del Estado de México y Municipios.</w:t>
      </w:r>
    </w:p>
    <w:p w14:paraId="79347547" w14:textId="77777777" w:rsidR="009C040E" w:rsidRDefault="009C040E">
      <w:pPr>
        <w:ind w:right="-876"/>
        <w:rPr>
          <w:rFonts w:ascii="Palatino Linotype" w:eastAsia="Palatino Linotype" w:hAnsi="Palatino Linotype" w:cs="Palatino Linotype"/>
        </w:rPr>
      </w:pPr>
    </w:p>
    <w:p w14:paraId="6C8418B5" w14:textId="77777777" w:rsidR="009C040E" w:rsidRDefault="00EE681F">
      <w:pPr>
        <w:pStyle w:val="Ttulo2"/>
        <w:numPr>
          <w:ilvl w:val="0"/>
          <w:numId w:val="2"/>
        </w:numPr>
        <w:spacing w:line="259" w:lineRule="auto"/>
        <w:ind w:right="-876"/>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De la conciliación.</w:t>
      </w:r>
    </w:p>
    <w:p w14:paraId="22B4BFFB"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Con fundamento en el artículo 131 de la Ley de Protección de Datos Personales en Posesión de Sujetos Obligados del Estado de México y Municipios, el Instituto podrá buscar una conciliación entre el titular y el responsable. </w:t>
      </w:r>
    </w:p>
    <w:p w14:paraId="0B35CD23"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Derivado de que ambas partes aceptaron conciliar, este Órgano Garante determinó como fecha de conciliación el treinta de agosto de dos mil veinticuatro; se fijó que la audiencia se llevaría a cabo vía remota utilizando las tecnologías de la información.</w:t>
      </w:r>
    </w:p>
    <w:p w14:paraId="2A0B8019"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163E0465"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Una vez que se llevó a cabo la audiencia de conciliación, se emitió el acuerdo de conciliación, del que se desprende lo siguiente: </w:t>
      </w:r>
    </w:p>
    <w:p w14:paraId="643B4AD7" w14:textId="77777777" w:rsidR="009C040E" w:rsidRDefault="00EE681F">
      <w:pPr>
        <w:widowControl w:val="0"/>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“…Una vez acreditada la personalidad de las partes,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reiteró que no cuenta con las funciones y atribuciones para generar, poseer y administrar la información solicitada, no obstante, en aras de garantizar el derecho del Recurrente, informó que realizó una búsqueda exhaustiva en todas sus áreas, sin que se localizara lo solicitado.</w:t>
      </w:r>
    </w:p>
    <w:p w14:paraId="51B30421" w14:textId="77777777" w:rsidR="009C040E" w:rsidRDefault="00EE681F">
      <w:pPr>
        <w:widowControl w:val="0"/>
        <w:pBdr>
          <w:top w:val="nil"/>
          <w:left w:val="nil"/>
          <w:bottom w:val="nil"/>
          <w:right w:val="nil"/>
          <w:between w:val="nil"/>
        </w:pBdr>
        <w:spacing w:before="3"/>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Asimismo, orientó a Particular para presentar una nueva solicitud de información ante los Sujetos Obligados competentes.</w:t>
      </w:r>
    </w:p>
    <w:p w14:paraId="5BB240A6" w14:textId="77777777" w:rsidR="009C040E" w:rsidRDefault="00EE681F">
      <w:pPr>
        <w:widowControl w:val="0"/>
        <w:pBdr>
          <w:top w:val="nil"/>
          <w:left w:val="nil"/>
          <w:bottom w:val="nil"/>
          <w:right w:val="nil"/>
          <w:between w:val="nil"/>
        </w:pBdr>
        <w:ind w:left="567" w:right="-25"/>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En este sentido, la </w:t>
      </w:r>
      <w:r>
        <w:rPr>
          <w:rFonts w:ascii="Palatino Linotype" w:eastAsia="Palatino Linotype" w:hAnsi="Palatino Linotype" w:cs="Palatino Linotype"/>
          <w:b/>
          <w:i/>
          <w:color w:val="000000"/>
          <w:sz w:val="22"/>
          <w:szCs w:val="22"/>
          <w:u w:val="single"/>
        </w:rPr>
        <w:t xml:space="preserve">RECURRENTE </w:t>
      </w:r>
      <w:r>
        <w:rPr>
          <w:rFonts w:ascii="Palatino Linotype" w:eastAsia="Palatino Linotype" w:hAnsi="Palatino Linotype" w:cs="Palatino Linotype"/>
          <w:i/>
          <w:color w:val="000000"/>
          <w:sz w:val="22"/>
          <w:szCs w:val="22"/>
          <w:u w:val="single"/>
        </w:rPr>
        <w:t>manifestó su conformidad y se llegó a la conciliación entre las partes.</w:t>
      </w:r>
    </w:p>
    <w:p w14:paraId="60671843" w14:textId="77777777" w:rsidR="009C040E" w:rsidRDefault="00EE681F">
      <w:pPr>
        <w:widowControl w:val="0"/>
        <w:pBdr>
          <w:top w:val="nil"/>
          <w:left w:val="nil"/>
          <w:bottom w:val="nil"/>
          <w:right w:val="nil"/>
          <w:between w:val="nil"/>
        </w:pBdr>
        <w:spacing w:before="1"/>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Cabe señalar que,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manifestó integrar, en el apartado de “Etapa de conciliación” del </w:t>
      </w:r>
      <w:r>
        <w:rPr>
          <w:rFonts w:ascii="Palatino Linotype" w:eastAsia="Palatino Linotype" w:hAnsi="Palatino Linotype" w:cs="Palatino Linotype"/>
          <w:b/>
          <w:i/>
          <w:color w:val="000000"/>
          <w:sz w:val="22"/>
          <w:szCs w:val="22"/>
        </w:rPr>
        <w:t>SARCOEM,</w:t>
      </w:r>
      <w:r>
        <w:rPr>
          <w:rFonts w:ascii="Palatino Linotype" w:eastAsia="Palatino Linotype" w:hAnsi="Palatino Linotype" w:cs="Palatino Linotype"/>
          <w:i/>
          <w:color w:val="000000"/>
          <w:sz w:val="22"/>
          <w:szCs w:val="22"/>
        </w:rPr>
        <w:t xml:space="preserve"> los documentos donde constan los requerimientos de información realizados a las áreas que le integran…”</w:t>
      </w:r>
    </w:p>
    <w:p w14:paraId="6E1ABB1F"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12898CF9"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Es de mencionar que las partes llegaron al acuerdo que establece el artículo 132 fracción V de la Ley de Protección de Datos Personales en Posesión de los Sujetos Obligados del Estado de México y Municipios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teniendo en cuenta que</w:t>
      </w:r>
      <w:r>
        <w:rPr>
          <w:rFonts w:ascii="Palatino Linotype" w:eastAsia="Palatino Linotype" w:hAnsi="Palatino Linotype" w:cs="Palatino Linotype"/>
          <w:color w:val="000000"/>
        </w:rPr>
        <w:t xml:space="preserve"> durante la celebración de la Audiencia de Conciliación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aceptó estar conforme con la información proporcionada por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w:t>
      </w:r>
    </w:p>
    <w:p w14:paraId="41F1F7E9"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rPr>
      </w:pPr>
    </w:p>
    <w:p w14:paraId="7AC07C1C"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rPr>
      </w:pPr>
    </w:p>
    <w:p w14:paraId="45662F8A" w14:textId="77777777" w:rsidR="009C040E" w:rsidRDefault="00EE681F">
      <w:pPr>
        <w:pStyle w:val="Ttulo2"/>
        <w:numPr>
          <w:ilvl w:val="0"/>
          <w:numId w:val="2"/>
        </w:numPr>
        <w:spacing w:line="259" w:lineRule="auto"/>
        <w:ind w:right="-876"/>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Actualización del sobreseimiento.</w:t>
      </w:r>
    </w:p>
    <w:p w14:paraId="7C3A943A"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conclusión, este Órgano Garante advierte que en el presente caso se actualiza la causal de sobreseimiento prevista en la fracción V del artículo 139, en correlación con el 132, fracciones V y VI de la Ley de Protección de Datos Personales en Posesión de los Sujetos Obligados del Estado de México y Municipios, que a la letra dice: </w:t>
      </w:r>
    </w:p>
    <w:p w14:paraId="6E555FC4"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132. </w:t>
      </w:r>
      <w:r>
        <w:rPr>
          <w:rFonts w:ascii="Palatino Linotype" w:eastAsia="Palatino Linotype" w:hAnsi="Palatino Linotype" w:cs="Palatino Linotype"/>
          <w:i/>
          <w:color w:val="000000"/>
          <w:sz w:val="22"/>
          <w:szCs w:val="22"/>
        </w:rPr>
        <w:t>Admitido el recurso de revisión y sin perjuicio de lo dispuesto por la Ley General, el Instituto promoverá la conciliación entre las partes, de conformidad con el procedimiento siguiente:</w:t>
      </w:r>
    </w:p>
    <w:p w14:paraId="5C47D537"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ACB984A"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De llegar a un acuerdo, éste se hará constar por escrito y tendrá efectos vinculantes.</w:t>
      </w:r>
    </w:p>
    <w:p w14:paraId="7F9E2BA4" w14:textId="77777777" w:rsidR="009C040E" w:rsidRDefault="009C040E">
      <w:pPr>
        <w:pBdr>
          <w:top w:val="nil"/>
          <w:left w:val="nil"/>
          <w:bottom w:val="nil"/>
          <w:right w:val="nil"/>
          <w:between w:val="nil"/>
        </w:pBdr>
        <w:ind w:left="567" w:right="257"/>
        <w:jc w:val="both"/>
        <w:rPr>
          <w:rFonts w:ascii="Palatino Linotype" w:eastAsia="Palatino Linotype" w:hAnsi="Palatino Linotype" w:cs="Palatino Linotype"/>
          <w:b/>
          <w:i/>
          <w:color w:val="000000"/>
          <w:sz w:val="22"/>
          <w:szCs w:val="22"/>
        </w:rPr>
      </w:pPr>
    </w:p>
    <w:p w14:paraId="71FD2DD5"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El recurso de revisión quedará sin materia y el Instituto, deberán verificar el cumplimiento del acuerdo respectivo.</w:t>
      </w:r>
    </w:p>
    <w:p w14:paraId="18D43CF1" w14:textId="77777777" w:rsidR="009C040E" w:rsidRDefault="009C040E">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p>
    <w:p w14:paraId="2132A712"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cumplimiento del acuerdo dará por concluido la sustanciación del recurso de revisión en caso contrario, el Instituto reanudará el procedimiento.</w:t>
      </w:r>
    </w:p>
    <w:p w14:paraId="2F4015E3"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8946FB8"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139.</w:t>
      </w:r>
      <w:r>
        <w:rPr>
          <w:rFonts w:ascii="Palatino Linotype" w:eastAsia="Palatino Linotype" w:hAnsi="Palatino Linotype" w:cs="Palatino Linotype"/>
          <w:i/>
          <w:color w:val="000000"/>
          <w:sz w:val="22"/>
          <w:szCs w:val="22"/>
        </w:rPr>
        <w:t xml:space="preserve"> El recurso de revisión sólo podrá ser sobreseído cuando:</w:t>
      </w:r>
    </w:p>
    <w:p w14:paraId="018EBFE9" w14:textId="77777777" w:rsidR="009C040E" w:rsidRDefault="00EE681F">
      <w:pPr>
        <w:pBdr>
          <w:top w:val="nil"/>
          <w:left w:val="nil"/>
          <w:bottom w:val="nil"/>
          <w:right w:val="nil"/>
          <w:between w:val="nil"/>
        </w:pBdr>
        <w:ind w:left="567" w:right="25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Quede sin materia el recurso de revisión.”</w:t>
      </w:r>
    </w:p>
    <w:p w14:paraId="5C650DDB"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2BD17DF3" w14:textId="77777777" w:rsidR="009C040E"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lastRenderedPageBreak/>
        <w:t>Lo anterior, debido a que como se afirmó en líneas que anteceden, las partes mediante la celebración de la Audiencia de Conciliación llegaron a un Acuerdo, a través del cual, 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manifestó su conformidad con el pronunciamiento emitido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lo que </w:t>
      </w:r>
      <w:r>
        <w:rPr>
          <w:rFonts w:ascii="Palatino Linotype" w:eastAsia="Palatino Linotype" w:hAnsi="Palatino Linotype" w:cs="Palatino Linotype"/>
        </w:rPr>
        <w:t>quedó</w:t>
      </w:r>
      <w:r>
        <w:rPr>
          <w:rFonts w:ascii="Palatino Linotype" w:eastAsia="Palatino Linotype" w:hAnsi="Palatino Linotype" w:cs="Palatino Linotype"/>
          <w:color w:val="000000"/>
        </w:rPr>
        <w:t xml:space="preserve"> sin materia el recurso de revisión.</w:t>
      </w:r>
    </w:p>
    <w:p w14:paraId="1ED9AE18" w14:textId="77777777" w:rsidR="009C040E" w:rsidRDefault="009C040E">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1FF887E4" w14:textId="77777777" w:rsidR="009C040E" w:rsidRPr="00404FAF" w:rsidRDefault="00EE681F">
      <w:pPr>
        <w:numPr>
          <w:ilvl w:val="0"/>
          <w:numId w:val="1"/>
        </w:numPr>
        <w:pBdr>
          <w:top w:val="nil"/>
          <w:left w:val="nil"/>
          <w:bottom w:val="nil"/>
          <w:right w:val="nil"/>
          <w:between w:val="nil"/>
        </w:pBdr>
        <w:spacing w:line="360" w:lineRule="auto"/>
        <w:ind w:left="0" w:right="-876" w:firstLine="0"/>
        <w:jc w:val="both"/>
        <w:rPr>
          <w:color w:val="000000"/>
        </w:rPr>
      </w:pPr>
      <w:r>
        <w:rPr>
          <w:rFonts w:ascii="Palatino Linotype" w:eastAsia="Palatino Linotype" w:hAnsi="Palatino Linotype" w:cs="Palatino Linotype"/>
          <w:color w:val="000000"/>
        </w:rPr>
        <w:t xml:space="preserve">En tanto que, un acto impugnado queda sin materia, cuando ha sido satisfecha la pretensión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de manera que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mediante el Acuerdo al que llegó con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es que se queda sin materia, es decir, el motivo de conflicto entre las partes simple y llanamente no existe.</w:t>
      </w:r>
    </w:p>
    <w:p w14:paraId="1C820002" w14:textId="77777777" w:rsidR="00404FAF" w:rsidRDefault="00404FAF" w:rsidP="00404FAF">
      <w:pPr>
        <w:pBdr>
          <w:top w:val="nil"/>
          <w:left w:val="nil"/>
          <w:bottom w:val="nil"/>
          <w:right w:val="nil"/>
          <w:between w:val="nil"/>
        </w:pBdr>
        <w:spacing w:line="360" w:lineRule="auto"/>
        <w:ind w:right="-876"/>
        <w:jc w:val="both"/>
        <w:rPr>
          <w:color w:val="000000"/>
        </w:rPr>
      </w:pPr>
    </w:p>
    <w:p w14:paraId="42471FD2" w14:textId="77777777" w:rsidR="009C040E" w:rsidRDefault="00EE681F">
      <w:pPr>
        <w:numPr>
          <w:ilvl w:val="0"/>
          <w:numId w:val="1"/>
        </w:numPr>
        <w:pBdr>
          <w:top w:val="nil"/>
          <w:left w:val="nil"/>
          <w:bottom w:val="nil"/>
          <w:right w:val="nil"/>
          <w:between w:val="nil"/>
        </w:pBdr>
        <w:spacing w:after="240" w:line="360" w:lineRule="auto"/>
        <w:ind w:left="0" w:right="-876"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3D9CA5FD" w14:textId="77777777" w:rsidR="009C040E" w:rsidRDefault="00EE681F">
      <w:pPr>
        <w:pStyle w:val="Ttulo1"/>
        <w:ind w:right="-876"/>
        <w:jc w:val="center"/>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R E S O L U T I V O S</w:t>
      </w:r>
    </w:p>
    <w:p w14:paraId="3D98A790" w14:textId="77777777" w:rsidR="009C040E" w:rsidRDefault="009C040E"/>
    <w:p w14:paraId="2461122F" w14:textId="77777777" w:rsidR="009C040E" w:rsidRDefault="00EE681F">
      <w:pPr>
        <w:spacing w:before="240" w:after="240" w:line="360" w:lineRule="auto"/>
        <w:ind w:right="-876"/>
        <w:jc w:val="both"/>
        <w:rPr>
          <w:rFonts w:ascii="Palatino Linotype" w:eastAsia="Palatino Linotype" w:hAnsi="Palatino Linotype" w:cs="Palatino Linotype"/>
        </w:rPr>
      </w:pPr>
      <w:r w:rsidRPr="003C67A3">
        <w:rPr>
          <w:rFonts w:ascii="Palatino Linotype" w:eastAsia="Palatino Linotype" w:hAnsi="Palatino Linotype" w:cs="Palatino Linotype"/>
          <w:b/>
        </w:rPr>
        <w:t>PRIMERO</w:t>
      </w:r>
      <w:r w:rsidRPr="003C67A3">
        <w:rPr>
          <w:rFonts w:ascii="Palatino Linotype" w:eastAsia="Palatino Linotype" w:hAnsi="Palatino Linotype" w:cs="Palatino Linotype"/>
        </w:rPr>
        <w:t xml:space="preserve">. Se </w:t>
      </w:r>
      <w:r w:rsidRPr="003C67A3">
        <w:rPr>
          <w:rFonts w:ascii="Palatino Linotype" w:eastAsia="Palatino Linotype" w:hAnsi="Palatino Linotype" w:cs="Palatino Linotype"/>
          <w:b/>
        </w:rPr>
        <w:t xml:space="preserve">SOBRESEE </w:t>
      </w:r>
      <w:r w:rsidRPr="003C67A3">
        <w:rPr>
          <w:rFonts w:ascii="Palatino Linotype" w:eastAsia="Palatino Linotype" w:hAnsi="Palatino Linotype" w:cs="Palatino Linotype"/>
        </w:rPr>
        <w:t>el recurso de revisión</w:t>
      </w:r>
      <w:r w:rsidRPr="003C67A3">
        <w:rPr>
          <w:rFonts w:ascii="Palatino Linotype" w:eastAsia="Palatino Linotype" w:hAnsi="Palatino Linotype" w:cs="Palatino Linotype"/>
          <w:b/>
        </w:rPr>
        <w:t xml:space="preserve"> </w:t>
      </w:r>
      <w:r w:rsidRPr="003C67A3">
        <w:rPr>
          <w:rFonts w:ascii="Palatino Linotype" w:eastAsia="Palatino Linotype" w:hAnsi="Palatino Linotype" w:cs="Palatino Linotype"/>
        </w:rPr>
        <w:t xml:space="preserve">número </w:t>
      </w:r>
      <w:r w:rsidRPr="003C67A3">
        <w:rPr>
          <w:rFonts w:ascii="Palatino Linotype" w:eastAsia="Palatino Linotype" w:hAnsi="Palatino Linotype" w:cs="Palatino Linotype"/>
          <w:b/>
        </w:rPr>
        <w:t>01108/INFOEM/AD/RR/2024</w:t>
      </w:r>
      <w:r w:rsidRPr="003C67A3">
        <w:rPr>
          <w:rFonts w:ascii="Palatino Linotype" w:eastAsia="Palatino Linotype" w:hAnsi="Palatino Linotype" w:cs="Palatino Linotype"/>
        </w:rPr>
        <w:t xml:space="preserve"> </w:t>
      </w:r>
      <w:r w:rsidRPr="003C67A3">
        <w:rPr>
          <w:rFonts w:ascii="Palatino Linotype" w:eastAsia="Palatino Linotype" w:hAnsi="Palatino Linotype" w:cs="Palatino Linotype"/>
          <w:b/>
        </w:rPr>
        <w:t xml:space="preserve">al quedarse sin materia, </w:t>
      </w:r>
      <w:r w:rsidRPr="003C67A3">
        <w:rPr>
          <w:rFonts w:ascii="Palatino Linotype" w:eastAsia="Palatino Linotype" w:hAnsi="Palatino Linotype" w:cs="Palatino Linotype"/>
        </w:rPr>
        <w:t>con fundamento en lo dispuesto por el artículo 139 fracción V de la Ley de Protección de Datos Personales en Posesión de los Sujetos Obligados del Estado de México y Municipios, en</w:t>
      </w:r>
      <w:r>
        <w:rPr>
          <w:rFonts w:ascii="Palatino Linotype" w:eastAsia="Palatino Linotype" w:hAnsi="Palatino Linotype" w:cs="Palatino Linotype"/>
        </w:rPr>
        <w:t xml:space="preserve"> términos del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3B036ADE" w14:textId="77777777" w:rsidR="009C040E" w:rsidRDefault="00EE681F">
      <w:pPr>
        <w:shd w:val="clear" w:color="auto" w:fill="FFFFFF"/>
        <w:spacing w:before="240" w:after="360" w:line="360" w:lineRule="auto"/>
        <w:ind w:right="-876"/>
        <w:jc w:val="both"/>
        <w:rPr>
          <w:rFonts w:ascii="Palatino Linotype" w:eastAsia="Palatino Linotype" w:hAnsi="Palatino Linotype" w:cs="Palatino Linotype"/>
          <w:b/>
          <w:color w:val="000000"/>
        </w:rPr>
      </w:pPr>
      <w:bookmarkStart w:id="10" w:name="_heading=h.17dp8vu" w:colFirst="0" w:colLast="0"/>
      <w:bookmarkEnd w:id="10"/>
      <w:r>
        <w:rPr>
          <w:rFonts w:ascii="Palatino Linotype" w:eastAsia="Palatino Linotype" w:hAnsi="Palatino Linotype" w:cs="Palatino Linotype"/>
          <w:b/>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highlight w:val="white"/>
        </w:rPr>
        <w:t xml:space="preserve">Notifíquese </w:t>
      </w:r>
      <w:r>
        <w:rPr>
          <w:rFonts w:ascii="Palatino Linotype" w:eastAsia="Palatino Linotype" w:hAnsi="Palatino Linotype" w:cs="Palatino Linotype"/>
          <w:color w:val="000000"/>
          <w:highlight w:val="white"/>
        </w:rPr>
        <w:t>al Titular de la Unidad de Transparencia del</w:t>
      </w:r>
      <w:r>
        <w:rPr>
          <w:rFonts w:ascii="Palatino Linotype" w:eastAsia="Palatino Linotype" w:hAnsi="Palatino Linotype" w:cs="Palatino Linotype"/>
          <w:b/>
          <w:color w:val="000000"/>
          <w:highlight w:val="white"/>
        </w:rPr>
        <w:t xml:space="preserve"> SUJETO OBLIGADO</w:t>
      </w:r>
      <w:r>
        <w:rPr>
          <w:rFonts w:ascii="Palatino Linotype" w:eastAsia="Palatino Linotype" w:hAnsi="Palatino Linotype" w:cs="Palatino Linotype"/>
          <w:color w:val="000000"/>
          <w:highlight w:val="white"/>
        </w:rPr>
        <w:t xml:space="preserve"> </w:t>
      </w:r>
      <w:r>
        <w:rPr>
          <w:rFonts w:ascii="Palatino Linotype" w:eastAsia="Palatino Linotype" w:hAnsi="Palatino Linotype" w:cs="Palatino Linotype"/>
          <w:color w:val="222222"/>
        </w:rPr>
        <w:t>la presente resolución</w:t>
      </w:r>
      <w:r>
        <w:rPr>
          <w:rFonts w:ascii="Palatino Linotype" w:eastAsia="Palatino Linotype" w:hAnsi="Palatino Linotype" w:cs="Palatino Linotype"/>
          <w:color w:val="000000"/>
          <w:highlight w:val="white"/>
        </w:rPr>
        <w:t>, vía Sistema de Acceso, Rectificación, Cancelación y Oposición de Datos Personales del Estado de México.</w:t>
      </w:r>
    </w:p>
    <w:p w14:paraId="0D279FAB" w14:textId="77777777" w:rsidR="009C040E" w:rsidRDefault="00EE681F">
      <w:pPr>
        <w:shd w:val="clear" w:color="auto" w:fill="FFFFFF"/>
        <w:spacing w:before="240" w:after="360"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rPr>
        <w:t>TERCERO</w:t>
      </w:r>
      <w:r>
        <w:rPr>
          <w:rFonts w:ascii="Palatino Linotype" w:eastAsia="Palatino Linotype" w:hAnsi="Palatino Linotype" w:cs="Palatino Linotype"/>
          <w:b/>
          <w:color w:val="222222"/>
        </w:rPr>
        <w:t xml:space="preserve">. Notifíquese al RECURRENTE </w:t>
      </w:r>
      <w:r>
        <w:rPr>
          <w:rFonts w:ascii="Palatino Linotype" w:eastAsia="Palatino Linotype" w:hAnsi="Palatino Linotype" w:cs="Palatino Linotype"/>
          <w:color w:val="222222"/>
        </w:rPr>
        <w:t>la presente resolución</w:t>
      </w:r>
      <w:r>
        <w:rPr>
          <w:rFonts w:ascii="Palatino Linotype" w:eastAsia="Palatino Linotype" w:hAnsi="Palatino Linotype" w:cs="Palatino Linotype"/>
          <w:color w:val="000000"/>
          <w:highlight w:val="white"/>
        </w:rPr>
        <w:t>, vía Sistema de Acceso, Rectificación, Cancelación y Oposición de Datos Personales del Estado de México.</w:t>
      </w:r>
    </w:p>
    <w:p w14:paraId="44250E81" w14:textId="77777777" w:rsidR="009C040E" w:rsidRDefault="00EE681F">
      <w:pPr>
        <w:widowControl w:val="0"/>
        <w:pBdr>
          <w:top w:val="nil"/>
          <w:left w:val="nil"/>
          <w:bottom w:val="nil"/>
          <w:right w:val="nil"/>
          <w:between w:val="nil"/>
        </w:pBdr>
        <w:tabs>
          <w:tab w:val="left" w:pos="1701"/>
        </w:tabs>
        <w:spacing w:before="240" w:after="240" w:line="360" w:lineRule="auto"/>
        <w:ind w:right="-876"/>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lastRenderedPageBreak/>
        <w:t xml:space="preserve">CUARTO. </w:t>
      </w:r>
      <w:r>
        <w:rPr>
          <w:rFonts w:ascii="Palatino Linotype" w:eastAsia="Palatino Linotype" w:hAnsi="Palatino Linotype" w:cs="Palatino Linotype"/>
          <w:color w:val="222222"/>
        </w:rPr>
        <w:t xml:space="preserve">Se hace de conocimiento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222222"/>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 vía Juicio de Amparo en los términos de las leyes aplicables.</w:t>
      </w:r>
    </w:p>
    <w:p w14:paraId="685E42BE" w14:textId="77777777" w:rsidR="002A3ECA" w:rsidRPr="003C7186" w:rsidRDefault="002A3ECA" w:rsidP="002A3ECA">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5A2402C1" w14:textId="77777777" w:rsidR="009C040E" w:rsidRDefault="009C040E">
      <w:pPr>
        <w:spacing w:before="240" w:after="240" w:line="360" w:lineRule="auto"/>
        <w:ind w:right="-876"/>
        <w:jc w:val="both"/>
        <w:rPr>
          <w:rFonts w:ascii="Palatino Linotype" w:eastAsia="Palatino Linotype" w:hAnsi="Palatino Linotype" w:cs="Palatino Linotype"/>
        </w:rPr>
      </w:pPr>
    </w:p>
    <w:p w14:paraId="328A7C82" w14:textId="77777777" w:rsidR="009C040E" w:rsidRDefault="009C040E">
      <w:pPr>
        <w:spacing w:before="240" w:after="240" w:line="360" w:lineRule="auto"/>
        <w:ind w:right="-876"/>
        <w:jc w:val="both"/>
        <w:rPr>
          <w:rFonts w:ascii="Palatino Linotype" w:eastAsia="Palatino Linotype" w:hAnsi="Palatino Linotype" w:cs="Palatino Linotype"/>
        </w:rPr>
      </w:pPr>
    </w:p>
    <w:p w14:paraId="05D74B44" w14:textId="77777777" w:rsidR="009C040E" w:rsidRDefault="009C040E">
      <w:pPr>
        <w:spacing w:before="240" w:after="240" w:line="360" w:lineRule="auto"/>
        <w:ind w:right="-876"/>
        <w:jc w:val="both"/>
        <w:rPr>
          <w:rFonts w:ascii="Palatino Linotype" w:eastAsia="Palatino Linotype" w:hAnsi="Palatino Linotype" w:cs="Palatino Linotype"/>
        </w:rPr>
      </w:pPr>
    </w:p>
    <w:p w14:paraId="2F6F207C" w14:textId="77777777" w:rsidR="009C040E" w:rsidRDefault="009C040E">
      <w:pPr>
        <w:spacing w:before="240" w:after="240" w:line="360" w:lineRule="auto"/>
        <w:ind w:right="-876"/>
        <w:jc w:val="both"/>
        <w:rPr>
          <w:rFonts w:ascii="Palatino Linotype" w:eastAsia="Palatino Linotype" w:hAnsi="Palatino Linotype" w:cs="Palatino Linotype"/>
        </w:rPr>
      </w:pPr>
    </w:p>
    <w:p w14:paraId="553DF20A" w14:textId="77777777" w:rsidR="009C040E" w:rsidRDefault="009C040E">
      <w:pPr>
        <w:spacing w:before="240" w:after="240" w:line="360" w:lineRule="auto"/>
        <w:ind w:right="-876"/>
        <w:jc w:val="both"/>
        <w:rPr>
          <w:rFonts w:ascii="Palatino Linotype" w:eastAsia="Palatino Linotype" w:hAnsi="Palatino Linotype" w:cs="Palatino Linotype"/>
        </w:rPr>
      </w:pPr>
    </w:p>
    <w:p w14:paraId="447B3DED" w14:textId="77777777" w:rsidR="009C040E" w:rsidRDefault="009C040E">
      <w:pPr>
        <w:spacing w:before="240" w:after="240" w:line="360" w:lineRule="auto"/>
        <w:ind w:right="-876"/>
        <w:jc w:val="both"/>
        <w:rPr>
          <w:rFonts w:ascii="Palatino Linotype" w:eastAsia="Palatino Linotype" w:hAnsi="Palatino Linotype" w:cs="Palatino Linotype"/>
        </w:rPr>
      </w:pPr>
    </w:p>
    <w:p w14:paraId="47039433" w14:textId="77777777" w:rsidR="009C040E" w:rsidRDefault="009C040E">
      <w:pPr>
        <w:spacing w:before="240" w:after="240" w:line="360" w:lineRule="auto"/>
        <w:ind w:right="-876"/>
        <w:jc w:val="both"/>
        <w:rPr>
          <w:rFonts w:ascii="Palatino Linotype" w:eastAsia="Palatino Linotype" w:hAnsi="Palatino Linotype" w:cs="Palatino Linotype"/>
        </w:rPr>
      </w:pPr>
    </w:p>
    <w:p w14:paraId="6F593FF7" w14:textId="77777777" w:rsidR="009C040E" w:rsidRDefault="009C040E">
      <w:pPr>
        <w:spacing w:before="240" w:after="240" w:line="360" w:lineRule="auto"/>
        <w:ind w:right="-876"/>
        <w:jc w:val="both"/>
        <w:rPr>
          <w:rFonts w:ascii="Palatino Linotype" w:eastAsia="Palatino Linotype" w:hAnsi="Palatino Linotype" w:cs="Palatino Linotype"/>
        </w:rPr>
      </w:pPr>
    </w:p>
    <w:p w14:paraId="4DF7E5F5" w14:textId="77777777" w:rsidR="009C040E" w:rsidRDefault="009C040E">
      <w:pPr>
        <w:spacing w:before="240" w:after="240" w:line="360" w:lineRule="auto"/>
        <w:ind w:right="-876"/>
        <w:jc w:val="both"/>
        <w:rPr>
          <w:rFonts w:ascii="Palatino Linotype" w:eastAsia="Palatino Linotype" w:hAnsi="Palatino Linotype" w:cs="Palatino Linotype"/>
        </w:rPr>
      </w:pPr>
    </w:p>
    <w:p w14:paraId="3A3DD254" w14:textId="77777777" w:rsidR="009C040E" w:rsidRDefault="009C040E">
      <w:pPr>
        <w:widowControl w:val="0"/>
        <w:pBdr>
          <w:top w:val="nil"/>
          <w:left w:val="nil"/>
          <w:bottom w:val="nil"/>
          <w:right w:val="nil"/>
          <w:between w:val="nil"/>
        </w:pBdr>
        <w:tabs>
          <w:tab w:val="left" w:pos="1701"/>
        </w:tabs>
        <w:spacing w:before="240" w:line="360" w:lineRule="auto"/>
        <w:ind w:right="-876"/>
        <w:jc w:val="both"/>
        <w:rPr>
          <w:rFonts w:ascii="Palatino Linotype" w:eastAsia="Palatino Linotype" w:hAnsi="Palatino Linotype" w:cs="Palatino Linotype"/>
          <w:color w:val="222222"/>
        </w:rPr>
      </w:pPr>
    </w:p>
    <w:p w14:paraId="70BAB0B0" w14:textId="77777777" w:rsidR="009C040E" w:rsidRDefault="009C040E">
      <w:pPr>
        <w:widowControl w:val="0"/>
        <w:pBdr>
          <w:top w:val="nil"/>
          <w:left w:val="nil"/>
          <w:bottom w:val="nil"/>
          <w:right w:val="nil"/>
          <w:between w:val="nil"/>
        </w:pBdr>
        <w:tabs>
          <w:tab w:val="left" w:pos="1701"/>
        </w:tabs>
        <w:spacing w:after="240" w:line="360" w:lineRule="auto"/>
        <w:ind w:right="-876"/>
        <w:jc w:val="both"/>
        <w:rPr>
          <w:rFonts w:ascii="Palatino Linotype" w:eastAsia="Palatino Linotype" w:hAnsi="Palatino Linotype" w:cs="Palatino Linotype"/>
          <w:color w:val="222222"/>
        </w:rPr>
      </w:pPr>
    </w:p>
    <w:sectPr w:rsidR="009C040E" w:rsidSect="000028D2">
      <w:headerReference w:type="even" r:id="rId11"/>
      <w:headerReference w:type="default" r:id="rId12"/>
      <w:footerReference w:type="default" r:id="rId13"/>
      <w:headerReference w:type="first" r:id="rId14"/>
      <w:footerReference w:type="first" r:id="rId15"/>
      <w:pgSz w:w="12240" w:h="15840"/>
      <w:pgMar w:top="80" w:right="1892"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5241" w14:textId="77777777" w:rsidR="00013B3D" w:rsidRDefault="00013B3D">
      <w:r>
        <w:separator/>
      </w:r>
    </w:p>
  </w:endnote>
  <w:endnote w:type="continuationSeparator" w:id="0">
    <w:p w14:paraId="2F811490" w14:textId="77777777" w:rsidR="00013B3D" w:rsidRDefault="0001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3513" w14:textId="77777777" w:rsidR="009C040E" w:rsidRDefault="00EE681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67A3">
      <w:rPr>
        <w:b/>
        <w:noProof/>
        <w:color w:val="000000"/>
      </w:rPr>
      <w:t>14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67A3">
      <w:rPr>
        <w:b/>
        <w:noProof/>
        <w:color w:val="000000"/>
      </w:rPr>
      <w:t>15</w:t>
    </w:r>
    <w:r>
      <w:rPr>
        <w:b/>
        <w:color w:val="000000"/>
      </w:rPr>
      <w:fldChar w:fldCharType="end"/>
    </w:r>
  </w:p>
  <w:p w14:paraId="421EE81E" w14:textId="77777777" w:rsidR="009C040E" w:rsidRDefault="009C040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3A70" w14:textId="77777777" w:rsidR="009C040E" w:rsidRDefault="00EE681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C67A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C67A3">
      <w:rPr>
        <w:b/>
        <w:noProof/>
        <w:color w:val="000000"/>
      </w:rPr>
      <w:t>15</w:t>
    </w:r>
    <w:r>
      <w:rPr>
        <w:b/>
        <w:color w:val="000000"/>
      </w:rPr>
      <w:fldChar w:fldCharType="end"/>
    </w:r>
  </w:p>
  <w:p w14:paraId="18A09B34" w14:textId="77777777" w:rsidR="009C040E" w:rsidRDefault="009C040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9EEA" w14:textId="77777777" w:rsidR="00013B3D" w:rsidRDefault="00013B3D">
      <w:r>
        <w:separator/>
      </w:r>
    </w:p>
  </w:footnote>
  <w:footnote w:type="continuationSeparator" w:id="0">
    <w:p w14:paraId="203C570B" w14:textId="77777777" w:rsidR="00013B3D" w:rsidRDefault="00013B3D">
      <w:r>
        <w:continuationSeparator/>
      </w:r>
    </w:p>
  </w:footnote>
  <w:footnote w:id="1">
    <w:p w14:paraId="02EFA53A" w14:textId="77777777" w:rsidR="009C040E" w:rsidRDefault="00EE681F">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b/>
          <w:color w:val="000000"/>
          <w:sz w:val="16"/>
          <w:szCs w:val="16"/>
        </w:rPr>
        <w:t>Artículo 132.</w:t>
      </w:r>
      <w:r>
        <w:rPr>
          <w:rFonts w:ascii="Palatino Linotype" w:eastAsia="Palatino Linotype" w:hAnsi="Palatino Linotype" w:cs="Palatino Linotype"/>
          <w:color w:val="000000"/>
          <w:sz w:val="16"/>
          <w:szCs w:val="16"/>
        </w:rPr>
        <w:t xml:space="preserve"> Admitido el recurso de revisión y sin perjuicio de lo dispuesto por la Ley General, el Instituto promoverá la conciliación entre las partes, de conformidad con el procedimiento siguiente:</w:t>
      </w:r>
    </w:p>
    <w:p w14:paraId="3EA25579" w14:textId="77777777" w:rsidR="009C040E" w:rsidRDefault="00EE681F">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V.</w:t>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De llegar a un acuerdo, éste se hará constar por escrito y tendrá efectos vinculantes.</w:t>
      </w:r>
    </w:p>
    <w:p w14:paraId="74B5CDA9" w14:textId="77777777" w:rsidR="009C040E" w:rsidRDefault="00EE681F">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El recurso de revisión quedará sin materia y el Instituto, deberán verificar el cumplimiento del acuerdo respectivo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0709" w14:textId="77777777" w:rsidR="009C040E" w:rsidRDefault="00013B3D">
    <w:pPr>
      <w:pBdr>
        <w:top w:val="nil"/>
        <w:left w:val="nil"/>
        <w:bottom w:val="nil"/>
        <w:right w:val="nil"/>
        <w:between w:val="nil"/>
      </w:pBdr>
      <w:tabs>
        <w:tab w:val="center" w:pos="4419"/>
        <w:tab w:val="right" w:pos="8838"/>
      </w:tabs>
      <w:rPr>
        <w:color w:val="000000"/>
      </w:rPr>
    </w:pPr>
    <w:r>
      <w:rPr>
        <w:color w:val="000000"/>
      </w:rPr>
      <w:pict w14:anchorId="22DD5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10774" w:type="dxa"/>
      <w:tblInd w:w="0" w:type="dxa"/>
      <w:tblLayout w:type="fixed"/>
      <w:tblLook w:val="0400" w:firstRow="0" w:lastRow="0" w:firstColumn="0" w:lastColumn="0" w:noHBand="0" w:noVBand="1"/>
    </w:tblPr>
    <w:tblGrid>
      <w:gridCol w:w="3828"/>
      <w:gridCol w:w="6946"/>
    </w:tblGrid>
    <w:tr w:rsidR="009C040E" w14:paraId="1482FD48" w14:textId="77777777" w:rsidTr="000028D2">
      <w:trPr>
        <w:trHeight w:val="1435"/>
      </w:trPr>
      <w:tc>
        <w:tcPr>
          <w:tcW w:w="3828" w:type="dxa"/>
          <w:shd w:val="clear" w:color="auto" w:fill="auto"/>
        </w:tcPr>
        <w:p w14:paraId="2AC6EED6" w14:textId="77777777" w:rsidR="009C040E" w:rsidRDefault="009C040E">
          <w:pPr>
            <w:tabs>
              <w:tab w:val="right" w:pos="4273"/>
            </w:tabs>
            <w:rPr>
              <w:rFonts w:ascii="Garamond" w:eastAsia="Garamond" w:hAnsi="Garamond" w:cs="Garamond"/>
              <w:sz w:val="16"/>
              <w:szCs w:val="16"/>
            </w:rPr>
          </w:pPr>
        </w:p>
      </w:tc>
      <w:tc>
        <w:tcPr>
          <w:tcW w:w="6946" w:type="dxa"/>
          <w:shd w:val="clear" w:color="auto" w:fill="auto"/>
        </w:tcPr>
        <w:tbl>
          <w:tblPr>
            <w:tblStyle w:val="a0"/>
            <w:tblW w:w="6662" w:type="dxa"/>
            <w:tblInd w:w="40" w:type="dxa"/>
            <w:tblLayout w:type="fixed"/>
            <w:tblLook w:val="0400" w:firstRow="0" w:lastRow="0" w:firstColumn="0" w:lastColumn="0" w:noHBand="0" w:noVBand="1"/>
          </w:tblPr>
          <w:tblGrid>
            <w:gridCol w:w="2551"/>
            <w:gridCol w:w="4111"/>
          </w:tblGrid>
          <w:tr w:rsidR="009C040E" w14:paraId="785AFDBD" w14:textId="77777777">
            <w:trPr>
              <w:trHeight w:val="150"/>
            </w:trPr>
            <w:tc>
              <w:tcPr>
                <w:tcW w:w="2551" w:type="dxa"/>
                <w:shd w:val="clear" w:color="auto" w:fill="auto"/>
              </w:tcPr>
              <w:p w14:paraId="2B5D0161" w14:textId="77777777" w:rsidR="009C040E" w:rsidRDefault="00EE68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A0AB8A9" w14:textId="77777777" w:rsidR="009C040E" w:rsidRDefault="00EE681F">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01108/INFOEM/AD/RR/2024</w:t>
                </w:r>
              </w:p>
            </w:tc>
          </w:tr>
          <w:tr w:rsidR="009C040E" w14:paraId="22B5A13D" w14:textId="77777777">
            <w:trPr>
              <w:trHeight w:val="295"/>
            </w:trPr>
            <w:tc>
              <w:tcPr>
                <w:tcW w:w="2551" w:type="dxa"/>
                <w:shd w:val="clear" w:color="auto" w:fill="auto"/>
              </w:tcPr>
              <w:p w14:paraId="55C52D66" w14:textId="77777777" w:rsidR="009C040E" w:rsidRDefault="00EE68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086B9812" w14:textId="77777777" w:rsidR="009C040E" w:rsidRDefault="00EE681F">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General de Gobierno</w:t>
                </w:r>
              </w:p>
            </w:tc>
          </w:tr>
          <w:tr w:rsidR="009C040E" w14:paraId="48B218D4" w14:textId="77777777">
            <w:trPr>
              <w:trHeight w:val="295"/>
            </w:trPr>
            <w:tc>
              <w:tcPr>
                <w:tcW w:w="2551" w:type="dxa"/>
                <w:shd w:val="clear" w:color="auto" w:fill="auto"/>
              </w:tcPr>
              <w:p w14:paraId="2CF76B91" w14:textId="77777777" w:rsidR="009C040E" w:rsidRDefault="00EE681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2AE65B51" w14:textId="77777777" w:rsidR="009C040E" w:rsidRDefault="00EE681F">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249EA65" w14:textId="77777777" w:rsidR="009C040E" w:rsidRDefault="009C040E">
                <w:pPr>
                  <w:tabs>
                    <w:tab w:val="right" w:pos="8838"/>
                  </w:tabs>
                  <w:ind w:left="-108" w:right="171"/>
                  <w:jc w:val="both"/>
                  <w:rPr>
                    <w:rFonts w:ascii="Palatino Linotype" w:eastAsia="Palatino Linotype" w:hAnsi="Palatino Linotype" w:cs="Palatino Linotype"/>
                    <w:b/>
                    <w:sz w:val="22"/>
                    <w:szCs w:val="22"/>
                  </w:rPr>
                </w:pPr>
              </w:p>
            </w:tc>
          </w:tr>
        </w:tbl>
        <w:p w14:paraId="736F6BAF" w14:textId="77777777" w:rsidR="009C040E" w:rsidRDefault="009C040E">
          <w:pPr>
            <w:tabs>
              <w:tab w:val="right" w:pos="8838"/>
            </w:tabs>
            <w:ind w:left="-28"/>
            <w:jc w:val="both"/>
            <w:rPr>
              <w:rFonts w:ascii="Arial" w:eastAsia="Arial" w:hAnsi="Arial" w:cs="Arial"/>
              <w:b/>
              <w:sz w:val="22"/>
              <w:szCs w:val="22"/>
            </w:rPr>
          </w:pPr>
        </w:p>
      </w:tc>
    </w:tr>
  </w:tbl>
  <w:p w14:paraId="003B6B6E" w14:textId="77777777" w:rsidR="009C040E" w:rsidRDefault="00013B3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202DA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51.15pt;margin-top:-126.6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072" w:type="dxa"/>
      <w:tblInd w:w="0" w:type="dxa"/>
      <w:tblLayout w:type="fixed"/>
      <w:tblLook w:val="0400" w:firstRow="0" w:lastRow="0" w:firstColumn="0" w:lastColumn="0" w:noHBand="0" w:noVBand="1"/>
    </w:tblPr>
    <w:tblGrid>
      <w:gridCol w:w="2268"/>
      <w:gridCol w:w="6804"/>
    </w:tblGrid>
    <w:tr w:rsidR="009C040E" w14:paraId="2A12A4B6" w14:textId="77777777">
      <w:trPr>
        <w:trHeight w:val="1435"/>
      </w:trPr>
      <w:tc>
        <w:tcPr>
          <w:tcW w:w="2268" w:type="dxa"/>
          <w:shd w:val="clear" w:color="auto" w:fill="auto"/>
        </w:tcPr>
        <w:p w14:paraId="1C899599" w14:textId="77777777" w:rsidR="009C040E" w:rsidRDefault="009C040E">
          <w:pPr>
            <w:tabs>
              <w:tab w:val="right" w:pos="4273"/>
            </w:tabs>
            <w:rPr>
              <w:rFonts w:ascii="Garamond" w:eastAsia="Garamond" w:hAnsi="Garamond" w:cs="Garamond"/>
              <w:sz w:val="22"/>
              <w:szCs w:val="22"/>
            </w:rPr>
          </w:pPr>
        </w:p>
      </w:tc>
      <w:tc>
        <w:tcPr>
          <w:tcW w:w="6804" w:type="dxa"/>
          <w:shd w:val="clear" w:color="auto" w:fill="auto"/>
        </w:tcPr>
        <w:tbl>
          <w:tblPr>
            <w:tblStyle w:val="a2"/>
            <w:tblW w:w="6660" w:type="dxa"/>
            <w:tblInd w:w="878" w:type="dxa"/>
            <w:tblLayout w:type="fixed"/>
            <w:tblLook w:val="0400" w:firstRow="0" w:lastRow="0" w:firstColumn="0" w:lastColumn="0" w:noHBand="0" w:noVBand="1"/>
          </w:tblPr>
          <w:tblGrid>
            <w:gridCol w:w="2567"/>
            <w:gridCol w:w="4093"/>
          </w:tblGrid>
          <w:tr w:rsidR="009C040E" w14:paraId="0E856F5A" w14:textId="77777777" w:rsidTr="000028D2">
            <w:trPr>
              <w:trHeight w:val="144"/>
            </w:trPr>
            <w:tc>
              <w:tcPr>
                <w:tcW w:w="2567" w:type="dxa"/>
                <w:shd w:val="clear" w:color="auto" w:fill="auto"/>
              </w:tcPr>
              <w:p w14:paraId="68C7D5C8" w14:textId="77777777" w:rsidR="009C040E" w:rsidRDefault="00EE681F" w:rsidP="000028D2">
                <w:pPr>
                  <w:tabs>
                    <w:tab w:val="right" w:pos="8838"/>
                  </w:tabs>
                  <w:ind w:left="14" w:right="-105" w:hanging="14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93" w:type="dxa"/>
                <w:shd w:val="clear" w:color="auto" w:fill="auto"/>
              </w:tcPr>
              <w:p w14:paraId="55613D9C" w14:textId="77777777" w:rsidR="009C040E" w:rsidRDefault="00EE681F" w:rsidP="000028D2">
                <w:pP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01108/INFOEM/AD/RR/2024</w:t>
                </w:r>
                <w:r>
                  <w:rPr>
                    <w:rFonts w:ascii="Palatino Linotype" w:eastAsia="Palatino Linotype" w:hAnsi="Palatino Linotype" w:cs="Palatino Linotype"/>
                    <w:b/>
                    <w:sz w:val="22"/>
                    <w:szCs w:val="22"/>
                  </w:rPr>
                  <w:t xml:space="preserve"> </w:t>
                </w:r>
              </w:p>
            </w:tc>
          </w:tr>
          <w:tr w:rsidR="009C040E" w14:paraId="06990533" w14:textId="77777777" w:rsidTr="000028D2">
            <w:trPr>
              <w:trHeight w:val="144"/>
            </w:trPr>
            <w:tc>
              <w:tcPr>
                <w:tcW w:w="2567" w:type="dxa"/>
                <w:shd w:val="clear" w:color="auto" w:fill="auto"/>
              </w:tcPr>
              <w:p w14:paraId="300D95D4" w14:textId="77777777" w:rsidR="009C040E" w:rsidRDefault="00EE68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93" w:type="dxa"/>
                <w:shd w:val="clear" w:color="auto" w:fill="auto"/>
              </w:tcPr>
              <w:p w14:paraId="1439C075" w14:textId="6E6338F9" w:rsidR="009C040E" w:rsidRDefault="007F4A25" w:rsidP="000028D2">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9C040E" w14:paraId="0591C872" w14:textId="77777777" w:rsidTr="000028D2">
            <w:trPr>
              <w:trHeight w:val="283"/>
            </w:trPr>
            <w:tc>
              <w:tcPr>
                <w:tcW w:w="2567" w:type="dxa"/>
                <w:shd w:val="clear" w:color="auto" w:fill="auto"/>
              </w:tcPr>
              <w:p w14:paraId="37692DF3" w14:textId="77777777" w:rsidR="009C040E" w:rsidRDefault="00EE68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93" w:type="dxa"/>
                <w:shd w:val="clear" w:color="auto" w:fill="auto"/>
              </w:tcPr>
              <w:p w14:paraId="59149480" w14:textId="77777777" w:rsidR="009C040E" w:rsidRDefault="00EE681F" w:rsidP="000028D2">
                <w:pPr>
                  <w:tabs>
                    <w:tab w:val="left" w:pos="2834"/>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General de Gobierno</w:t>
                </w:r>
              </w:p>
            </w:tc>
          </w:tr>
          <w:tr w:rsidR="009C040E" w14:paraId="5B476389" w14:textId="77777777" w:rsidTr="000028D2">
            <w:trPr>
              <w:trHeight w:val="283"/>
            </w:trPr>
            <w:tc>
              <w:tcPr>
                <w:tcW w:w="2567" w:type="dxa"/>
                <w:shd w:val="clear" w:color="auto" w:fill="auto"/>
              </w:tcPr>
              <w:p w14:paraId="44C37E01" w14:textId="77777777" w:rsidR="009C040E" w:rsidRDefault="00EE681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93" w:type="dxa"/>
                <w:shd w:val="clear" w:color="auto" w:fill="auto"/>
              </w:tcPr>
              <w:p w14:paraId="1AC5B5DF" w14:textId="77777777" w:rsidR="009C040E" w:rsidRDefault="00EE681F" w:rsidP="000028D2">
                <w:pPr>
                  <w:tabs>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DDEE6C2" w14:textId="77777777" w:rsidR="009C040E" w:rsidRDefault="009C040E" w:rsidP="000028D2">
                <w:pPr>
                  <w:tabs>
                    <w:tab w:val="right" w:pos="8838"/>
                  </w:tabs>
                  <w:ind w:right="-105"/>
                  <w:jc w:val="both"/>
                  <w:rPr>
                    <w:rFonts w:ascii="Palatino Linotype" w:eastAsia="Palatino Linotype" w:hAnsi="Palatino Linotype" w:cs="Palatino Linotype"/>
                    <w:b/>
                    <w:sz w:val="22"/>
                    <w:szCs w:val="22"/>
                  </w:rPr>
                </w:pPr>
              </w:p>
            </w:tc>
          </w:tr>
        </w:tbl>
        <w:p w14:paraId="5CC26E69" w14:textId="77777777" w:rsidR="009C040E" w:rsidRDefault="009C040E">
          <w:pPr>
            <w:tabs>
              <w:tab w:val="right" w:pos="8838"/>
            </w:tabs>
            <w:ind w:left="-28"/>
            <w:jc w:val="both"/>
            <w:rPr>
              <w:rFonts w:ascii="Arial" w:eastAsia="Arial" w:hAnsi="Arial" w:cs="Arial"/>
              <w:b/>
              <w:sz w:val="22"/>
              <w:szCs w:val="22"/>
            </w:rPr>
          </w:pPr>
        </w:p>
      </w:tc>
    </w:tr>
  </w:tbl>
  <w:p w14:paraId="2845A98B" w14:textId="77777777" w:rsidR="009C040E" w:rsidRDefault="00013B3D">
    <w:pPr>
      <w:pBdr>
        <w:top w:val="nil"/>
        <w:left w:val="nil"/>
        <w:bottom w:val="nil"/>
        <w:right w:val="nil"/>
        <w:between w:val="nil"/>
      </w:pBdr>
      <w:tabs>
        <w:tab w:val="center" w:pos="4419"/>
        <w:tab w:val="right" w:pos="8838"/>
      </w:tabs>
      <w:rPr>
        <w:color w:val="000000"/>
        <w:sz w:val="2"/>
        <w:szCs w:val="2"/>
      </w:rPr>
    </w:pPr>
    <w:r>
      <w:rPr>
        <w:color w:val="000000"/>
        <w:sz w:val="2"/>
        <w:szCs w:val="2"/>
      </w:rPr>
      <w:pict w14:anchorId="1273E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83A"/>
    <w:multiLevelType w:val="multilevel"/>
    <w:tmpl w:val="40322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420E6"/>
    <w:multiLevelType w:val="multilevel"/>
    <w:tmpl w:val="795E71E6"/>
    <w:lvl w:ilvl="0">
      <w:start w:val="1"/>
      <w:numFmt w:val="decimal"/>
      <w:lvlText w:val="%1."/>
      <w:lvlJc w:val="left"/>
      <w:pPr>
        <w:ind w:left="433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871BE4"/>
    <w:multiLevelType w:val="multilevel"/>
    <w:tmpl w:val="45B6C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305045"/>
    <w:multiLevelType w:val="multilevel"/>
    <w:tmpl w:val="7C60E4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827622329">
    <w:abstractNumId w:val="1"/>
  </w:num>
  <w:num w:numId="2" w16cid:durableId="813179639">
    <w:abstractNumId w:val="0"/>
  </w:num>
  <w:num w:numId="3" w16cid:durableId="789589922">
    <w:abstractNumId w:val="2"/>
  </w:num>
  <w:num w:numId="4" w16cid:durableId="593169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0E"/>
    <w:rsid w:val="000028D2"/>
    <w:rsid w:val="00013B3D"/>
    <w:rsid w:val="00030A58"/>
    <w:rsid w:val="0005404B"/>
    <w:rsid w:val="000C609F"/>
    <w:rsid w:val="000D0983"/>
    <w:rsid w:val="000F418A"/>
    <w:rsid w:val="001D1909"/>
    <w:rsid w:val="002849A5"/>
    <w:rsid w:val="002A3ECA"/>
    <w:rsid w:val="003C67A3"/>
    <w:rsid w:val="00404FAF"/>
    <w:rsid w:val="004E5864"/>
    <w:rsid w:val="006144DF"/>
    <w:rsid w:val="00636005"/>
    <w:rsid w:val="006F1224"/>
    <w:rsid w:val="007B50A0"/>
    <w:rsid w:val="007F4A25"/>
    <w:rsid w:val="00825223"/>
    <w:rsid w:val="009C040E"/>
    <w:rsid w:val="00CA09FC"/>
    <w:rsid w:val="00D85A09"/>
    <w:rsid w:val="00EE6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A7F01"/>
  <w15:docId w15:val="{B725F6EE-093F-437E-976B-DF401E4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9"/>
  </w:style>
  <w:style w:type="paragraph" w:styleId="Ttulo1">
    <w:name w:val="heading 1"/>
    <w:basedOn w:val="Normal"/>
    <w:next w:val="Normal"/>
    <w:link w:val="Ttulo1Car"/>
    <w:uiPriority w:val="9"/>
    <w:qFormat/>
    <w:rsid w:val="00AF50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F50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F50A9"/>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AF50A9"/>
    <w:pPr>
      <w:tabs>
        <w:tab w:val="center" w:pos="4419"/>
        <w:tab w:val="right" w:pos="8838"/>
      </w:tabs>
    </w:pPr>
  </w:style>
  <w:style w:type="character" w:customStyle="1" w:styleId="EncabezadoCar">
    <w:name w:val="Encabezado Car"/>
    <w:basedOn w:val="Fuentedeprrafopredeter"/>
    <w:link w:val="Encabezado"/>
    <w:uiPriority w:val="99"/>
    <w:rsid w:val="00AF50A9"/>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AF50A9"/>
    <w:pPr>
      <w:tabs>
        <w:tab w:val="center" w:pos="4419"/>
        <w:tab w:val="right" w:pos="8838"/>
      </w:tabs>
    </w:pPr>
  </w:style>
  <w:style w:type="character" w:customStyle="1" w:styleId="PiedepginaCar">
    <w:name w:val="Pie de página Car"/>
    <w:basedOn w:val="Fuentedeprrafopredeter"/>
    <w:link w:val="Piedepgina"/>
    <w:uiPriority w:val="99"/>
    <w:rsid w:val="00AF50A9"/>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50A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F50A9"/>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AF50A9"/>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F50A9"/>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AF50A9"/>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F50A9"/>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AF50A9"/>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rsid w:val="00AF50A9"/>
    <w:rPr>
      <w:rFonts w:asciiTheme="majorHAnsi" w:eastAsiaTheme="majorEastAsia" w:hAnsiTheme="majorHAnsi" w:cstheme="majorBidi"/>
      <w:color w:val="2E74B5" w:themeColor="accent1" w:themeShade="BF"/>
      <w:sz w:val="26"/>
      <w:szCs w:val="26"/>
      <w:lang w:val="es-MX" w:eastAsia="es-MX"/>
    </w:rPr>
  </w:style>
  <w:style w:type="paragraph" w:styleId="Textoindependiente">
    <w:name w:val="Body Text"/>
    <w:basedOn w:val="Normal"/>
    <w:link w:val="TextoindependienteCar"/>
    <w:uiPriority w:val="1"/>
    <w:qFormat/>
    <w:rsid w:val="00F15C1E"/>
    <w:pPr>
      <w:widowControl w:val="0"/>
      <w:autoSpaceDE w:val="0"/>
      <w:autoSpaceDN w:val="0"/>
    </w:pPr>
    <w:rPr>
      <w:rFonts w:ascii="Palatino Linotype" w:eastAsia="Palatino Linotype" w:hAnsi="Palatino Linotype" w:cs="Palatino Linotype"/>
      <w:lang w:val="es-ES" w:eastAsia="en-US"/>
    </w:rPr>
  </w:style>
  <w:style w:type="character" w:customStyle="1" w:styleId="TextoindependienteCar">
    <w:name w:val="Texto independiente Car"/>
    <w:basedOn w:val="Fuentedeprrafopredeter"/>
    <w:link w:val="Textoindependiente"/>
    <w:uiPriority w:val="1"/>
    <w:rsid w:val="00F15C1E"/>
    <w:rPr>
      <w:rFonts w:ascii="Palatino Linotype" w:eastAsia="Palatino Linotype" w:hAnsi="Palatino Linotype" w:cs="Palatino Linotype"/>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rcoem.org.mx/sarcoem/solicitud/downloadAttach/202074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rcoem.org.mx/sarcoem/solicitud/downloadAttachOk/2103954.page" TargetMode="External"/><Relationship Id="rId4" Type="http://schemas.openxmlformats.org/officeDocument/2006/relationships/settings" Target="settings.xml"/><Relationship Id="rId9" Type="http://schemas.openxmlformats.org/officeDocument/2006/relationships/hyperlink" Target="https://www.sarcoem.org.mx/sarcoem/solicitud/downloadAttach/2030031.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AUY1aEeOqSC+waxIksk4uUWZQ==">CgMxLjAyCGguZ2pkZ3hzMgloLjMwajB6bGwyCWguMWZvYjl0ZTIJaC4zem55c2g3MgloLjJldDkycDAyCGgudHlqY3d0MgloLjNkeTZ2a20yCWguMXQzaDVzZjIJaC40ZDM0b2c4MgloLjJzOGV5bzEyCWguMTdkcDh2dTgAciExYU5HTXpIdnJINkM1ZldTSHpzNDM1WXhVNk5CYkhQcFg=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3559</Words>
  <Characters>19576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8</cp:revision>
  <dcterms:created xsi:type="dcterms:W3CDTF">2024-09-18T23:20:00Z</dcterms:created>
  <dcterms:modified xsi:type="dcterms:W3CDTF">2024-10-09T20:19:00Z</dcterms:modified>
</cp:coreProperties>
</file>