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360" w:lineRule="auto"/>
        <w:ind w:right="4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Resolución del Pleno del Instituto de Transparencia, Acceso a la Información Pública y Protección de Datos Personales del Estado de México y Municipios, con domicilio en Metepec, Estado de México, a nueve de octubre de dos mil veinticuatro.</w:t>
      </w:r>
    </w:p>
    <w:p w:rsidR="00000000" w:rsidDel="00000000" w:rsidP="00000000" w:rsidRDefault="00000000" w:rsidRPr="00000000" w14:paraId="00000002">
      <w:pPr>
        <w:spacing w:after="0" w:line="360"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3">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Visto </w:t>
      </w:r>
      <w:r w:rsidDel="00000000" w:rsidR="00000000" w:rsidRPr="00000000">
        <w:rPr>
          <w:rFonts w:ascii="Palatino Linotype" w:cs="Palatino Linotype" w:eastAsia="Palatino Linotype" w:hAnsi="Palatino Linotype"/>
          <w:sz w:val="24"/>
          <w:szCs w:val="24"/>
          <w:rtl w:val="0"/>
        </w:rPr>
        <w:t xml:space="preserve">el expediente relativo al recurso de revisión </w:t>
      </w:r>
      <w:r w:rsidDel="00000000" w:rsidR="00000000" w:rsidRPr="00000000">
        <w:rPr>
          <w:rFonts w:ascii="Palatino Linotype" w:cs="Palatino Linotype" w:eastAsia="Palatino Linotype" w:hAnsi="Palatino Linotype"/>
          <w:b w:val="1"/>
          <w:sz w:val="24"/>
          <w:szCs w:val="24"/>
          <w:rtl w:val="0"/>
        </w:rPr>
        <w:t xml:space="preserve">02964/INFOEM/AD/RR/2024</w:t>
      </w:r>
      <w:r w:rsidDel="00000000" w:rsidR="00000000" w:rsidRPr="00000000">
        <w:rPr>
          <w:rFonts w:ascii="Palatino Linotype" w:cs="Palatino Linotype" w:eastAsia="Palatino Linotype" w:hAnsi="Palatino Linotype"/>
          <w:sz w:val="24"/>
          <w:szCs w:val="24"/>
          <w:rtl w:val="0"/>
        </w:rPr>
        <w:t xml:space="preserve">, interpuesto por </w:t>
      </w:r>
      <w:r w:rsidDel="00000000" w:rsidR="00000000" w:rsidRPr="00000000">
        <w:rPr>
          <w:rFonts w:ascii="Palatino Linotype" w:cs="Palatino Linotype" w:eastAsia="Palatino Linotype" w:hAnsi="Palatino Linotype"/>
          <w:rtl w:val="0"/>
        </w:rPr>
        <w:t xml:space="preserve">XXXXX XXXXXXXX XXXX XXXXX</w:t>
      </w:r>
      <w:r w:rsidDel="00000000" w:rsidR="00000000" w:rsidRPr="00000000">
        <w:rPr>
          <w:rFonts w:ascii="Palatino Linotype" w:cs="Palatino Linotype" w:eastAsia="Palatino Linotype" w:hAnsi="Palatino Linotype"/>
          <w:sz w:val="24"/>
          <w:szCs w:val="24"/>
          <w:rtl w:val="0"/>
        </w:rPr>
        <w:t xml:space="preserve">, a quien en lo sucesivo se le denominará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en contra de la respuesta a la solicitud de acceso a datos personales con número de folio </w:t>
      </w:r>
      <w:r w:rsidDel="00000000" w:rsidR="00000000" w:rsidRPr="00000000">
        <w:rPr>
          <w:rFonts w:ascii="Palatino Linotype" w:cs="Palatino Linotype" w:eastAsia="Palatino Linotype" w:hAnsi="Palatino Linotype"/>
          <w:b w:val="1"/>
          <w:sz w:val="24"/>
          <w:szCs w:val="24"/>
          <w:rtl w:val="0"/>
        </w:rPr>
        <w:t xml:space="preserve">00002/SEIEM/AD/2024</w:t>
      </w:r>
      <w:r w:rsidDel="00000000" w:rsidR="00000000" w:rsidRPr="00000000">
        <w:rPr>
          <w:rFonts w:ascii="Palatino Linotype" w:cs="Palatino Linotype" w:eastAsia="Palatino Linotype" w:hAnsi="Palatino Linotype"/>
          <w:sz w:val="24"/>
          <w:szCs w:val="24"/>
          <w:rtl w:val="0"/>
        </w:rPr>
        <w:t xml:space="preserve">, por parte de los Servicios Educativos Integrados al Estado de México, en lo sucesivo </w:t>
      </w:r>
      <w:r w:rsidDel="00000000" w:rsidR="00000000" w:rsidRPr="00000000">
        <w:rPr>
          <w:rFonts w:ascii="Palatino Linotype" w:cs="Palatino Linotype" w:eastAsia="Palatino Linotype" w:hAnsi="Palatino Linotype"/>
          <w:b w:val="1"/>
          <w:sz w:val="24"/>
          <w:szCs w:val="24"/>
          <w:rtl w:val="0"/>
        </w:rPr>
        <w:t xml:space="preserve">EL</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se procede a dictar la presente resolución, con base en lo siguiente. </w:t>
      </w:r>
    </w:p>
    <w:p w:rsidR="00000000" w:rsidDel="00000000" w:rsidP="00000000" w:rsidRDefault="00000000" w:rsidRPr="00000000" w14:paraId="00000004">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spacing w:after="0" w:line="36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AN T E C E D E N T E S </w:t>
      </w:r>
    </w:p>
    <w:p w:rsidR="00000000" w:rsidDel="00000000" w:rsidP="00000000" w:rsidRDefault="00000000" w:rsidRPr="00000000" w14:paraId="00000006">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spacing w:after="0" w:line="360" w:lineRule="auto"/>
        <w:ind w:right="4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SOLICITUD DE INFORMACIÓN. </w:t>
      </w:r>
      <w:r w:rsidDel="00000000" w:rsidR="00000000" w:rsidRPr="00000000">
        <w:rPr>
          <w:rFonts w:ascii="Palatino Linotype" w:cs="Palatino Linotype" w:eastAsia="Palatino Linotype" w:hAnsi="Palatino Linotype"/>
          <w:sz w:val="24"/>
          <w:szCs w:val="24"/>
          <w:rtl w:val="0"/>
        </w:rPr>
        <w:t xml:space="preserve">Con fecha quince de abril de dos mil veinticuatro,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presentó a través del Sistema de Acceso, Rectificación, Cancelación y Oposición del Estado de México </w:t>
      </w:r>
      <w:r w:rsidDel="00000000" w:rsidR="00000000" w:rsidRPr="00000000">
        <w:rPr>
          <w:rFonts w:ascii="Palatino Linotype" w:cs="Palatino Linotype" w:eastAsia="Palatino Linotype" w:hAnsi="Palatino Linotype"/>
          <w:b w:val="1"/>
          <w:sz w:val="24"/>
          <w:szCs w:val="24"/>
          <w:rtl w:val="0"/>
        </w:rPr>
        <w:t xml:space="preserve">(SARCOEM)</w:t>
      </w:r>
      <w:r w:rsidDel="00000000" w:rsidR="00000000" w:rsidRPr="00000000">
        <w:rPr>
          <w:rFonts w:ascii="Palatino Linotype" w:cs="Palatino Linotype" w:eastAsia="Palatino Linotype" w:hAnsi="Palatino Linotype"/>
          <w:sz w:val="24"/>
          <w:szCs w:val="24"/>
          <w:rtl w:val="0"/>
        </w:rPr>
        <w:t xml:space="preserve"> ante </w:t>
      </w:r>
      <w:r w:rsidDel="00000000" w:rsidR="00000000" w:rsidRPr="00000000">
        <w:rPr>
          <w:rFonts w:ascii="Palatino Linotype" w:cs="Palatino Linotype" w:eastAsia="Palatino Linotype" w:hAnsi="Palatino Linotype"/>
          <w:b w:val="1"/>
          <w:sz w:val="24"/>
          <w:szCs w:val="24"/>
          <w:rtl w:val="0"/>
        </w:rPr>
        <w:t xml:space="preserve">EL SUJETO OBLIGADO</w:t>
      </w:r>
      <w:r w:rsidDel="00000000" w:rsidR="00000000" w:rsidRPr="00000000">
        <w:rPr>
          <w:rFonts w:ascii="Palatino Linotype" w:cs="Palatino Linotype" w:eastAsia="Palatino Linotype" w:hAnsi="Palatino Linotype"/>
          <w:sz w:val="24"/>
          <w:szCs w:val="24"/>
          <w:rtl w:val="0"/>
        </w:rPr>
        <w:t xml:space="preserve">, solicitud de acceso a datos personales, registrada bajo el número de expediente</w:t>
      </w:r>
      <w:r w:rsidDel="00000000" w:rsidR="00000000" w:rsidRPr="00000000">
        <w:rPr>
          <w:rFonts w:ascii="Verdana" w:cs="Verdana" w:eastAsia="Verdana" w:hAnsi="Verdana"/>
          <w:b w:val="1"/>
          <w:rtl w:val="0"/>
        </w:rPr>
        <w:t xml:space="preserve"> </w:t>
      </w:r>
      <w:r w:rsidDel="00000000" w:rsidR="00000000" w:rsidRPr="00000000">
        <w:rPr>
          <w:rFonts w:ascii="Palatino Linotype" w:cs="Palatino Linotype" w:eastAsia="Palatino Linotype" w:hAnsi="Palatino Linotype"/>
          <w:b w:val="1"/>
          <w:sz w:val="24"/>
          <w:szCs w:val="24"/>
          <w:rtl w:val="0"/>
        </w:rPr>
        <w:t xml:space="preserve">00002/SEIEM/AD/2024</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mediante la cual solicitó la siguiente información:</w:t>
      </w:r>
    </w:p>
    <w:p w:rsidR="00000000" w:rsidDel="00000000" w:rsidP="00000000" w:rsidRDefault="00000000" w:rsidRPr="00000000" w14:paraId="00000008">
      <w:pPr>
        <w:spacing w:after="0" w:line="360" w:lineRule="auto"/>
        <w:ind w:right="4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spacing w:after="0" w:line="276" w:lineRule="auto"/>
        <w:ind w:left="709" w:right="75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“SOLICITO MI CERTIFICADO DE NO ADEUDO COMO SERVIDOR PÚBLICO. YA LO HE SOLICITADO POR ESCRITO DESDE EL MES DE NOVIEMBRE DE 2023 Y 04 DE MARZO DE 2024, PERO NO HE OBTENIDO RESPUESTA ALGUNA. PROPORCIONO MI NUMERO DE FILIACIÓN. XXXXXXXXXXXX, CLAVE PRESUPUESTAL XXXXXXXXXXXXXXXXXXXXXXX LABORÉ COMO SUBDIRECTOR DE DISTRIBUCIÓN DE CHEQUES DEL 01 DE OCTUBRE DE 2018 AL 15 DE SEPTIEMBRE DE 2023, CON CLAVE DE CENTRO DE TRABAJO 15ADG0129V EN SERVICIOS EDUCATIVOS INTEGRADOS AL ESTADO DE MÉXICO.” (Sic).</w:t>
      </w:r>
    </w:p>
    <w:p w:rsidR="00000000" w:rsidDel="00000000" w:rsidP="00000000" w:rsidRDefault="00000000" w:rsidRPr="00000000" w14:paraId="0000000A">
      <w:pPr>
        <w:spacing w:after="0" w:line="276" w:lineRule="auto"/>
        <w:ind w:right="758"/>
        <w:jc w:val="both"/>
        <w:rPr>
          <w:rFonts w:ascii="Palatino Linotype" w:cs="Palatino Linotype" w:eastAsia="Palatino Linotype" w:hAnsi="Palatino Linotype"/>
          <w:i w:val="1"/>
        </w:rPr>
      </w:pPr>
      <w:r w:rsidDel="00000000" w:rsidR="00000000" w:rsidRPr="00000000">
        <w:rPr>
          <w:rtl w:val="0"/>
        </w:rPr>
      </w:r>
    </w:p>
    <w:p w:rsidR="00000000" w:rsidDel="00000000" w:rsidP="00000000" w:rsidRDefault="00000000" w:rsidRPr="00000000" w14:paraId="0000000B">
      <w:pPr>
        <w:spacing w:after="0" w:line="360" w:lineRule="auto"/>
        <w:ind w:right="758"/>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LA PARTE RECURRENTE</w:t>
      </w:r>
      <w:r w:rsidDel="00000000" w:rsidR="00000000" w:rsidRPr="00000000">
        <w:rPr>
          <w:rFonts w:ascii="Palatino Linotype" w:cs="Palatino Linotype" w:eastAsia="Palatino Linotype" w:hAnsi="Palatino Linotype"/>
          <w:rtl w:val="0"/>
        </w:rPr>
        <w:t xml:space="preserve">, adjunto el archivo electrónico  “</w:t>
      </w:r>
      <w:r w:rsidDel="00000000" w:rsidR="00000000" w:rsidRPr="00000000">
        <w:rPr>
          <w:rFonts w:ascii="Palatino Linotype" w:cs="Palatino Linotype" w:eastAsia="Palatino Linotype" w:hAnsi="Palatino Linotype"/>
          <w:b w:val="1"/>
          <w:i w:val="1"/>
          <w:u w:val="single"/>
          <w:rtl w:val="0"/>
        </w:rPr>
        <w:t xml:space="preserve">INE JMLM.pdf</w:t>
      </w:r>
      <w:r w:rsidDel="00000000" w:rsidR="00000000" w:rsidRPr="00000000">
        <w:rPr>
          <w:rFonts w:ascii="Palatino Linotype" w:cs="Palatino Linotype" w:eastAsia="Palatino Linotype" w:hAnsi="Palatino Linotype"/>
          <w:rtl w:val="0"/>
        </w:rPr>
        <w:t xml:space="preserve">”: Credencial para votar emitida por el Instituto Nacional Electoral a favor de </w:t>
      </w:r>
      <w:r w:rsidDel="00000000" w:rsidR="00000000" w:rsidRPr="00000000">
        <w:rPr>
          <w:rFonts w:ascii="Palatino Linotype" w:cs="Palatino Linotype" w:eastAsia="Palatino Linotype" w:hAnsi="Palatino Linotype"/>
          <w:b w:val="1"/>
          <w:rtl w:val="0"/>
        </w:rPr>
        <w:t xml:space="preserve">LA PARTE RECURRENTE. </w:t>
      </w:r>
    </w:p>
    <w:p w:rsidR="00000000" w:rsidDel="00000000" w:rsidP="00000000" w:rsidRDefault="00000000" w:rsidRPr="00000000" w14:paraId="0000000C">
      <w:pPr>
        <w:spacing w:after="0" w:line="276" w:lineRule="auto"/>
        <w:ind w:right="758"/>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spacing w:after="0" w:line="360" w:lineRule="auto"/>
        <w:ind w:right="49"/>
        <w:jc w:val="both"/>
        <w:rPr>
          <w:rFonts w:ascii="Palatino Linotype" w:cs="Palatino Linotype" w:eastAsia="Palatino Linotype" w:hAnsi="Palatino Linotype"/>
          <w:strike w:val="1"/>
          <w:sz w:val="24"/>
          <w:szCs w:val="24"/>
        </w:rPr>
      </w:pPr>
      <w:r w:rsidDel="00000000" w:rsidR="00000000" w:rsidRPr="00000000">
        <w:rPr>
          <w:rFonts w:ascii="Palatino Linotype" w:cs="Palatino Linotype" w:eastAsia="Palatino Linotype" w:hAnsi="Palatino Linotype"/>
          <w:sz w:val="24"/>
          <w:szCs w:val="24"/>
          <w:rtl w:val="0"/>
        </w:rPr>
        <w:t xml:space="preserve">Modalidad de entrega: SARCOEM.</w:t>
      </w:r>
      <w:r w:rsidDel="00000000" w:rsidR="00000000" w:rsidRPr="00000000">
        <w:rPr>
          <w:rFonts w:ascii="Palatino Linotype" w:cs="Palatino Linotype" w:eastAsia="Palatino Linotype" w:hAnsi="Palatino Linotype"/>
          <w:strike w:val="1"/>
          <w:sz w:val="24"/>
          <w:szCs w:val="24"/>
          <w:rtl w:val="0"/>
        </w:rPr>
        <w:t xml:space="preserve"> </w:t>
      </w:r>
    </w:p>
    <w:p w:rsidR="00000000" w:rsidDel="00000000" w:rsidP="00000000" w:rsidRDefault="00000000" w:rsidRPr="00000000" w14:paraId="0000000E">
      <w:pPr>
        <w:spacing w:after="0" w:line="360" w:lineRule="auto"/>
        <w:ind w:right="49"/>
        <w:jc w:val="both"/>
        <w:rPr>
          <w:rFonts w:ascii="Palatino Linotype" w:cs="Palatino Linotype" w:eastAsia="Palatino Linotype" w:hAnsi="Palatino Linotype"/>
          <w:strike w:val="1"/>
          <w:sz w:val="24"/>
          <w:szCs w:val="24"/>
        </w:rPr>
      </w:pPr>
      <w:r w:rsidDel="00000000" w:rsidR="00000000" w:rsidRPr="00000000">
        <w:rPr>
          <w:rtl w:val="0"/>
        </w:rPr>
      </w:r>
    </w:p>
    <w:p w:rsidR="00000000" w:rsidDel="00000000" w:rsidP="00000000" w:rsidRDefault="00000000" w:rsidRPr="00000000" w14:paraId="0000000F">
      <w:pPr>
        <w:spacing w:after="0" w:line="360" w:lineRule="auto"/>
        <w:jc w:val="both"/>
        <w:rPr/>
      </w:pPr>
      <w:r w:rsidDel="00000000" w:rsidR="00000000" w:rsidRPr="00000000">
        <w:rPr>
          <w:rFonts w:ascii="Palatino Linotype" w:cs="Palatino Linotype" w:eastAsia="Palatino Linotype" w:hAnsi="Palatino Linotype"/>
          <w:b w:val="1"/>
          <w:sz w:val="24"/>
          <w:szCs w:val="24"/>
          <w:rtl w:val="0"/>
        </w:rPr>
        <w:t xml:space="preserve">2. RESPUESTA.  </w:t>
      </w:r>
      <w:r w:rsidDel="00000000" w:rsidR="00000000" w:rsidRPr="00000000">
        <w:rPr>
          <w:rFonts w:ascii="Palatino Linotype" w:cs="Palatino Linotype" w:eastAsia="Palatino Linotype" w:hAnsi="Palatino Linotype"/>
          <w:sz w:val="24"/>
          <w:szCs w:val="24"/>
          <w:rtl w:val="0"/>
        </w:rPr>
        <w:t xml:space="preserve">Con fecha trece de mayo del dos mil veinticuatro, </w:t>
      </w:r>
      <w:r w:rsidDel="00000000" w:rsidR="00000000" w:rsidRPr="00000000">
        <w:rPr>
          <w:rFonts w:ascii="Palatino Linotype" w:cs="Palatino Linotype" w:eastAsia="Palatino Linotype" w:hAnsi="Palatino Linotype"/>
          <w:b w:val="1"/>
          <w:sz w:val="24"/>
          <w:szCs w:val="24"/>
          <w:rtl w:val="0"/>
        </w:rPr>
        <w:t xml:space="preserve">EL SUJETO OBLIGADO</w:t>
      </w:r>
      <w:r w:rsidDel="00000000" w:rsidR="00000000" w:rsidRPr="00000000">
        <w:rPr>
          <w:rFonts w:ascii="Palatino Linotype" w:cs="Palatino Linotype" w:eastAsia="Palatino Linotype" w:hAnsi="Palatino Linotype"/>
          <w:sz w:val="24"/>
          <w:szCs w:val="24"/>
          <w:rtl w:val="0"/>
        </w:rPr>
        <w:t xml:space="preserve"> notificó a través del SARCOEM, a la solicitud de acceso a los datos personales lo siguiente:</w:t>
      </w:r>
      <w:r w:rsidDel="00000000" w:rsidR="00000000" w:rsidRPr="00000000">
        <w:rPr>
          <w:rtl w:val="0"/>
        </w:rPr>
      </w:r>
    </w:p>
    <w:p w:rsidR="00000000" w:rsidDel="00000000" w:rsidP="00000000" w:rsidRDefault="00000000" w:rsidRPr="00000000" w14:paraId="00000010">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spacing w:after="0" w:line="276"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“En respuesta a la solicitud recibida, nos permitimos hacer de su conocimiento que con fundamento en el artículo 53, Fracciones: II, V y VI de la Ley de Transparencia y Acceso a la Información Pública del Estado de México y Municipios, le contestamos que:</w:t>
      </w:r>
    </w:p>
    <w:p w:rsidR="00000000" w:rsidDel="00000000" w:rsidP="00000000" w:rsidRDefault="00000000" w:rsidRPr="00000000" w14:paraId="00000012">
      <w:pPr>
        <w:spacing w:after="0" w:line="276"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Se adjunta respuesta a la solicitud.</w:t>
      </w:r>
    </w:p>
    <w:p w:rsidR="00000000" w:rsidDel="00000000" w:rsidP="00000000" w:rsidRDefault="00000000" w:rsidRPr="00000000" w14:paraId="00000013">
      <w:pPr>
        <w:spacing w:after="0" w:line="276"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ATENTAMENTE</w:t>
      </w:r>
    </w:p>
    <w:p w:rsidR="00000000" w:rsidDel="00000000" w:rsidP="00000000" w:rsidRDefault="00000000" w:rsidRPr="00000000" w14:paraId="00000014">
      <w:pPr>
        <w:spacing w:after="0" w:line="276" w:lineRule="auto"/>
        <w:ind w:left="851" w:right="900"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Lic. Joaquín Raúl Benítez Vera (SUPLENTE)</w:t>
      </w:r>
    </w:p>
    <w:p w:rsidR="00000000" w:rsidDel="00000000" w:rsidP="00000000" w:rsidRDefault="00000000" w:rsidRPr="00000000" w14:paraId="00000015">
      <w:pPr>
        <w:spacing w:after="0" w:line="276" w:lineRule="auto"/>
        <w:ind w:left="851" w:right="900" w:firstLine="0"/>
        <w:jc w:val="both"/>
        <w:rPr>
          <w:rFonts w:ascii="Palatino Linotype" w:cs="Palatino Linotype" w:eastAsia="Palatino Linotype" w:hAnsi="Palatino Linotype"/>
          <w:i w:val="1"/>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EL SUJETO OBLIGADO</w:t>
      </w:r>
      <w:r w:rsidDel="00000000" w:rsidR="00000000" w:rsidRPr="00000000">
        <w:rPr>
          <w:rFonts w:ascii="Palatino Linotype" w:cs="Palatino Linotype" w:eastAsia="Palatino Linotype" w:hAnsi="Palatino Linotype"/>
          <w:sz w:val="24"/>
          <w:szCs w:val="24"/>
          <w:rtl w:val="0"/>
        </w:rPr>
        <w:t xml:space="preserve"> adjuntó los archivos electrónicos: </w:t>
      </w:r>
    </w:p>
    <w:p w:rsidR="00000000" w:rsidDel="00000000" w:rsidP="00000000" w:rsidRDefault="00000000" w:rsidRPr="00000000" w14:paraId="00000017">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Sol 002SEIEMAD2024.pdf</w:t>
      </w:r>
      <w:r w:rsidDel="00000000" w:rsidR="00000000" w:rsidRPr="00000000">
        <w:rPr>
          <w:rFonts w:ascii="Palatino Linotype" w:cs="Palatino Linotype" w:eastAsia="Palatino Linotype" w:hAnsi="Palatino Linotype"/>
          <w:sz w:val="24"/>
          <w:szCs w:val="24"/>
          <w:rtl w:val="0"/>
        </w:rPr>
        <w:t xml:space="preserve">”: Oficio de fecha trece de mayo de dos mil veinticuatro, signado por el Suplente del Titular de la Unidad de Transparencia, mediante el cual señala que la respuesta proporcionada por la Coordinación de Administración y Finanzas se anexa en formato PDF. </w:t>
      </w:r>
    </w:p>
    <w:p w:rsidR="00000000" w:rsidDel="00000000" w:rsidP="00000000" w:rsidRDefault="00000000" w:rsidRPr="00000000" w14:paraId="00000019">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Anexo Sol 002AD2024.pdf</w:t>
      </w:r>
      <w:r w:rsidDel="00000000" w:rsidR="00000000" w:rsidRPr="00000000">
        <w:rPr>
          <w:rFonts w:ascii="Palatino Linotype" w:cs="Palatino Linotype" w:eastAsia="Palatino Linotype" w:hAnsi="Palatino Linotype"/>
          <w:sz w:val="24"/>
          <w:szCs w:val="24"/>
          <w:rtl w:val="0"/>
        </w:rPr>
        <w:t xml:space="preserve">”: Oficio de fecha dieciocho de abril de dos mil veinticuatro, signado por la Coordinadora de Administración y Finanzas, mediante el cual señala que el trámite es de manera presencial, el cual debe contener:</w:t>
      </w:r>
    </w:p>
    <w:p w:rsidR="00000000" w:rsidDel="00000000" w:rsidP="00000000" w:rsidRDefault="00000000" w:rsidRPr="00000000" w14:paraId="0000001B">
      <w:pPr>
        <w:spacing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Oficio de solicitud de “Certificado de No Adeudo”, dirigido a la Coordinadora de Administración y Finanzas, donde especifique la Clave del Centro de Trabajo, los efectos, proporcionando su filiación, claves presupuestales y puntualizando que el motivo por el cual lo solicita (para estar en posibilidad de integrarlo en el Sistema de Entrega y Recepción de las Unidades Administrativas SISER-WEB), documento que deberá marcar copia al titular de la Dirección de Recursos Materiales y Financieros y al Jefe de Departamento de Tesorería.</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Copia del último talón de pago.</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Copia de INE. </w:t>
      </w:r>
    </w:p>
    <w:p w:rsidR="00000000" w:rsidDel="00000000" w:rsidP="00000000" w:rsidRDefault="00000000" w:rsidRPr="00000000" w14:paraId="0000001F">
      <w:pPr>
        <w:spacing w:after="0" w:line="360" w:lineRule="auto"/>
        <w:ind w:right="-234"/>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0">
      <w:pPr>
        <w:spacing w:after="0" w:line="360" w:lineRule="auto"/>
        <w:ind w:right="-234"/>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3. DEL RECURSO DE REVISIÓN. </w:t>
      </w:r>
      <w:r w:rsidDel="00000000" w:rsidR="00000000" w:rsidRPr="00000000">
        <w:rPr>
          <w:rFonts w:ascii="Palatino Linotype" w:cs="Palatino Linotype" w:eastAsia="Palatino Linotype" w:hAnsi="Palatino Linotype"/>
          <w:sz w:val="24"/>
          <w:szCs w:val="24"/>
          <w:rtl w:val="0"/>
        </w:rPr>
        <w:t xml:space="preserve">Inconforme con la actuación del</w:t>
      </w:r>
      <w:r w:rsidDel="00000000" w:rsidR="00000000" w:rsidRPr="00000000">
        <w:rPr>
          <w:rFonts w:ascii="Palatino Linotype" w:cs="Palatino Linotype" w:eastAsia="Palatino Linotype" w:hAnsi="Palatino Linotype"/>
          <w:b w:val="1"/>
          <w:sz w:val="24"/>
          <w:szCs w:val="24"/>
          <w:rtl w:val="0"/>
        </w:rPr>
        <w:t xml:space="preserve"> SUJETO OBLIGADO</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en fecha dieciséis de mayo de dos mil veinticuatro</w:t>
      </w:r>
      <w:r w:rsidDel="00000000" w:rsidR="00000000" w:rsidRPr="00000000">
        <w:rPr>
          <w:rFonts w:ascii="Palatino Linotype" w:cs="Palatino Linotype" w:eastAsia="Palatino Linotype" w:hAnsi="Palatino Linotype"/>
          <w:b w:val="1"/>
          <w:sz w:val="24"/>
          <w:szCs w:val="24"/>
          <w:rtl w:val="0"/>
        </w:rPr>
        <w:t xml:space="preserve">, LA PARTE RECURRENTE </w:t>
      </w:r>
      <w:r w:rsidDel="00000000" w:rsidR="00000000" w:rsidRPr="00000000">
        <w:rPr>
          <w:rFonts w:ascii="Palatino Linotype" w:cs="Palatino Linotype" w:eastAsia="Palatino Linotype" w:hAnsi="Palatino Linotype"/>
          <w:sz w:val="24"/>
          <w:szCs w:val="24"/>
          <w:rtl w:val="0"/>
        </w:rPr>
        <w:t xml:space="preserve">interpuso el recurso de revisión, el cual fue registrado</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en el sistema electrónico con el expediente número </w:t>
      </w:r>
      <w:r w:rsidDel="00000000" w:rsidR="00000000" w:rsidRPr="00000000">
        <w:rPr>
          <w:rFonts w:ascii="Palatino Linotype" w:cs="Palatino Linotype" w:eastAsia="Palatino Linotype" w:hAnsi="Palatino Linotype"/>
          <w:b w:val="1"/>
          <w:sz w:val="24"/>
          <w:szCs w:val="24"/>
          <w:rtl w:val="0"/>
        </w:rPr>
        <w:t xml:space="preserve">02964/INFOEM/AD/RR/2024</w:t>
      </w:r>
      <w:r w:rsidDel="00000000" w:rsidR="00000000" w:rsidRPr="00000000">
        <w:rPr>
          <w:rFonts w:ascii="Palatino Linotype" w:cs="Palatino Linotype" w:eastAsia="Palatino Linotype" w:hAnsi="Palatino Linotype"/>
          <w:sz w:val="24"/>
          <w:szCs w:val="24"/>
          <w:rtl w:val="0"/>
        </w:rPr>
        <w:t xml:space="preserve">, en el cual manifiesta, lo siguiente:</w:t>
      </w:r>
    </w:p>
    <w:p w:rsidR="00000000" w:rsidDel="00000000" w:rsidP="00000000" w:rsidRDefault="00000000" w:rsidRPr="00000000" w14:paraId="00000021">
      <w:pPr>
        <w:spacing w:after="0" w:line="360" w:lineRule="auto"/>
        <w:ind w:right="-234"/>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240" w:line="360" w:lineRule="auto"/>
        <w:ind w:left="720" w:hanging="360"/>
        <w:jc w:val="both"/>
        <w:rPr>
          <w:rFonts w:ascii="Palatino Linotype" w:cs="Palatino Linotype" w:eastAsia="Palatino Linotype" w:hAnsi="Palatino Linotype"/>
          <w:b w:val="1"/>
          <w:i w:val="1"/>
          <w:sz w:val="24"/>
          <w:szCs w:val="24"/>
        </w:rPr>
      </w:pPr>
      <w:r w:rsidDel="00000000" w:rsidR="00000000" w:rsidRPr="00000000">
        <w:rPr>
          <w:rFonts w:ascii="Palatino Linotype" w:cs="Palatino Linotype" w:eastAsia="Palatino Linotype" w:hAnsi="Palatino Linotype"/>
          <w:b w:val="1"/>
          <w:i w:val="1"/>
          <w:sz w:val="24"/>
          <w:szCs w:val="24"/>
          <w:rtl w:val="0"/>
        </w:rPr>
        <w:t xml:space="preserve">Acto Impugnado:</w:t>
      </w:r>
    </w:p>
    <w:p w:rsidR="00000000" w:rsidDel="00000000" w:rsidP="00000000" w:rsidRDefault="00000000" w:rsidRPr="00000000" w14:paraId="00000023">
      <w:pPr>
        <w:tabs>
          <w:tab w:val="left" w:leader="none" w:pos="8222"/>
        </w:tabs>
        <w:spacing w:after="240" w:before="240" w:line="276" w:lineRule="auto"/>
        <w:ind w:left="851"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“La respuesta de la unidad de transparencia y de la Coordinadora de Administración y Finanzas del SEIEM” [sic]</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240" w:before="240" w:line="360" w:lineRule="auto"/>
        <w:ind w:left="720" w:hanging="360"/>
        <w:rPr>
          <w:rFonts w:ascii="Palatino Linotype" w:cs="Palatino Linotype" w:eastAsia="Palatino Linotype" w:hAnsi="Palatino Linotype"/>
          <w:i w:val="1"/>
          <w:sz w:val="24"/>
          <w:szCs w:val="24"/>
        </w:rPr>
      </w:pPr>
      <w:r w:rsidDel="00000000" w:rsidR="00000000" w:rsidRPr="00000000">
        <w:rPr>
          <w:rFonts w:ascii="Palatino Linotype" w:cs="Palatino Linotype" w:eastAsia="Palatino Linotype" w:hAnsi="Palatino Linotype"/>
          <w:b w:val="1"/>
          <w:i w:val="1"/>
          <w:sz w:val="24"/>
          <w:szCs w:val="24"/>
          <w:rtl w:val="0"/>
        </w:rPr>
        <w:t xml:space="preserve">Razones o Motivos de Inconformidad</w:t>
      </w:r>
      <w:r w:rsidDel="00000000" w:rsidR="00000000" w:rsidRPr="00000000">
        <w:rPr>
          <w:rFonts w:ascii="Palatino Linotype" w:cs="Palatino Linotype" w:eastAsia="Palatino Linotype" w:hAnsi="Palatino Linotype"/>
          <w:i w:val="1"/>
          <w:sz w:val="24"/>
          <w:szCs w:val="24"/>
          <w:rtl w:val="0"/>
        </w:rPr>
        <w:t xml:space="preserve">:</w:t>
      </w:r>
    </w:p>
    <w:p w:rsidR="00000000" w:rsidDel="00000000" w:rsidP="00000000" w:rsidRDefault="00000000" w:rsidRPr="00000000" w14:paraId="00000025">
      <w:pPr>
        <w:spacing w:after="0" w:before="240" w:line="276" w:lineRule="auto"/>
        <w:ind w:left="851" w:right="61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sz w:val="24"/>
          <w:szCs w:val="24"/>
          <w:rtl w:val="0"/>
        </w:rPr>
        <w:t xml:space="preserve">“</w:t>
      </w:r>
      <w:r w:rsidDel="00000000" w:rsidR="00000000" w:rsidRPr="00000000">
        <w:rPr>
          <w:rFonts w:ascii="Palatino Linotype" w:cs="Palatino Linotype" w:eastAsia="Palatino Linotype" w:hAnsi="Palatino Linotype"/>
          <w:i w:val="1"/>
          <w:rtl w:val="0"/>
        </w:rPr>
        <w:t xml:space="preserve">La respuesta otorgada por la unidad de transparencia está fuera del plazo para decirme que es un tramite presencial, ya que la Ley de Proteccion de Datos Personales en su artículo 114 señala que en caso de existir un trámite o procedimiento especifico par asolicitar el ejercicio de los derechos ARCO, lo deberá informar en un plazo no mayor a cinco días habiles; situación que no ocurrió. Lo anterior es incongruente ya que en mi escrito de solicitud de recehos ARCO, mencioné que desde el mes de noviembre había ingresado por "escrito" la solicitud para obtener mi certificado de no adeudo, sin obtener respuesta aun. Aunado lo anterior, en su respuesta el suplente del titular de la unida de transparencia invoca el artículo 12 de la Ley de Transparencia para refereir que solo proporcionaran la información pública que obre en sus archivos. Equivocandose de manera rotunda en su fundamento legal, ya que el artículo citado refiere INFORMACIÓN PÚBLICA, que para el caso que nos ocupa se trata de información de datos personales, por eso el ejercicio de este derecho a traves de SARCOEM. Mi inconformidad tambien es en la respuesta de la Coordinadora de Administración y Finanzas del SEIEM ya que refiere que es un trámite presencial, el cual ya lo he solicitado mediante escrito y de manera presencial, por lo que su respuesta es con la finalidad de vulnerar mi acceso a datos que obran en sus archivos. Por lo anterior, solicito se de vista al Organo Interno de Control del Organo Garante para que analice las respuesta, ya que las mismas son con el afan de obstruir y retardar mi trámite. Adjunto evidencia de los escritros que he ingresado al SEIEM para robustecer mis dichos y de los cuales no he obtenido respuesta.” [sic]</w:t>
      </w:r>
    </w:p>
    <w:p w:rsidR="00000000" w:rsidDel="00000000" w:rsidP="00000000" w:rsidRDefault="00000000" w:rsidRPr="00000000" w14:paraId="00000026">
      <w:pPr>
        <w:spacing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Asimismo, adjuntó el archivo electrónico:</w:t>
      </w:r>
    </w:p>
    <w:p w:rsidR="00000000" w:rsidDel="00000000" w:rsidP="00000000" w:rsidRDefault="00000000" w:rsidRPr="00000000" w14:paraId="0000002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Archivos adjuntos RR.pdf</w:t>
      </w:r>
      <w:r w:rsidDel="00000000" w:rsidR="00000000" w:rsidRPr="00000000">
        <w:rPr>
          <w:rFonts w:ascii="Palatino Linotype" w:cs="Palatino Linotype" w:eastAsia="Palatino Linotype" w:hAnsi="Palatino Linotype"/>
          <w:sz w:val="24"/>
          <w:szCs w:val="24"/>
          <w:rtl w:val="0"/>
        </w:rPr>
        <w:t xml:space="preserve">”: Oficio suscrito por </w:t>
      </w:r>
      <w:r w:rsidDel="00000000" w:rsidR="00000000" w:rsidRPr="00000000">
        <w:rPr>
          <w:rFonts w:ascii="Palatino Linotype" w:cs="Palatino Linotype" w:eastAsia="Palatino Linotype" w:hAnsi="Palatino Linotype"/>
          <w:b w:val="1"/>
          <w:sz w:val="24"/>
          <w:szCs w:val="24"/>
          <w:rtl w:val="0"/>
        </w:rPr>
        <w:t xml:space="preserve">LA PARTE RECURRENTE </w:t>
      </w:r>
      <w:r w:rsidDel="00000000" w:rsidR="00000000" w:rsidRPr="00000000">
        <w:rPr>
          <w:rFonts w:ascii="Palatino Linotype" w:cs="Palatino Linotype" w:eastAsia="Palatino Linotype" w:hAnsi="Palatino Linotype"/>
          <w:sz w:val="24"/>
          <w:szCs w:val="24"/>
          <w:rtl w:val="0"/>
        </w:rPr>
        <w:t xml:space="preserve">en donde solicita el informe sobre el estatus del “Certificado de no adeudo” que requirió para llevar a cabo trámites personales, dirigido a la Coordinación de Administración y Finanzas. </w:t>
      </w:r>
    </w:p>
    <w:p w:rsidR="00000000" w:rsidDel="00000000" w:rsidP="00000000" w:rsidRDefault="00000000" w:rsidRPr="00000000" w14:paraId="0000002A">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B">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Oficio de fecha veintisiete de noviembre de dos mil veintitrés, suscrito por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mediante el cual solicita se expida el “Certificado de no adeudo”. </w:t>
      </w:r>
    </w:p>
    <w:p w:rsidR="00000000" w:rsidDel="00000000" w:rsidP="00000000" w:rsidRDefault="00000000" w:rsidRPr="00000000" w14:paraId="0000002C">
      <w:pPr>
        <w:spacing w:after="0" w:line="360" w:lineRule="auto"/>
        <w:ind w:right="49"/>
        <w:jc w:val="both"/>
        <w:rPr>
          <w:rFonts w:ascii="Palatino Linotype" w:cs="Palatino Linotype" w:eastAsia="Palatino Linotype" w:hAnsi="Palatino Linotype"/>
          <w:strike w:val="1"/>
          <w:sz w:val="24"/>
          <w:szCs w:val="24"/>
        </w:rPr>
      </w:pPr>
      <w:r w:rsidDel="00000000" w:rsidR="00000000" w:rsidRPr="00000000">
        <w:rPr>
          <w:rtl w:val="0"/>
        </w:rPr>
      </w:r>
    </w:p>
    <w:p w:rsidR="00000000" w:rsidDel="00000000" w:rsidP="00000000" w:rsidRDefault="00000000" w:rsidRPr="00000000" w14:paraId="0000002D">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4. TURNO.</w:t>
      </w:r>
      <w:r w:rsidDel="00000000" w:rsidR="00000000" w:rsidRPr="00000000">
        <w:rPr>
          <w:rFonts w:ascii="Palatino Linotype" w:cs="Palatino Linotype" w:eastAsia="Palatino Linotype" w:hAnsi="Palatino Linotype"/>
          <w:sz w:val="24"/>
          <w:szCs w:val="24"/>
          <w:rtl w:val="0"/>
        </w:rPr>
        <w:t xml:space="preserve"> De conformidad con los artículos 11 y 127, de la Ley de Protección de Datos Personales en Posesión de Sujetos Obligados del Estado de México y Municipios, en relación con el diverso 185, fracción I, de la Ley de Transparencia y Acceso a la Información Pública del Estado de México y Municipios, de aplicación supletoria a la citada Ley de Protección de Datos Personales, el presente recurso de revisión se turnó mediante el sistema electrónico SARCOEM del Instituto de Transparencia, Acceso a la Información Pública y Protección de  Datos Personales del Estado de México y Municipios, a la Comisionada Guadalupe Ramírez Peña, a efecto de que analizara sobre su admisión o su desechamiento.</w:t>
      </w:r>
    </w:p>
    <w:p w:rsidR="00000000" w:rsidDel="00000000" w:rsidP="00000000" w:rsidRDefault="00000000" w:rsidRPr="00000000" w14:paraId="0000002E">
      <w:pPr>
        <w:spacing w:after="240" w:before="24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5. ADMISIÓN DEL RECURSO DE REVISIÓN.</w:t>
      </w:r>
      <w:r w:rsidDel="00000000" w:rsidR="00000000" w:rsidRPr="00000000">
        <w:rPr>
          <w:rFonts w:ascii="Palatino Linotype" w:cs="Palatino Linotype" w:eastAsia="Palatino Linotype" w:hAnsi="Palatino Linotype"/>
          <w:sz w:val="24"/>
          <w:szCs w:val="24"/>
          <w:rtl w:val="0"/>
        </w:rPr>
        <w:t xml:space="preserve"> Con fecha</w:t>
      </w:r>
      <w:r w:rsidDel="00000000" w:rsidR="00000000" w:rsidRPr="00000000">
        <w:rPr>
          <w:rFonts w:ascii="Palatino Linotype" w:cs="Palatino Linotype" w:eastAsia="Palatino Linotype" w:hAnsi="Palatino Linotype"/>
          <w:b w:val="1"/>
          <w:sz w:val="24"/>
          <w:szCs w:val="24"/>
          <w:rtl w:val="0"/>
        </w:rPr>
        <w:t xml:space="preserve"> veintiuno de mayo de dos mil veinticuatro, </w:t>
      </w:r>
      <w:r w:rsidDel="00000000" w:rsidR="00000000" w:rsidRPr="00000000">
        <w:rPr>
          <w:rFonts w:ascii="Palatino Linotype" w:cs="Palatino Linotype" w:eastAsia="Palatino Linotype" w:hAnsi="Palatino Linotype"/>
          <w:sz w:val="24"/>
          <w:szCs w:val="24"/>
          <w:rtl w:val="0"/>
        </w:rPr>
        <w:t xml:space="preserve">de conformidad con lo dispuesto en los artículos 129, 130 y 131 de la Ley de Protección de Datos Personales en Posesión de Sujetos Obligados del Estado de México y Municipios y 185, fracción II de la Ley de Transparencia y Acceso a la Información Pública del Estado de México y Municipios de aplicación supletoria, se acordó lo siguiente: </w:t>
      </w:r>
    </w:p>
    <w:p w:rsidR="00000000" w:rsidDel="00000000" w:rsidP="00000000" w:rsidRDefault="00000000" w:rsidRPr="00000000" w14:paraId="0000002F">
      <w:pPr>
        <w:numPr>
          <w:ilvl w:val="0"/>
          <w:numId w:val="5"/>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La admisión a trámite del referido recurso de revisión;</w:t>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La integración del expediente a fin de ponerlo a disposición de las partes para la consulta.</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240" w:before="240" w:line="360" w:lineRule="auto"/>
        <w:ind w:left="284" w:right="193" w:firstLine="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El requerimiento</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a las partes para que en un plazo no mayor a siete días manifestaran, por cualquier medio, su voluntad de conciliar, con el apercibimiento de que, en caso de no hacerlo, se tendría por precluido su derecho, para tales efectos.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240" w:line="360" w:lineRule="auto"/>
        <w:ind w:right="19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Asimismo, en términos del artículo 132 fracción I de la Ley de Protección de Datos Personales en Posesión de Sujetos Obligados del Estado de México y Municipios, se hizo del conocimiento de las partes un resumen del recurso de revisión de mérito, así como los elementos comunes y puntos de controversia, respecto del presente asunto.</w:t>
      </w:r>
    </w:p>
    <w:p w:rsidR="00000000" w:rsidDel="00000000" w:rsidP="00000000" w:rsidRDefault="00000000" w:rsidRPr="00000000" w14:paraId="00000033">
      <w:pPr>
        <w:spacing w:after="0" w:line="360" w:lineRule="auto"/>
        <w:ind w:right="49"/>
        <w:jc w:val="both"/>
        <w:rPr>
          <w:rFonts w:ascii="Palatino Linotype" w:cs="Palatino Linotype" w:eastAsia="Palatino Linotype" w:hAnsi="Palatino Linotype"/>
          <w:strike w:val="1"/>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360" w:lineRule="auto"/>
        <w:ind w:right="193"/>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6. INFORME JUSTIFICADO O MANIFESTACIONES. </w:t>
      </w:r>
      <w:r w:rsidDel="00000000" w:rsidR="00000000" w:rsidRPr="00000000">
        <w:rPr>
          <w:rFonts w:ascii="Palatino Linotype" w:cs="Palatino Linotype" w:eastAsia="Palatino Linotype" w:hAnsi="Palatino Linotype"/>
          <w:sz w:val="24"/>
          <w:szCs w:val="24"/>
          <w:rtl w:val="0"/>
        </w:rPr>
        <w:t xml:space="preserve">El </w:t>
      </w:r>
      <w:r w:rsidDel="00000000" w:rsidR="00000000" w:rsidRPr="00000000">
        <w:rPr>
          <w:rFonts w:ascii="Palatino Linotype" w:cs="Palatino Linotype" w:eastAsia="Palatino Linotype" w:hAnsi="Palatino Linotype"/>
          <w:b w:val="1"/>
          <w:sz w:val="24"/>
          <w:szCs w:val="24"/>
          <w:rtl w:val="0"/>
        </w:rPr>
        <w:t xml:space="preserve">veintiocho de mayo de dos mil veinticuatro</w:t>
      </w:r>
      <w:r w:rsidDel="00000000" w:rsidR="00000000" w:rsidRPr="00000000">
        <w:rPr>
          <w:rFonts w:ascii="Palatino Linotype" w:cs="Palatino Linotype" w:eastAsia="Palatino Linotype" w:hAnsi="Palatino Linotype"/>
          <w:sz w:val="24"/>
          <w:szCs w:val="24"/>
          <w:rtl w:val="0"/>
        </w:rPr>
        <w:t xml:space="preserve">, se recibió, a través del Sistema de Acceso, Rectificación, Cancelación y Oposición del Estado de México (SARCOEM), el Informe Justificado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a través de los siguientes archivos electrónicos: </w:t>
      </w:r>
    </w:p>
    <w:p w:rsidR="00000000" w:rsidDel="00000000" w:rsidP="00000000" w:rsidRDefault="00000000" w:rsidRPr="00000000" w14:paraId="00000035">
      <w:pPr>
        <w:spacing w:after="0" w:line="360" w:lineRule="auto"/>
        <w:jc w:val="both"/>
        <w:rPr>
          <w:rFonts w:ascii="Palatino Linotype" w:cs="Palatino Linotype" w:eastAsia="Palatino Linotype" w:hAnsi="Palatino Linotype"/>
          <w:b w:val="1"/>
          <w:i w:val="1"/>
          <w:sz w:val="24"/>
          <w:szCs w:val="24"/>
          <w:u w:val="single"/>
        </w:rPr>
      </w:pPr>
      <w:r w:rsidDel="00000000" w:rsidR="00000000" w:rsidRPr="00000000">
        <w:rPr>
          <w:rtl w:val="0"/>
        </w:rPr>
      </w:r>
    </w:p>
    <w:p w:rsidR="00000000" w:rsidDel="00000000" w:rsidP="00000000" w:rsidRDefault="00000000" w:rsidRPr="00000000" w14:paraId="00000036">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Anexo Inf Just 2964ADRR2024.pdf</w:t>
      </w:r>
      <w:r w:rsidDel="00000000" w:rsidR="00000000" w:rsidRPr="00000000">
        <w:rPr>
          <w:rFonts w:ascii="Palatino Linotype" w:cs="Palatino Linotype" w:eastAsia="Palatino Linotype" w:hAnsi="Palatino Linotype"/>
          <w:sz w:val="24"/>
          <w:szCs w:val="24"/>
          <w:rtl w:val="0"/>
        </w:rPr>
        <w:t xml:space="preserve">”: Oficio de fecha veintitrés de mayo de dos mil veinticuatro, signado por la Coordinación de Administración y Finanzas, mediante el cual describe las constancias que obran en el SARCOEM, señalando que el Departamento de Tesorería exhorto a </w:t>
      </w:r>
      <w:r w:rsidDel="00000000" w:rsidR="00000000" w:rsidRPr="00000000">
        <w:rPr>
          <w:rFonts w:ascii="Palatino Linotype" w:cs="Palatino Linotype" w:eastAsia="Palatino Linotype" w:hAnsi="Palatino Linotype"/>
          <w:b w:val="1"/>
          <w:sz w:val="24"/>
          <w:szCs w:val="24"/>
          <w:rtl w:val="0"/>
        </w:rPr>
        <w:t xml:space="preserve">LA PARTE RECURRENTE </w:t>
      </w:r>
      <w:r w:rsidDel="00000000" w:rsidR="00000000" w:rsidRPr="00000000">
        <w:rPr>
          <w:rFonts w:ascii="Palatino Linotype" w:cs="Palatino Linotype" w:eastAsia="Palatino Linotype" w:hAnsi="Palatino Linotype"/>
          <w:sz w:val="24"/>
          <w:szCs w:val="24"/>
          <w:rtl w:val="0"/>
        </w:rPr>
        <w:t xml:space="preserve">se presentara en el Departamento de Inventarios, para conocer las instancias detectadas, motivo por el cual fue devuelta al Departamento de Tesorería la Constancia de No Adeudo sin firma y sin sello, solicitando se someta ante el Comité de Transparencia la declaración de inexistencia.  </w:t>
      </w:r>
    </w:p>
    <w:p w:rsidR="00000000" w:rsidDel="00000000" w:rsidP="00000000" w:rsidRDefault="00000000" w:rsidRPr="00000000" w14:paraId="00000037">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Oficio de fecha doce de abril de dos mil veinticuatro, signado por el Jefe de Departamento de Tesorería, dirigido a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mediante le señala que la “Constancia de no adeudo” cuenta con la observación de inconsistencias en el Departamento de Inventarios, motivo por el cual fue devuelta al Departamento de Tesorería sin firma y sin sello, exhortando al Departamento de Inventarios para conocer la observación y que está en posibilidades de solventarla. </w:t>
      </w:r>
    </w:p>
    <w:p w:rsidR="00000000" w:rsidDel="00000000" w:rsidP="00000000" w:rsidRDefault="00000000" w:rsidRPr="00000000" w14:paraId="00000039">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Inf Just 2964INFOEMADRR2024.pdf</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i w:val="1"/>
          <w:sz w:val="24"/>
          <w:szCs w:val="24"/>
          <w:u w:val="single"/>
          <w:rtl w:val="0"/>
        </w:rPr>
        <w:t xml:space="preserve"> </w:t>
      </w:r>
      <w:r w:rsidDel="00000000" w:rsidR="00000000" w:rsidRPr="00000000">
        <w:rPr>
          <w:rFonts w:ascii="Palatino Linotype" w:cs="Palatino Linotype" w:eastAsia="Palatino Linotype" w:hAnsi="Palatino Linotype"/>
          <w:sz w:val="24"/>
          <w:szCs w:val="24"/>
          <w:rtl w:val="0"/>
        </w:rPr>
        <w:t xml:space="preserve">Oficio de fecha veintiocho de mayo de dos mil veinticuatro, signado por el Suplente del Titular de la Unidad de Transparencia, mediante el cual describe las constancias que obran en el SARCOEM, refiriendo que anexa el informe justificado de la Coordinación de Administración y Finanzas. </w:t>
      </w:r>
    </w:p>
    <w:p w:rsidR="00000000" w:rsidDel="00000000" w:rsidP="00000000" w:rsidRDefault="00000000" w:rsidRPr="00000000" w14:paraId="0000003B">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Documentos que se pusieron a la vista de </w:t>
      </w:r>
      <w:r w:rsidDel="00000000" w:rsidR="00000000" w:rsidRPr="00000000">
        <w:rPr>
          <w:rFonts w:ascii="Palatino Linotype" w:cs="Palatino Linotype" w:eastAsia="Palatino Linotype" w:hAnsi="Palatino Linotype"/>
          <w:b w:val="1"/>
          <w:sz w:val="24"/>
          <w:szCs w:val="24"/>
          <w:rtl w:val="0"/>
        </w:rPr>
        <w:t xml:space="preserve">LA PARTE RECURRENTE </w:t>
      </w:r>
      <w:r w:rsidDel="00000000" w:rsidR="00000000" w:rsidRPr="00000000">
        <w:rPr>
          <w:rFonts w:ascii="Palatino Linotype" w:cs="Palatino Linotype" w:eastAsia="Palatino Linotype" w:hAnsi="Palatino Linotype"/>
          <w:sz w:val="24"/>
          <w:szCs w:val="24"/>
          <w:rtl w:val="0"/>
        </w:rPr>
        <w:t xml:space="preserve">en fecha veinticinco de septiembre de dos mil veinticuatro, mismo que resulto omiso de emitir sus manifestaciones. </w:t>
      </w:r>
    </w:p>
    <w:p w:rsidR="00000000" w:rsidDel="00000000" w:rsidP="00000000" w:rsidRDefault="00000000" w:rsidRPr="00000000" w14:paraId="0000003D">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7. AMPLIACIÓN DEL TÉRMINO PARA RESOLVER</w:t>
      </w:r>
      <w:r w:rsidDel="00000000" w:rsidR="00000000" w:rsidRPr="00000000">
        <w:rPr>
          <w:rFonts w:ascii="Palatino Linotype" w:cs="Palatino Linotype" w:eastAsia="Palatino Linotype" w:hAnsi="Palatino Linotype"/>
          <w:sz w:val="24"/>
          <w:szCs w:val="24"/>
          <w:rtl w:val="0"/>
        </w:rPr>
        <w:t xml:space="preserve">. El dos de octubre de dos mil veinticuatro, se amplió el término para resolver el recurso de revisión en términos del artículo 133 de la Ley de Protección de Datos Personales en Posesión de Sujetos Obligados del Estado de México y Municipios. </w:t>
      </w:r>
    </w:p>
    <w:p w:rsidR="00000000" w:rsidDel="00000000" w:rsidP="00000000" w:rsidRDefault="00000000" w:rsidRPr="00000000" w14:paraId="0000003F">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000000" w:rsidDel="00000000" w:rsidP="00000000" w:rsidRDefault="00000000" w:rsidRPr="00000000" w14:paraId="00000041">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rsidR="00000000" w:rsidDel="00000000" w:rsidP="00000000" w:rsidRDefault="00000000" w:rsidRPr="00000000" w14:paraId="00000043">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00000" w:rsidDel="00000000" w:rsidP="00000000" w:rsidRDefault="00000000" w:rsidRPr="00000000" w14:paraId="00000045">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00000" w:rsidDel="00000000" w:rsidP="00000000" w:rsidRDefault="00000000" w:rsidRPr="00000000" w14:paraId="00000047">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ello, excepcionalmente, si un asunto es resuelto con posterioridad a los plazos señalados por la norma debe analizarse la razonabilidad del tiempo necesario para su resolución, atentos a los siguientes criterios: </w:t>
      </w:r>
    </w:p>
    <w:p w:rsidR="00000000" w:rsidDel="00000000" w:rsidP="00000000" w:rsidRDefault="00000000" w:rsidRPr="00000000" w14:paraId="00000049">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A">
      <w:pPr>
        <w:numPr>
          <w:ilvl w:val="0"/>
          <w:numId w:val="1"/>
        </w:numPr>
        <w:spacing w:after="0" w:line="360" w:lineRule="auto"/>
        <w:ind w:left="927"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Complejidad del Asunto: La complejidad de la prueba, la pluralidad de sujetos procesales, el tiempo transcurrido, las características y contexto del recurso. </w:t>
      </w:r>
    </w:p>
    <w:p w:rsidR="00000000" w:rsidDel="00000000" w:rsidP="00000000" w:rsidRDefault="00000000" w:rsidRPr="00000000" w14:paraId="0000004B">
      <w:pPr>
        <w:numPr>
          <w:ilvl w:val="0"/>
          <w:numId w:val="1"/>
        </w:numPr>
        <w:spacing w:after="0" w:line="360" w:lineRule="auto"/>
        <w:ind w:left="927"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Actividad Procesal del interesado. Acciones u omisiones del interesado.</w:t>
      </w:r>
    </w:p>
    <w:p w:rsidR="00000000" w:rsidDel="00000000" w:rsidP="00000000" w:rsidRDefault="00000000" w:rsidRPr="00000000" w14:paraId="0000004C">
      <w:pPr>
        <w:numPr>
          <w:ilvl w:val="0"/>
          <w:numId w:val="1"/>
        </w:numPr>
        <w:spacing w:after="0" w:line="360" w:lineRule="auto"/>
        <w:ind w:left="927"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Conducta de la Autoridad: Las Acciones u omisiones realizadas en el procedimiento. Así como si la autoridad actuó con la debida diligencia.</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360" w:lineRule="auto"/>
        <w:ind w:left="927"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La afectación generada en la situación jurídica de la persona involucrada en el proceso: Violación a sus derechos humanos.</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00000" w:rsidDel="00000000" w:rsidP="00000000" w:rsidRDefault="00000000" w:rsidRPr="00000000" w14:paraId="00000050">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Argumento que encuentra sustento en la jurisprudencia P./J. 32/92 emitida por el Pleno de la Suprema Corte de Justicia de la Nación de rubro </w:t>
      </w:r>
      <w:r w:rsidDel="00000000" w:rsidR="00000000" w:rsidRPr="00000000">
        <w:rPr>
          <w:rFonts w:ascii="Palatino Linotype" w:cs="Palatino Linotype" w:eastAsia="Palatino Linotype" w:hAnsi="Palatino Linotype"/>
          <w:i w:val="1"/>
          <w:sz w:val="24"/>
          <w:szCs w:val="24"/>
          <w:rtl w:val="0"/>
        </w:rPr>
        <w:t xml:space="preserve">“TÉRMINOS PROCESALES. PARA DETERMINAR SI UN FUNCIONARIO JUDICIAL ACTUÓ INDEBIDAMENTE POR NO RESPETARLOS SE DEBE ATENDER AL PRESUPUESTO QUE CONSIDERÓ EL LEGISLADOR AL FIJARLOS Y LAS CARACTERÍSTICAS DEL CASO.”</w:t>
      </w:r>
      <w:r w:rsidDel="00000000" w:rsidR="00000000" w:rsidRPr="00000000">
        <w:rPr>
          <w:rFonts w:ascii="Palatino Linotype" w:cs="Palatino Linotype" w:eastAsia="Palatino Linotype" w:hAnsi="Palatino Linotype"/>
          <w:sz w:val="24"/>
          <w:szCs w:val="24"/>
          <w:rtl w:val="0"/>
        </w:rPr>
        <w:t xml:space="preserve">, visible en la Gaceta del Seminario Judicial de la Federación con el registro digital 205635.</w:t>
      </w:r>
    </w:p>
    <w:p w:rsidR="00000000" w:rsidDel="00000000" w:rsidP="00000000" w:rsidRDefault="00000000" w:rsidRPr="00000000" w14:paraId="00000052">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3">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00000" w:rsidDel="00000000" w:rsidP="00000000" w:rsidRDefault="00000000" w:rsidRPr="00000000" w14:paraId="00000054">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5">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Al respecto, también son de considerar los criterios sostenidos por el Cuarto Tribunal Colegiado en Materia Administrativa del Primer Circuito, cuyos rubros y datos de identificación son los siguientes:</w:t>
      </w:r>
    </w:p>
    <w:p w:rsidR="00000000" w:rsidDel="00000000" w:rsidP="00000000" w:rsidRDefault="00000000" w:rsidRPr="00000000" w14:paraId="00000056">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“PLAZO RAZONABLE PARA RESOLVER. DIMENSIÓN Y EFECTOS DE ESTE CONCEPTO CUANDO SE ADUCE EXCESIVA CARGA DE TRABAJO.”</w:t>
      </w:r>
      <w:r w:rsidDel="00000000" w:rsidR="00000000" w:rsidRPr="00000000">
        <w:rPr>
          <w:rFonts w:ascii="Palatino Linotype" w:cs="Palatino Linotype" w:eastAsia="Palatino Linotype" w:hAnsi="Palatino Linotype"/>
          <w:sz w:val="24"/>
          <w:szCs w:val="24"/>
          <w:rtl w:val="0"/>
        </w:rPr>
        <w:t xml:space="preserve"> consultable en el Seminario Judicial de la Federación y su gaceta, con el registro digital 2002351.</w:t>
      </w:r>
    </w:p>
    <w:p w:rsidR="00000000" w:rsidDel="00000000" w:rsidP="00000000" w:rsidRDefault="00000000" w:rsidRPr="00000000" w14:paraId="00000058">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9">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“PLAZO RAZONABLE PARA RESOLVER. CONCEPTO Y ELEMENTOS QUE LO INTEGRAN A LA LUZ DEL DERECHO INTERNACIONAL DE LOS DERECHOS HUMANOS.”</w:t>
      </w:r>
      <w:r w:rsidDel="00000000" w:rsidR="00000000" w:rsidRPr="00000000">
        <w:rPr>
          <w:rFonts w:ascii="Palatino Linotype" w:cs="Palatino Linotype" w:eastAsia="Palatino Linotype" w:hAnsi="Palatino Linotype"/>
          <w:sz w:val="24"/>
          <w:szCs w:val="24"/>
          <w:rtl w:val="0"/>
        </w:rPr>
        <w:t xml:space="preserve">, visible en el Seminario Judicial de la Federación y su gaceta, con el registro digital 2002350.</w:t>
      </w:r>
    </w:p>
    <w:p w:rsidR="00000000" w:rsidDel="00000000" w:rsidP="00000000" w:rsidRDefault="00000000" w:rsidRPr="00000000" w14:paraId="0000005A">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B">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ello, este organismo garante comprometido con la tutela de los derechos humanos confiados, señala que este exceso del plazo legal para resolver el presente asunto, resulta de carácter excepcional.</w:t>
      </w:r>
    </w:p>
    <w:p w:rsidR="00000000" w:rsidDel="00000000" w:rsidP="00000000" w:rsidRDefault="00000000" w:rsidRPr="00000000" w14:paraId="0000005C">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D">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8. CIERRE DE INSTRUCCIÓN. </w:t>
      </w:r>
      <w:r w:rsidDel="00000000" w:rsidR="00000000" w:rsidRPr="00000000">
        <w:rPr>
          <w:rFonts w:ascii="Palatino Linotype" w:cs="Palatino Linotype" w:eastAsia="Palatino Linotype" w:hAnsi="Palatino Linotype"/>
          <w:sz w:val="24"/>
          <w:szCs w:val="24"/>
          <w:rtl w:val="0"/>
        </w:rPr>
        <w:t xml:space="preserve">Una vez analizado el estado procesal que guardaba el expediente, el dos de octubre de dos mil veinticuatro</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resolución del asunto.</w:t>
      </w:r>
    </w:p>
    <w:p w:rsidR="00000000" w:rsidDel="00000000" w:rsidP="00000000" w:rsidRDefault="00000000" w:rsidRPr="00000000" w14:paraId="0000005E">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F">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razón de que fue debidamente sustanciado el expediente electrónico y no existe diligencia pendiente de desahogo, se emite la Resolución que conforme a Derecho proceda, de acuerdo con los siguientes:</w:t>
      </w:r>
    </w:p>
    <w:p w:rsidR="00000000" w:rsidDel="00000000" w:rsidP="00000000" w:rsidRDefault="00000000" w:rsidRPr="00000000" w14:paraId="00000060">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 O N S I D E R A N D O S</w:t>
      </w:r>
    </w:p>
    <w:p w:rsidR="00000000" w:rsidDel="00000000" w:rsidP="00000000" w:rsidRDefault="00000000" w:rsidRPr="00000000" w14:paraId="00000062">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63">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PRIMERO.</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DE LA COMPETENCIA</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sz w:val="32"/>
          <w:szCs w:val="32"/>
          <w:rtl w:val="0"/>
        </w:rPr>
        <w:t xml:space="preserve"> </w:t>
      </w:r>
      <w:r w:rsidDel="00000000" w:rsidR="00000000" w:rsidRPr="00000000">
        <w:rPr>
          <w:rFonts w:ascii="Palatino Linotype" w:cs="Palatino Linotype" w:eastAsia="Palatino Linotype" w:hAnsi="Palatino Linotype"/>
          <w:sz w:val="24"/>
          <w:szCs w:val="24"/>
          <w:rtl w:val="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000000" w:rsidDel="00000000" w:rsidP="00000000" w:rsidRDefault="00000000" w:rsidRPr="00000000" w14:paraId="00000064">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SEGUNDO. OPORTUNIDAD Y PROCEDIBILIDAD. </w:t>
      </w:r>
      <w:r w:rsidDel="00000000" w:rsidR="00000000" w:rsidRPr="00000000">
        <w:rPr>
          <w:rFonts w:ascii="Palatino Linotype" w:cs="Palatino Linotype" w:eastAsia="Palatino Linotype" w:hAnsi="Palatino Linotype"/>
          <w:sz w:val="24"/>
          <w:szCs w:val="24"/>
          <w:rtl w:val="0"/>
        </w:rPr>
        <w:t xml:space="preserve">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7">
      <w:pPr>
        <w:spacing w:after="120" w:line="276" w:lineRule="auto"/>
        <w:ind w:left="851" w:right="90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b w:val="1"/>
          <w:i w:val="1"/>
          <w:rtl w:val="0"/>
        </w:rPr>
        <w:t xml:space="preserve">Artículo 128. </w:t>
      </w:r>
      <w:r w:rsidDel="00000000" w:rsidR="00000000" w:rsidRPr="00000000">
        <w:rPr>
          <w:rFonts w:ascii="Palatino Linotype" w:cs="Palatino Linotype" w:eastAsia="Palatino Linotype" w:hAnsi="Palatino Linotype"/>
          <w:i w:val="1"/>
          <w:rtl w:val="0"/>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rsidR="00000000" w:rsidDel="00000000" w:rsidP="00000000" w:rsidRDefault="00000000" w:rsidRPr="00000000" w14:paraId="00000068">
      <w:pPr>
        <w:spacing w:after="120" w:before="120" w:line="276" w:lineRule="auto"/>
        <w:ind w:left="851" w:right="902"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0" w:before="12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Toda vez que </w:t>
      </w:r>
      <w:r w:rsidDel="00000000" w:rsidR="00000000" w:rsidRPr="00000000">
        <w:rPr>
          <w:rFonts w:ascii="Palatino Linotype" w:cs="Palatino Linotype" w:eastAsia="Palatino Linotype" w:hAnsi="Palatino Linotype"/>
          <w:b w:val="1"/>
          <w:sz w:val="24"/>
          <w:szCs w:val="24"/>
          <w:rtl w:val="0"/>
        </w:rPr>
        <w:t xml:space="preserve">EL</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SUJETO OBLIGADO </w:t>
      </w:r>
      <w:r w:rsidDel="00000000" w:rsidR="00000000" w:rsidRPr="00000000">
        <w:rPr>
          <w:rFonts w:ascii="Palatino Linotype" w:cs="Palatino Linotype" w:eastAsia="Palatino Linotype" w:hAnsi="Palatino Linotype"/>
          <w:sz w:val="24"/>
          <w:szCs w:val="24"/>
          <w:rtl w:val="0"/>
        </w:rPr>
        <w:t xml:space="preserve">remitió respuesta a la solicitud de acceso a datos personales el día </w:t>
      </w:r>
      <w:r w:rsidDel="00000000" w:rsidR="00000000" w:rsidRPr="00000000">
        <w:rPr>
          <w:rFonts w:ascii="Palatino Linotype" w:cs="Palatino Linotype" w:eastAsia="Palatino Linotype" w:hAnsi="Palatino Linotype"/>
          <w:b w:val="1"/>
          <w:sz w:val="24"/>
          <w:szCs w:val="24"/>
          <w:rtl w:val="0"/>
        </w:rPr>
        <w:t xml:space="preserve">trece de mayo de dos mil veinticuatro, </w:t>
      </w:r>
      <w:r w:rsidDel="00000000" w:rsidR="00000000" w:rsidRPr="00000000">
        <w:rPr>
          <w:rFonts w:ascii="Palatino Linotype" w:cs="Palatino Linotype" w:eastAsia="Palatino Linotype" w:hAnsi="Palatino Linotype"/>
          <w:sz w:val="24"/>
          <w:szCs w:val="24"/>
          <w:rtl w:val="0"/>
        </w:rPr>
        <w:t xml:space="preserve">mientras que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interpuso el recurso de revisión en fecha dieciséis de mayo de dos mil veinticuatro, es decir, al tercer día hábil de haber recibido la respuesta.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C">
      <w:pPr>
        <w:spacing w:after="0" w:line="36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 presentado mediante el formato visible </w:t>
      </w:r>
      <w:r w:rsidDel="00000000" w:rsidR="00000000" w:rsidRPr="00000000">
        <w:rPr>
          <w:rFonts w:ascii="Palatino Linotype" w:cs="Palatino Linotype" w:eastAsia="Palatino Linotype" w:hAnsi="Palatino Linotype"/>
          <w:b w:val="1"/>
          <w:sz w:val="24"/>
          <w:szCs w:val="24"/>
          <w:rtl w:val="0"/>
        </w:rPr>
        <w:t xml:space="preserve">EL SARCOEM. </w:t>
      </w:r>
    </w:p>
    <w:p w:rsidR="00000000" w:rsidDel="00000000" w:rsidP="00000000" w:rsidRDefault="00000000" w:rsidRPr="00000000" w14:paraId="0000006D">
      <w:pPr>
        <w:spacing w:after="0" w:line="36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6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Asimismo, el solicitante acreditó su identidad para efectos de la interposición del Recurso de Revisión; este Instituto no tiene conocimiento de haber resuelto sobre la materia del medio de impugnación que nos ocupa; se actualiza la causal de procedencia prevista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w:t>
      </w:r>
    </w:p>
    <w:p w:rsidR="00000000" w:rsidDel="00000000" w:rsidP="00000000" w:rsidRDefault="00000000" w:rsidRPr="00000000" w14:paraId="0000006F">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0">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TERCERO. MATERIA DE LA REVISIÓN. </w:t>
      </w:r>
      <w:r w:rsidDel="00000000" w:rsidR="00000000" w:rsidRPr="00000000">
        <w:rPr>
          <w:rFonts w:ascii="Palatino Linotype" w:cs="Palatino Linotype" w:eastAsia="Palatino Linotype" w:hAnsi="Palatino Linotype"/>
          <w:sz w:val="24"/>
          <w:szCs w:val="24"/>
          <w:rtl w:val="0"/>
        </w:rPr>
        <w:t xml:space="preserve">De la revisión a las constancias y documentos que obran en el expediente electrónico se advierte, que el tema sobre el que este Organismo Garante de Protección de Datos Personales se pronunciará será: verificar si la respuesta e informe justificado otorgado por </w:t>
      </w:r>
      <w:r w:rsidDel="00000000" w:rsidR="00000000" w:rsidRPr="00000000">
        <w:rPr>
          <w:rFonts w:ascii="Palatino Linotype" w:cs="Palatino Linotype" w:eastAsia="Palatino Linotype" w:hAnsi="Palatino Linotype"/>
          <w:b w:val="1"/>
          <w:sz w:val="24"/>
          <w:szCs w:val="24"/>
          <w:rtl w:val="0"/>
        </w:rPr>
        <w:t xml:space="preserve">EL</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es adecuada y suficiente para satisfacer el derecho de acceso a datos personales de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o en su defecto, en caso de ser procedente, ordenar la entrega de información oportuna.</w:t>
      </w:r>
    </w:p>
    <w:p w:rsidR="00000000" w:rsidDel="00000000" w:rsidP="00000000" w:rsidRDefault="00000000" w:rsidRPr="00000000" w14:paraId="00000071">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CUARTO. ESTUDIO Y RESOLUCIÓN DEL ASUNTO. </w:t>
      </w:r>
      <w:r w:rsidDel="00000000" w:rsidR="00000000" w:rsidRPr="00000000">
        <w:rPr>
          <w:rFonts w:ascii="Palatino Linotype" w:cs="Palatino Linotype" w:eastAsia="Palatino Linotype" w:hAnsi="Palatino Linotype"/>
          <w:sz w:val="24"/>
          <w:szCs w:val="24"/>
          <w:rtl w:val="0"/>
        </w:rPr>
        <w:t xml:space="preserve">Es conveniente resaltar que la Ley de Protección de Datos Personales de la Entidad, señala expresamente que:</w:t>
      </w:r>
    </w:p>
    <w:p w:rsidR="00000000" w:rsidDel="00000000" w:rsidP="00000000" w:rsidRDefault="00000000" w:rsidRPr="00000000" w14:paraId="00000073">
      <w:pPr>
        <w:spacing w:after="0" w:before="16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 “Artículo 4. Para los efectos de esta Ley se entenderá por:</w:t>
      </w:r>
    </w:p>
    <w:p w:rsidR="00000000" w:rsidDel="00000000" w:rsidP="00000000" w:rsidRDefault="00000000" w:rsidRPr="00000000" w14:paraId="00000074">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5">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XI. </w:t>
      </w:r>
      <w:r w:rsidDel="00000000" w:rsidR="00000000" w:rsidRPr="00000000">
        <w:rPr>
          <w:rFonts w:ascii="Palatino Linotype" w:cs="Palatino Linotype" w:eastAsia="Palatino Linotype" w:hAnsi="Palatino Linotype"/>
          <w:b w:val="1"/>
          <w:i w:val="1"/>
          <w:rtl w:val="0"/>
        </w:rPr>
        <w:t xml:space="preserve">Datos personales</w:t>
      </w:r>
      <w:r w:rsidDel="00000000" w:rsidR="00000000" w:rsidRPr="00000000">
        <w:rPr>
          <w:rFonts w:ascii="Palatino Linotype" w:cs="Palatino Linotype" w:eastAsia="Palatino Linotype" w:hAnsi="Palatino Linotype"/>
          <w:i w:val="1"/>
          <w:rtl w:val="0"/>
        </w:rPr>
        <w:t xml:space="preserve">: a la información concerniente a una persona física o jurídica colectiva identificada o identificable, establecida en cualquier formato o modalidad, y que esté almacenada en los sistemas y bases de datos, se considerará que una persona es identificable cuando su identidad pueda determinarse directa o indirectamente a través de cualquier documento informativo físico o electrónico.</w:t>
      </w:r>
    </w:p>
    <w:p w:rsidR="00000000" w:rsidDel="00000000" w:rsidP="00000000" w:rsidRDefault="00000000" w:rsidRPr="00000000" w14:paraId="00000076">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7">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XIII. </w:t>
      </w:r>
      <w:r w:rsidDel="00000000" w:rsidR="00000000" w:rsidRPr="00000000">
        <w:rPr>
          <w:rFonts w:ascii="Palatino Linotype" w:cs="Palatino Linotype" w:eastAsia="Palatino Linotype" w:hAnsi="Palatino Linotype"/>
          <w:b w:val="1"/>
          <w:i w:val="1"/>
          <w:rtl w:val="0"/>
        </w:rPr>
        <w:t xml:space="preserve">Derechos ARCO:</w:t>
      </w:r>
      <w:r w:rsidDel="00000000" w:rsidR="00000000" w:rsidRPr="00000000">
        <w:rPr>
          <w:rFonts w:ascii="Palatino Linotype" w:cs="Palatino Linotype" w:eastAsia="Palatino Linotype" w:hAnsi="Palatino Linotype"/>
          <w:i w:val="1"/>
          <w:rtl w:val="0"/>
        </w:rPr>
        <w:t xml:space="preserve"> a los derechos de Acceso, Rectificación, Cancelación y Oposición al tratamiento de datos personales.</w:t>
      </w:r>
    </w:p>
    <w:p w:rsidR="00000000" w:rsidDel="00000000" w:rsidP="00000000" w:rsidRDefault="00000000" w:rsidRPr="00000000" w14:paraId="00000078">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9">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b w:val="1"/>
          <w:i w:val="1"/>
          <w:rtl w:val="0"/>
        </w:rPr>
        <w:t xml:space="preserve">XLI. Responsable: a los sujetos obligados a que se refiere la presente Ley que deciden sobre el tratamiento de los datos personales</w:t>
      </w: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A">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B">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w:t>
      </w:r>
      <w:r w:rsidDel="00000000" w:rsidR="00000000" w:rsidRPr="00000000">
        <w:rPr>
          <w:rFonts w:ascii="Palatino Linotype" w:cs="Palatino Linotype" w:eastAsia="Palatino Linotype" w:hAnsi="Palatino Linotype"/>
          <w:b w:val="1"/>
          <w:i w:val="1"/>
          <w:rtl w:val="0"/>
        </w:rPr>
        <w:t xml:space="preserve">. Tratamiento: a las operaciones efectuadas por los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r w:rsidDel="00000000" w:rsidR="00000000" w:rsidRPr="00000000">
        <w:rPr>
          <w:rFonts w:ascii="Palatino Linotype" w:cs="Palatino Linotype" w:eastAsia="Palatino Linotype" w:hAnsi="Palatino Linotype"/>
          <w:b w:val="1"/>
          <w:i w:val="1"/>
          <w:u w:val="single"/>
          <w:rtl w:val="0"/>
        </w:rPr>
        <w:t xml:space="preserve">.</w:t>
      </w:r>
      <w:r w:rsidDel="00000000" w:rsidR="00000000" w:rsidRPr="00000000">
        <w:rPr>
          <w:rtl w:val="0"/>
        </w:rPr>
      </w:r>
    </w:p>
    <w:p w:rsidR="00000000" w:rsidDel="00000000" w:rsidP="00000000" w:rsidRDefault="00000000" w:rsidRPr="00000000" w14:paraId="0000007C">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D">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97. Los derechos de acceso, rectificación, cancelación y oposición de datos personales son derechos independientes. </w:t>
      </w:r>
      <w:r w:rsidDel="00000000" w:rsidR="00000000" w:rsidRPr="00000000">
        <w:rPr>
          <w:rFonts w:ascii="Palatino Linotype" w:cs="Palatino Linotype" w:eastAsia="Palatino Linotype" w:hAnsi="Palatino Linotype"/>
          <w:b w:val="1"/>
          <w:i w:val="1"/>
          <w:rtl w:val="0"/>
        </w:rPr>
        <w:t xml:space="preserve">El ejercicio de cualquiera de ellos no es requisito previo no impide el ejercicio de otro</w:t>
      </w:r>
      <w:r w:rsidDel="00000000" w:rsidR="00000000" w:rsidRPr="00000000">
        <w:rPr>
          <w:rFonts w:ascii="Palatino Linotype" w:cs="Palatino Linotype" w:eastAsia="Palatino Linotype" w:hAnsi="Palatino Linotype"/>
          <w:i w:val="1"/>
          <w:rtl w:val="0"/>
        </w:rPr>
        <w:t xml:space="preserve">. La procedencia de estos derechos, en su caso, se hará efectiva una vez que el titular o su representante legal acrediten su identidad o representación, respectivamente.</w:t>
      </w:r>
    </w:p>
    <w:p w:rsidR="00000000" w:rsidDel="00000000" w:rsidP="00000000" w:rsidRDefault="00000000" w:rsidRPr="00000000" w14:paraId="0000007E">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w:t>
      </w:r>
    </w:p>
    <w:p w:rsidR="00000000" w:rsidDel="00000000" w:rsidP="00000000" w:rsidRDefault="00000000" w:rsidRPr="00000000" w14:paraId="0000007F">
      <w:pPr>
        <w:spacing w:after="0" w:line="276" w:lineRule="auto"/>
        <w:ind w:left="567" w:right="618" w:firstLine="0"/>
        <w:jc w:val="both"/>
        <w:rPr>
          <w:rFonts w:ascii="Palatino Linotype" w:cs="Palatino Linotype" w:eastAsia="Palatino Linotype" w:hAnsi="Palatino Linotype"/>
          <w:i w:val="1"/>
        </w:rPr>
      </w:pPr>
      <w:bookmarkStart w:colFirst="0" w:colLast="0" w:name="_heading=h.1fob9te" w:id="0"/>
      <w:bookmarkEnd w:id="0"/>
      <w:r w:rsidDel="00000000" w:rsidR="00000000" w:rsidRPr="00000000">
        <w:rPr>
          <w:rFonts w:ascii="Palatino Linotype" w:cs="Palatino Linotype" w:eastAsia="Palatino Linotype" w:hAnsi="Palatino Linotype"/>
          <w:b w:val="1"/>
          <w:i w:val="1"/>
          <w:rtl w:val="0"/>
        </w:rPr>
        <w:t xml:space="preserve">Artículo 98. El titular tiene derecho a</w:t>
      </w:r>
      <w:r w:rsidDel="00000000" w:rsidR="00000000" w:rsidRPr="00000000">
        <w:rPr>
          <w:rFonts w:ascii="Palatino Linotype" w:cs="Palatino Linotype" w:eastAsia="Palatino Linotype" w:hAnsi="Palatino Linotype"/>
          <w:i w:val="1"/>
          <w:rtl w:val="0"/>
        </w:rPr>
        <w:t xml:space="preserve"> acceder, </w:t>
      </w:r>
      <w:r w:rsidDel="00000000" w:rsidR="00000000" w:rsidRPr="00000000">
        <w:rPr>
          <w:rFonts w:ascii="Palatino Linotype" w:cs="Palatino Linotype" w:eastAsia="Palatino Linotype" w:hAnsi="Palatino Linotype"/>
          <w:b w:val="1"/>
          <w:i w:val="1"/>
          <w:rtl w:val="0"/>
        </w:rPr>
        <w:t xml:space="preserve">solicitar y ser informado sobre sus datos personales en posesión de los sujetos obligados</w:t>
      </w: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b w:val="1"/>
          <w:i w:val="1"/>
          <w:rtl w:val="0"/>
        </w:rPr>
        <w:t xml:space="preserve">así como la información relacionada con las condiciones y generalidades de su tratamiento, tales como el origen de los datos, las condiciones del tratamiento del cual sean objeto</w:t>
      </w:r>
      <w:r w:rsidDel="00000000" w:rsidR="00000000" w:rsidRPr="00000000">
        <w:rPr>
          <w:rFonts w:ascii="Palatino Linotype" w:cs="Palatino Linotype" w:eastAsia="Palatino Linotype" w:hAnsi="Palatino Linotype"/>
          <w:i w:val="1"/>
          <w:rtl w:val="0"/>
        </w:rPr>
        <w:t xml:space="preserve">, </w:t>
      </w:r>
      <w:r w:rsidDel="00000000" w:rsidR="00000000" w:rsidRPr="00000000">
        <w:rPr>
          <w:rFonts w:ascii="Palatino Linotype" w:cs="Palatino Linotype" w:eastAsia="Palatino Linotype" w:hAnsi="Palatino Linotype"/>
          <w:b w:val="1"/>
          <w:i w:val="1"/>
          <w:rtl w:val="0"/>
        </w:rPr>
        <w:t xml:space="preserve">las cesiones realizadas o que se pretendan realizar,</w:t>
      </w:r>
      <w:r w:rsidDel="00000000" w:rsidR="00000000" w:rsidRPr="00000000">
        <w:rPr>
          <w:rFonts w:ascii="Palatino Linotype" w:cs="Palatino Linotype" w:eastAsia="Palatino Linotype" w:hAnsi="Palatino Linotype"/>
          <w:i w:val="1"/>
          <w:rtl w:val="0"/>
        </w:rPr>
        <w:t xml:space="preserve"> así como tener acceso al aviso de privacidad al que está sujeto.</w:t>
      </w:r>
    </w:p>
    <w:p w:rsidR="00000000" w:rsidDel="00000000" w:rsidP="00000000" w:rsidRDefault="00000000" w:rsidRPr="00000000" w14:paraId="00000080">
      <w:pPr>
        <w:spacing w:after="0" w:line="276" w:lineRule="auto"/>
        <w:ind w:left="567" w:right="618" w:firstLine="0"/>
        <w:jc w:val="both"/>
        <w:rPr>
          <w:rFonts w:ascii="Palatino Linotype" w:cs="Palatino Linotype" w:eastAsia="Palatino Linotype" w:hAnsi="Palatino Linotype"/>
          <w:b w:val="1"/>
          <w:i w:val="1"/>
        </w:rPr>
      </w:pPr>
      <w:r w:rsidDel="00000000" w:rsidR="00000000" w:rsidRPr="00000000">
        <w:rPr>
          <w:rFonts w:ascii="Palatino Linotype" w:cs="Palatino Linotype" w:eastAsia="Palatino Linotype" w:hAnsi="Palatino Linotype"/>
          <w:b w:val="1"/>
          <w:i w:val="1"/>
          <w:rtl w:val="0"/>
        </w:rPr>
        <w:t xml:space="preserve">…” </w:t>
      </w:r>
    </w:p>
    <w:p w:rsidR="00000000" w:rsidDel="00000000" w:rsidP="00000000" w:rsidRDefault="00000000" w:rsidRPr="00000000" w14:paraId="00000081">
      <w:pPr>
        <w:spacing w:after="0" w:line="276" w:lineRule="auto"/>
        <w:ind w:left="567" w:right="616"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2">
      <w:pPr>
        <w:spacing w:after="0" w:line="360" w:lineRule="auto"/>
        <w:ind w:right="4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 los anteriores preceptos se advierte que, por datos personales se entenderá a la información concerniente a una persona física identificada o identificable; y, se considera que una persona es </w:t>
      </w:r>
      <w:r w:rsidDel="00000000" w:rsidR="00000000" w:rsidRPr="00000000">
        <w:rPr>
          <w:rFonts w:ascii="Palatino Linotype" w:cs="Palatino Linotype" w:eastAsia="Palatino Linotype" w:hAnsi="Palatino Linotype"/>
          <w:b w:val="1"/>
          <w:sz w:val="24"/>
          <w:szCs w:val="24"/>
          <w:rtl w:val="0"/>
        </w:rPr>
        <w:t xml:space="preserve">identificable cuando su identidad pueda determinarse directa o indirectamente a través de cualquier información</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83">
      <w:pPr>
        <w:spacing w:after="0" w:line="360" w:lineRule="auto"/>
        <w:ind w:right="49"/>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4">
      <w:pPr>
        <w:spacing w:after="0" w:line="360" w:lineRule="auto"/>
        <w:jc w:val="both"/>
        <w:rPr>
          <w:rFonts w:ascii="Palatino Linotype" w:cs="Palatino Linotype" w:eastAsia="Palatino Linotype" w:hAnsi="Palatino Linotype"/>
          <w:b w:val="1"/>
          <w:sz w:val="24"/>
          <w:szCs w:val="24"/>
          <w:u w:val="single"/>
        </w:rPr>
      </w:pPr>
      <w:r w:rsidDel="00000000" w:rsidR="00000000" w:rsidRPr="00000000">
        <w:rPr>
          <w:rFonts w:ascii="Palatino Linotype" w:cs="Palatino Linotype" w:eastAsia="Palatino Linotype" w:hAnsi="Palatino Linotype"/>
          <w:sz w:val="24"/>
          <w:szCs w:val="24"/>
          <w:rtl w:val="0"/>
        </w:rPr>
        <w:t xml:space="preserve">Asimismo, destaca que el titular tendrá derecho de acceder a sus datos personales que obren en posesión del responsable, así como conocer la información relacionada con las condiciones y generalidades de su tratamiento. En la inteligencia que, el tratamiento será cuando se realicen operaciones efectuadas por los procedimientos manuales o automatizados aplicados a los datos personales, relacionadas </w:t>
      </w:r>
      <w:r w:rsidDel="00000000" w:rsidR="00000000" w:rsidRPr="00000000">
        <w:rPr>
          <w:rFonts w:ascii="Palatino Linotype" w:cs="Palatino Linotype" w:eastAsia="Palatino Linotype" w:hAnsi="Palatino Linotype"/>
          <w:b w:val="1"/>
          <w:sz w:val="24"/>
          <w:szCs w:val="24"/>
          <w:u w:val="single"/>
          <w:rtl w:val="0"/>
        </w:rPr>
        <w:t xml:space="preserve">con la obtención, uso, registro, organización, conservación, elaboración, utilización, comunicación, difusión, almacenamiento, posesión, acceso, manejo, aprovechamiento, divulgación, transferencia o disposición de datos personales.</w:t>
      </w:r>
    </w:p>
    <w:p w:rsidR="00000000" w:rsidDel="00000000" w:rsidP="00000000" w:rsidRDefault="00000000" w:rsidRPr="00000000" w14:paraId="00000085">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Bajo esa tesitura, los preceptos legales de mérito establecen que en todo momento el titular de la información que se encuentra en posesión de un sujeto obligado, tiene oportunidad de ejercer sus derechos ARCO y lo más importante es que la autoridad tiene la obligación de dar a conocer la información relacionada con su tratamiento, disposición y destino.</w:t>
      </w:r>
    </w:p>
    <w:p w:rsidR="00000000" w:rsidDel="00000000" w:rsidP="00000000" w:rsidRDefault="00000000" w:rsidRPr="00000000" w14:paraId="00000086">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7">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Finalmente, del marco normativo en cita garantiza que el titular de los datos personales tendrá derecho a acceder, solicitar y ser informado sobre sus datos personales en posesión de los sujetos obligados,</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así como la información relacionada con las condiciones y generalidades de su tratamiento, tales como</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88">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360" w:lineRule="auto"/>
        <w:ind w:left="1068" w:hanging="360"/>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1"/>
          <w:u w:val="single"/>
          <w:rtl w:val="0"/>
        </w:rPr>
        <w:t xml:space="preserve">El origen de los datos;</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spacing w:after="0" w:line="360" w:lineRule="auto"/>
        <w:ind w:left="1068" w:hanging="360"/>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 Las condiciones del tratamiento del cual sean objeto;</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pacing w:after="0" w:line="360" w:lineRule="auto"/>
        <w:ind w:left="1068" w:hanging="360"/>
        <w:jc w:val="both"/>
        <w:rPr>
          <w:rFonts w:ascii="Palatino Linotype" w:cs="Palatino Linotype" w:eastAsia="Palatino Linotype" w:hAnsi="Palatino Linotype"/>
          <w:b w:val="1"/>
          <w:u w:val="single"/>
        </w:rPr>
      </w:pPr>
      <w:r w:rsidDel="00000000" w:rsidR="00000000" w:rsidRPr="00000000">
        <w:rPr>
          <w:rFonts w:ascii="Palatino Linotype" w:cs="Palatino Linotype" w:eastAsia="Palatino Linotype" w:hAnsi="Palatino Linotype"/>
          <w:b w:val="1"/>
          <w:u w:val="single"/>
          <w:rtl w:val="0"/>
        </w:rPr>
        <w:t xml:space="preserve"> Las cesiones realizadas o que se pretendan realizar; así como, </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360" w:lineRule="auto"/>
        <w:ind w:left="1068" w:hanging="36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u w:val="single"/>
          <w:rtl w:val="0"/>
        </w:rPr>
        <w:t xml:space="preserve"> Tener acceso al aviso de privacidad al que está sujeto</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360" w:lineRule="auto"/>
        <w:ind w:left="1068" w:firstLine="0"/>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Precisado lo anterior resulta necesario señalar que 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ordenar la entrega de la información con respecto a la respuesta emitida por el</w:t>
      </w:r>
      <w:r w:rsidDel="00000000" w:rsidR="00000000" w:rsidRPr="00000000">
        <w:rPr>
          <w:rFonts w:ascii="Palatino Linotype" w:cs="Palatino Linotype" w:eastAsia="Palatino Linotype" w:hAnsi="Palatino Linotype"/>
          <w:b w:val="1"/>
          <w:sz w:val="24"/>
          <w:szCs w:val="24"/>
          <w:rtl w:val="0"/>
        </w:rPr>
        <w:t xml:space="preserve"> SUJETO OBLIGADO</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8F">
      <w:pPr>
        <w:spacing w:after="0" w:line="36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0">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rtl w:val="0"/>
        </w:rPr>
        <w:t xml:space="preserve">Ahora bien, del análisis de la solicitud de acceso a datos personales, motivo del recurso de </w:t>
      </w:r>
      <w:r w:rsidDel="00000000" w:rsidR="00000000" w:rsidRPr="00000000">
        <w:rPr>
          <w:rFonts w:ascii="Palatino Linotype" w:cs="Palatino Linotype" w:eastAsia="Palatino Linotype" w:hAnsi="Palatino Linotype"/>
          <w:sz w:val="24"/>
          <w:szCs w:val="24"/>
          <w:rtl w:val="0"/>
        </w:rPr>
        <w:t xml:space="preserve">revisión que ahora se resuelve se advierte que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requirió lo siguiente:</w:t>
      </w:r>
    </w:p>
    <w:p w:rsidR="00000000" w:rsidDel="00000000" w:rsidP="00000000" w:rsidRDefault="00000000" w:rsidRPr="00000000" w14:paraId="00000091">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Certificado de no adeudo como servidor público.</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4">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respuesta, </w:t>
      </w:r>
      <w:r w:rsidDel="00000000" w:rsidR="00000000" w:rsidRPr="00000000">
        <w:rPr>
          <w:rFonts w:ascii="Palatino Linotype" w:cs="Palatino Linotype" w:eastAsia="Palatino Linotype" w:hAnsi="Palatino Linotype"/>
          <w:b w:val="1"/>
          <w:sz w:val="24"/>
          <w:szCs w:val="24"/>
          <w:rtl w:val="0"/>
        </w:rPr>
        <w:t xml:space="preserve">EL SUJETO OBLIGADO, </w:t>
      </w:r>
      <w:r w:rsidDel="00000000" w:rsidR="00000000" w:rsidRPr="00000000">
        <w:rPr>
          <w:rFonts w:ascii="Palatino Linotype" w:cs="Palatino Linotype" w:eastAsia="Palatino Linotype" w:hAnsi="Palatino Linotype"/>
          <w:sz w:val="24"/>
          <w:szCs w:val="24"/>
          <w:rtl w:val="0"/>
        </w:rPr>
        <w:t xml:space="preserve">por conducto de la Coordinadora de Administración y Finanzas, mediante el cual señala que el trámite es de manera presencial, el cual debe contener:</w:t>
      </w:r>
    </w:p>
    <w:p w:rsidR="00000000" w:rsidDel="00000000" w:rsidP="00000000" w:rsidRDefault="00000000" w:rsidRPr="00000000" w14:paraId="00000095">
      <w:pPr>
        <w:spacing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Oficio de solicitud de “Certificado de No Adeudo”, dirigido a la Coordinadora de Administración y Finanzas, donde especifique la Clave del Centro de Trabajo, los efectos, proporcionando su filiación, claves presupuestales y puntualizando que el motivo por el cual lo solicita (para estar en posibilidad de integrarlo en el Sistema de Entrega y Recepción de las Unidades Administrativas SISER-WEB), documento que deberá marcar copia al titular de la Dirección de Recursos Materiales y Financieros y al Jefe de Departamento de Tesorería.</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pacing w:after="0"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Copia del último talón de pago.</w:t>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pacing w:line="360"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Copia de INE. </w:t>
      </w:r>
    </w:p>
    <w:p w:rsidR="00000000" w:rsidDel="00000000" w:rsidP="00000000" w:rsidRDefault="00000000" w:rsidRPr="00000000" w14:paraId="00000099">
      <w:pPr>
        <w:spacing w:after="0" w:before="24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A">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Conocida la respuesta por el particular, al no estar conforme con los términos de la misma, presentó el recurso de revisión que nos ocupa, mediante el cual señaló como motivo de inconformidad en lo medular que la respuesta otorgada por la unidad de transparencia está fuera del plazo para decirme que es un trámite presencial, sin obtener respuesta, equivocándose de manera rotunda en su fundamento legal. </w:t>
      </w:r>
    </w:p>
    <w:p w:rsidR="00000000" w:rsidDel="00000000" w:rsidP="00000000" w:rsidRDefault="00000000" w:rsidRPr="00000000" w14:paraId="0000009B">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C">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Durante la etapa procesal para que las partes rindieran todo tipo de argumentos que a su derecho convengan, es decir, en la etapa de manifestaciones, se tiene que 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remitió su informe justificado, a través del cual ratifica en términos generales su respuesta inicial, además proporcionó el oficio de fecha doce de abril de dos mil veinticuatro, signado por el Jefe de Departamento de Tesorería, dirigido a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mediante le señala que la “Constancia de no adeudo” cuenta con la observación de inconsistencias en el Departamento de Inventarios, motivo por el cual fue devuelta al Departamento de Tesorería sin firma y sin sello, exhortando al Departamento de Inventarios para conocer la observación y que está en posibilidades de solventarla. </w:t>
      </w:r>
    </w:p>
    <w:p w:rsidR="00000000" w:rsidDel="00000000" w:rsidP="00000000" w:rsidRDefault="00000000" w:rsidRPr="00000000" w14:paraId="0000009D">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E">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Bajo esta consideración, se advierte que, </w:t>
      </w:r>
      <w:r w:rsidDel="00000000" w:rsidR="00000000" w:rsidRPr="00000000">
        <w:rPr>
          <w:rFonts w:ascii="Palatino Linotype" w:cs="Palatino Linotype" w:eastAsia="Palatino Linotype" w:hAnsi="Palatino Linotype"/>
          <w:b w:val="1"/>
          <w:sz w:val="24"/>
          <w:szCs w:val="24"/>
          <w:rtl w:val="0"/>
        </w:rPr>
        <w:t xml:space="preserve">EL SUJETO OBLIGADO</w:t>
      </w:r>
      <w:r w:rsidDel="00000000" w:rsidR="00000000" w:rsidRPr="00000000">
        <w:rPr>
          <w:rFonts w:ascii="Palatino Linotype" w:cs="Palatino Linotype" w:eastAsia="Palatino Linotype" w:hAnsi="Palatino Linotype"/>
          <w:sz w:val="24"/>
          <w:szCs w:val="24"/>
          <w:rtl w:val="0"/>
        </w:rPr>
        <w:t xml:space="preserve">, aduce que lo solicitado puede obtenerse a través de un trámite específico, que ciertamente no es obstáculo para que pueda vía ejercicio de derechos ARCO, obtenerse; no obstante también lo es que no corresponde a datos personales que ya obran en los archivos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sino que corresponde a la generación de nuevos datos producto de cálculos y el procesamiento de los datos. Contexto que resulta inaplicable para el ejercicio de acceso a datos de conformidad a lo dispuesto por el artículo 114 segundo párrafo de la Ley de Protección de Datos Personales en Posesión de Sujetos Obligados del Estado de México y Municipios, a saber:</w:t>
      </w:r>
    </w:p>
    <w:p w:rsidR="00000000" w:rsidDel="00000000" w:rsidP="00000000" w:rsidRDefault="00000000" w:rsidRPr="00000000" w14:paraId="0000009F">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0">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“Existencia de trámite específico </w:t>
      </w:r>
    </w:p>
    <w:p w:rsidR="00000000" w:rsidDel="00000000" w:rsidP="00000000" w:rsidRDefault="00000000" w:rsidRPr="00000000" w14:paraId="000000A1">
      <w:pPr>
        <w:spacing w:after="0" w:line="276" w:lineRule="auto"/>
        <w:ind w:left="567" w:right="618"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rsidR="00000000" w:rsidDel="00000000" w:rsidP="00000000" w:rsidRDefault="00000000" w:rsidRPr="00000000" w14:paraId="000000A2">
      <w:pPr>
        <w:spacing w:after="0" w:line="276" w:lineRule="auto"/>
        <w:ind w:left="567" w:right="618" w:firstLine="0"/>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i w:val="1"/>
          <w:rtl w:val="0"/>
        </w:rPr>
        <w:t xml:space="preserve">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Del="00000000" w:rsidR="00000000" w:rsidRPr="00000000">
        <w:rPr>
          <w:rFonts w:ascii="Palatino Linotype" w:cs="Palatino Linotype" w:eastAsia="Palatino Linotype" w:hAnsi="Palatino Linotype"/>
          <w:i w:val="1"/>
          <w:rtl w:val="0"/>
        </w:rPr>
        <w:t xml:space="preserve">.”</w:t>
      </w:r>
      <w:r w:rsidDel="00000000" w:rsidR="00000000" w:rsidRPr="00000000">
        <w:rPr>
          <w:rFonts w:ascii="Palatino Linotype" w:cs="Palatino Linotype" w:eastAsia="Palatino Linotype" w:hAnsi="Palatino Linotype"/>
          <w:rtl w:val="0"/>
        </w:rPr>
        <w:t xml:space="preserve"> </w:t>
      </w:r>
    </w:p>
    <w:p w:rsidR="00000000" w:rsidDel="00000000" w:rsidP="00000000" w:rsidRDefault="00000000" w:rsidRPr="00000000" w14:paraId="000000A3">
      <w:pPr>
        <w:tabs>
          <w:tab w:val="left" w:leader="none" w:pos="0"/>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4">
      <w:pPr>
        <w:tabs>
          <w:tab w:val="left" w:leader="none" w:pos="0"/>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ese tenor, como ya se mencionó en párrafos que anteceden, los datos a los que pretende acceder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corresponden a  un trámite específico, por lo que se actualiza el supuesto establecido en el párrafo primero del numeral 114 de la Ley de la Materia, sin embargo dicho numeral contiene una excepción la cual es que dicho trámite no procederá cuando se trate de la generación de nuevos datos, la realización de cálculos o el procesamiento a los datos personales, toda vez que de conformidad con el numeral 12 de la Ley de Transparencia y Acceso a la Información Pública del Estado de México y Municipios por aplicación supletoria los sujetos obligados únicamente proporcionaran información que se les requiera y que obre en sus archivos en el estado en que se encuentre. </w:t>
      </w:r>
    </w:p>
    <w:p w:rsidR="00000000" w:rsidDel="00000000" w:rsidP="00000000" w:rsidRDefault="00000000" w:rsidRPr="00000000" w14:paraId="000000A5">
      <w:pPr>
        <w:tabs>
          <w:tab w:val="left" w:leader="none" w:pos="0"/>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6">
      <w:pPr>
        <w:tabs>
          <w:tab w:val="left" w:leader="none" w:pos="14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ese sentido, como ya se hizo mención se actualiza el supuesto contenido en el párrafo segundo del diverso 114 de referencia, en virtud de que el soporte documental del sujeto obligado no obra como tal un documento en el que conste el certificado de no adeudo como servidor público la cual además para su obtención requiere el procesamiento y realización del cálculo respectivo para la generación de los datos. De lo que resulta evidente, que no puede otorgarse el acceso a los datos en el estado en que estos se encuentren y posea el sujeto obligado, ya que dichos datos deben ser generados mediante trámite.</w:t>
      </w:r>
    </w:p>
    <w:p w:rsidR="00000000" w:rsidDel="00000000" w:rsidP="00000000" w:rsidRDefault="00000000" w:rsidRPr="00000000" w14:paraId="000000A7">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8">
      <w:pPr>
        <w:tabs>
          <w:tab w:val="left" w:leader="none" w:pos="14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Bajo tal premisa, resulta evidente la afirmación de los Servicios Educativos Integrados al Estado de México, pues no existe precepto legal o fuente obligacional para que genere la información que no obre en sus archivos, ni generarlo más aún cuando se trata de un trámite específico que como multicitadamente se ha mencionado se requiere el seguimiento de un procedimiento, sumado a la aportación de datos adicionales por parte del particular a los de acreditar su personalidad; cobra aplicación el numeral 172 de la Ley de Transparencia y Acceso a la Información Pública del Estado de México y Municipios de manera supletoria y que a la letra establece:  </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20" w:firstLine="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AA">
      <w:pPr>
        <w:spacing w:after="0" w:line="276" w:lineRule="auto"/>
        <w:ind w:left="425" w:right="47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Artículo 172. Cuando lo solicitado corresponda a información que sea posible obtener mediante un trámite previamente establecido y previsto en una norma,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 </w:t>
      </w:r>
    </w:p>
    <w:p w:rsidR="00000000" w:rsidDel="00000000" w:rsidP="00000000" w:rsidRDefault="00000000" w:rsidRPr="00000000" w14:paraId="000000AB">
      <w:pPr>
        <w:spacing w:after="0" w:line="276" w:lineRule="auto"/>
        <w:ind w:left="425" w:right="476" w:firstLine="0"/>
        <w:jc w:val="both"/>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Los argumentos para justificar cualquier negativa de acceso a la información deben recaer en el sujeto obligado al cual la información fue solicitada. </w:t>
      </w:r>
    </w:p>
    <w:p w:rsidR="00000000" w:rsidDel="00000000" w:rsidP="00000000" w:rsidRDefault="00000000" w:rsidRPr="00000000" w14:paraId="000000AC">
      <w:pPr>
        <w:tabs>
          <w:tab w:val="left" w:leader="none" w:pos="142"/>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D">
      <w:pPr>
        <w:tabs>
          <w:tab w:val="left" w:leader="none" w:pos="14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 ese sentido, como se observa de la respuesta primigenia, así como el informe justificado remitidos por los </w:t>
      </w:r>
      <w:r w:rsidDel="00000000" w:rsidR="00000000" w:rsidRPr="00000000">
        <w:rPr>
          <w:rFonts w:ascii="Palatino Linotype" w:cs="Palatino Linotype" w:eastAsia="Palatino Linotype" w:hAnsi="Palatino Linotype"/>
          <w:rtl w:val="0"/>
        </w:rPr>
        <w:t xml:space="preserve">Servicios Educativos Integrados al Estado de México</w:t>
      </w:r>
      <w:r w:rsidDel="00000000" w:rsidR="00000000" w:rsidRPr="00000000">
        <w:rPr>
          <w:rFonts w:ascii="Palatino Linotype" w:cs="Palatino Linotype" w:eastAsia="Palatino Linotype" w:hAnsi="Palatino Linotype"/>
          <w:sz w:val="24"/>
          <w:szCs w:val="24"/>
          <w:rtl w:val="0"/>
        </w:rPr>
        <w:t xml:space="preserve">, se le orientó a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del procedimiento para la obtención de la información y la documentación a presentar para el trámite específico.</w:t>
      </w:r>
    </w:p>
    <w:p w:rsidR="00000000" w:rsidDel="00000000" w:rsidP="00000000" w:rsidRDefault="00000000" w:rsidRPr="00000000" w14:paraId="000000AE">
      <w:pPr>
        <w:tabs>
          <w:tab w:val="left" w:leader="none" w:pos="142"/>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F">
      <w:pPr>
        <w:tabs>
          <w:tab w:val="left" w:leader="none" w:pos="142"/>
        </w:tabs>
        <w:spacing w:after="0" w:line="360" w:lineRule="auto"/>
        <w:jc w:val="both"/>
        <w:rPr>
          <w:rFonts w:ascii="Palatino Linotype" w:cs="Palatino Linotype" w:eastAsia="Palatino Linotype" w:hAnsi="Palatino Linotype"/>
          <w:sz w:val="28"/>
          <w:szCs w:val="28"/>
        </w:rPr>
      </w:pPr>
      <w:r w:rsidDel="00000000" w:rsidR="00000000" w:rsidRPr="00000000">
        <w:rPr>
          <w:rFonts w:ascii="Palatino Linotype" w:cs="Palatino Linotype" w:eastAsia="Palatino Linotype" w:hAnsi="Palatino Linotype"/>
          <w:sz w:val="24"/>
          <w:szCs w:val="24"/>
          <w:rtl w:val="0"/>
        </w:rPr>
        <w:t xml:space="preserve">Finalmente, respecto de las manifestaciones realizadas por </w:t>
      </w:r>
      <w:r w:rsidDel="00000000" w:rsidR="00000000" w:rsidRPr="00000000">
        <w:rPr>
          <w:rFonts w:ascii="Palatino Linotype" w:cs="Palatino Linotype" w:eastAsia="Palatino Linotype" w:hAnsi="Palatino Linotype"/>
          <w:b w:val="1"/>
          <w:sz w:val="24"/>
          <w:szCs w:val="24"/>
          <w:rtl w:val="0"/>
        </w:rPr>
        <w:t xml:space="preserve">LA PARTE RECURRENTE</w:t>
      </w:r>
      <w:r w:rsidDel="00000000" w:rsidR="00000000" w:rsidRPr="00000000">
        <w:rPr>
          <w:rFonts w:ascii="Palatino Linotype" w:cs="Palatino Linotype" w:eastAsia="Palatino Linotype" w:hAnsi="Palatino Linotype"/>
          <w:sz w:val="24"/>
          <w:szCs w:val="24"/>
          <w:rtl w:val="0"/>
        </w:rPr>
        <w:t xml:space="preserve"> como razones o motivos de inconformidad, consistentes en </w:t>
      </w:r>
      <w:r w:rsidDel="00000000" w:rsidR="00000000" w:rsidRPr="00000000">
        <w:rPr>
          <w:rFonts w:ascii="Palatino Linotype" w:cs="Palatino Linotype" w:eastAsia="Palatino Linotype" w:hAnsi="Palatino Linotype"/>
          <w:i w:val="1"/>
          <w:sz w:val="24"/>
          <w:szCs w:val="24"/>
          <w:rtl w:val="0"/>
        </w:rPr>
        <w:t xml:space="preserve">“…, solicito se de vista al Organo Interno de Control del Organo Garante para que analice las respuesta, ya que las mismas son con el afan de obstruir y retardar mi trámite.…” (sic)</w:t>
      </w:r>
      <w:r w:rsidDel="00000000" w:rsidR="00000000" w:rsidRPr="00000000">
        <w:rPr>
          <w:rFonts w:ascii="Palatino Linotype" w:cs="Palatino Linotype" w:eastAsia="Palatino Linotype" w:hAnsi="Palatino Linotype"/>
          <w:sz w:val="24"/>
          <w:szCs w:val="24"/>
          <w:rtl w:val="0"/>
        </w:rPr>
        <w:t xml:space="preserve">; y derivado que el Recurso de Revisión no es el medio para sancionar, este Organismo Garante sugiere a la persona solicitante, interponer su queja o denuncia ante la autoridad competente. </w:t>
      </w:r>
      <w:r w:rsidDel="00000000" w:rsidR="00000000" w:rsidRPr="00000000">
        <w:rPr>
          <w:rtl w:val="0"/>
        </w:rPr>
      </w:r>
    </w:p>
    <w:p w:rsidR="00000000" w:rsidDel="00000000" w:rsidP="00000000" w:rsidRDefault="00000000" w:rsidRPr="00000000" w14:paraId="000000B0">
      <w:pPr>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1">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Por lo anterior, lo procedente es </w:t>
      </w:r>
      <w:r w:rsidDel="00000000" w:rsidR="00000000" w:rsidRPr="00000000">
        <w:rPr>
          <w:rFonts w:ascii="Palatino Linotype" w:cs="Palatino Linotype" w:eastAsia="Palatino Linotype" w:hAnsi="Palatino Linotype"/>
          <w:b w:val="1"/>
          <w:sz w:val="24"/>
          <w:szCs w:val="24"/>
          <w:rtl w:val="0"/>
        </w:rPr>
        <w:t xml:space="preserve">CONFIRMAR </w:t>
      </w:r>
      <w:r w:rsidDel="00000000" w:rsidR="00000000" w:rsidRPr="00000000">
        <w:rPr>
          <w:rFonts w:ascii="Palatino Linotype" w:cs="Palatino Linotype" w:eastAsia="Palatino Linotype" w:hAnsi="Palatino Linotype"/>
          <w:sz w:val="24"/>
          <w:szCs w:val="24"/>
          <w:rtl w:val="0"/>
        </w:rPr>
        <w:t xml:space="preserve">la respuesta brindada al requerimiento de información de la solicitud de acceso a datos personales </w:t>
      </w:r>
      <w:r w:rsidDel="00000000" w:rsidR="00000000" w:rsidRPr="00000000">
        <w:rPr>
          <w:rFonts w:ascii="Palatino Linotype" w:cs="Palatino Linotype" w:eastAsia="Palatino Linotype" w:hAnsi="Palatino Linotype"/>
          <w:b w:val="1"/>
          <w:sz w:val="24"/>
          <w:szCs w:val="24"/>
          <w:rtl w:val="0"/>
        </w:rPr>
        <w:t xml:space="preserve">00002/SEIEM/AD/2024</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B2">
      <w:pPr>
        <w:tabs>
          <w:tab w:val="left" w:leader="none" w:pos="4962"/>
        </w:tabs>
        <w:spacing w:after="0" w:line="360" w:lineRule="auto"/>
        <w:jc w:val="both"/>
        <w:rPr>
          <w:rFonts w:ascii="Palatino Linotype" w:cs="Palatino Linotype" w:eastAsia="Palatino Linotype" w:hAnsi="Palatino Linotype"/>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B3">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rsidR="00000000" w:rsidDel="00000000" w:rsidP="00000000" w:rsidRDefault="00000000" w:rsidRPr="00000000" w14:paraId="000000B4">
      <w:pPr>
        <w:tabs>
          <w:tab w:val="left" w:leader="none" w:pos="4962"/>
        </w:tabs>
        <w:spacing w:after="0" w:line="36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5">
      <w:pPr>
        <w:spacing w:after="0" w:line="360" w:lineRule="auto"/>
        <w:jc w:val="center"/>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b w:val="1"/>
          <w:sz w:val="24"/>
          <w:szCs w:val="24"/>
          <w:rtl w:val="0"/>
        </w:rPr>
        <w:t xml:space="preserve">R E S U E L V E:</w:t>
      </w:r>
      <w:r w:rsidDel="00000000" w:rsidR="00000000" w:rsidRPr="00000000">
        <w:rPr>
          <w:rtl w:val="0"/>
        </w:rPr>
      </w:r>
    </w:p>
    <w:p w:rsidR="00000000" w:rsidDel="00000000" w:rsidP="00000000" w:rsidRDefault="00000000" w:rsidRPr="00000000" w14:paraId="000000B6">
      <w:pPr>
        <w:tabs>
          <w:tab w:val="left" w:leader="none" w:pos="5475"/>
        </w:tabs>
        <w:spacing w:after="0" w:line="360" w:lineRule="auto"/>
        <w:ind w:right="-93"/>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B7">
      <w:pPr>
        <w:spacing w:after="0" w:line="360" w:lineRule="auto"/>
        <w:ind w:right="51"/>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PRIMERO. </w:t>
      </w:r>
      <w:r w:rsidDel="00000000" w:rsidR="00000000" w:rsidRPr="00000000">
        <w:rPr>
          <w:rFonts w:ascii="Palatino Linotype" w:cs="Palatino Linotype" w:eastAsia="Palatino Linotype" w:hAnsi="Palatino Linotype"/>
          <w:sz w:val="24"/>
          <w:szCs w:val="24"/>
          <w:rtl w:val="0"/>
        </w:rPr>
        <w:t xml:space="preserve">Resultan infundados los motivos de inconformidad aducidos por </w:t>
      </w:r>
      <w:r w:rsidDel="00000000" w:rsidR="00000000" w:rsidRPr="00000000">
        <w:rPr>
          <w:rFonts w:ascii="Palatino Linotype" w:cs="Palatino Linotype" w:eastAsia="Palatino Linotype" w:hAnsi="Palatino Linotype"/>
          <w:b w:val="1"/>
          <w:sz w:val="24"/>
          <w:szCs w:val="24"/>
          <w:rtl w:val="0"/>
        </w:rPr>
        <w:t xml:space="preserve">LA PARTE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RECURRENTE</w:t>
      </w:r>
      <w:r w:rsidDel="00000000" w:rsidR="00000000" w:rsidRPr="00000000">
        <w:rPr>
          <w:rFonts w:ascii="Palatino Linotype" w:cs="Palatino Linotype" w:eastAsia="Palatino Linotype" w:hAnsi="Palatino Linotype"/>
          <w:sz w:val="24"/>
          <w:szCs w:val="24"/>
          <w:rtl w:val="0"/>
        </w:rPr>
        <w:t xml:space="preserve"> en el recurso de revisión </w:t>
      </w:r>
      <w:r w:rsidDel="00000000" w:rsidR="00000000" w:rsidRPr="00000000">
        <w:rPr>
          <w:rFonts w:ascii="Palatino Linotype" w:cs="Palatino Linotype" w:eastAsia="Palatino Linotype" w:hAnsi="Palatino Linotype"/>
          <w:b w:val="1"/>
          <w:sz w:val="24"/>
          <w:szCs w:val="24"/>
          <w:rtl w:val="0"/>
        </w:rPr>
        <w:t xml:space="preserve">02964/INFOEM/AD/RR/2024</w:t>
      </w:r>
      <w:r w:rsidDel="00000000" w:rsidR="00000000" w:rsidRPr="00000000">
        <w:rPr>
          <w:rFonts w:ascii="Palatino Linotype" w:cs="Palatino Linotype" w:eastAsia="Palatino Linotype" w:hAnsi="Palatino Linotype"/>
          <w:sz w:val="24"/>
          <w:szCs w:val="24"/>
          <w:rtl w:val="0"/>
        </w:rPr>
        <w:t xml:space="preserve">,</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por lo que, en términos del Considerando Cuarto de esta resolución, se </w:t>
      </w:r>
      <w:r w:rsidDel="00000000" w:rsidR="00000000" w:rsidRPr="00000000">
        <w:rPr>
          <w:rFonts w:ascii="Palatino Linotype" w:cs="Palatino Linotype" w:eastAsia="Palatino Linotype" w:hAnsi="Palatino Linotype"/>
          <w:b w:val="1"/>
          <w:sz w:val="24"/>
          <w:szCs w:val="24"/>
          <w:rtl w:val="0"/>
        </w:rPr>
        <w:t xml:space="preserve">CONFIRMA</w:t>
      </w:r>
      <w:r w:rsidDel="00000000" w:rsidR="00000000" w:rsidRPr="00000000">
        <w:rPr>
          <w:rFonts w:ascii="Palatino Linotype" w:cs="Palatino Linotype" w:eastAsia="Palatino Linotype" w:hAnsi="Palatino Linotype"/>
          <w:sz w:val="24"/>
          <w:szCs w:val="24"/>
          <w:rtl w:val="0"/>
        </w:rPr>
        <w:t xml:space="preserve"> la respuesta del </w:t>
      </w:r>
      <w:r w:rsidDel="00000000" w:rsidR="00000000" w:rsidRPr="00000000">
        <w:rPr>
          <w:rFonts w:ascii="Palatino Linotype" w:cs="Palatino Linotype" w:eastAsia="Palatino Linotype" w:hAnsi="Palatino Linotype"/>
          <w:b w:val="1"/>
          <w:sz w:val="24"/>
          <w:szCs w:val="24"/>
          <w:rtl w:val="0"/>
        </w:rPr>
        <w:t xml:space="preserve">SUJETO OBLIGADO.</w:t>
      </w:r>
    </w:p>
    <w:p w:rsidR="00000000" w:rsidDel="00000000" w:rsidP="00000000" w:rsidRDefault="00000000" w:rsidRPr="00000000" w14:paraId="000000B8">
      <w:pPr>
        <w:spacing w:after="0" w:line="36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B9">
      <w:pPr>
        <w:spacing w:after="0" w:line="360" w:lineRule="auto"/>
        <w:ind w:right="51"/>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SEGUNDO. NOTIFÍQUESE </w:t>
      </w:r>
      <w:r w:rsidDel="00000000" w:rsidR="00000000" w:rsidRPr="00000000">
        <w:rPr>
          <w:rFonts w:ascii="Palatino Linotype" w:cs="Palatino Linotype" w:eastAsia="Palatino Linotype" w:hAnsi="Palatino Linotype"/>
          <w:sz w:val="24"/>
          <w:szCs w:val="24"/>
          <w:rtl w:val="0"/>
        </w:rPr>
        <w:t xml:space="preserve">vía SARCOEM la presente resolución al Titular de la Unidad de Transparencia del </w:t>
      </w:r>
      <w:r w:rsidDel="00000000" w:rsidR="00000000" w:rsidRPr="00000000">
        <w:rPr>
          <w:rFonts w:ascii="Palatino Linotype" w:cs="Palatino Linotype" w:eastAsia="Palatino Linotype" w:hAnsi="Palatino Linotype"/>
          <w:b w:val="1"/>
          <w:sz w:val="24"/>
          <w:szCs w:val="24"/>
          <w:rtl w:val="0"/>
        </w:rPr>
        <w:t xml:space="preserve">SUJETO OBLIGADO</w:t>
      </w:r>
      <w:r w:rsidDel="00000000" w:rsidR="00000000" w:rsidRPr="00000000">
        <w:rPr>
          <w:rFonts w:ascii="Palatino Linotype" w:cs="Palatino Linotype" w:eastAsia="Palatino Linotype" w:hAnsi="Palatino Linotype"/>
          <w:sz w:val="24"/>
          <w:szCs w:val="24"/>
          <w:rtl w:val="0"/>
        </w:rPr>
        <w:t xml:space="preserve">, para su conocimiento.</w:t>
      </w:r>
    </w:p>
    <w:p w:rsidR="00000000" w:rsidDel="00000000" w:rsidP="00000000" w:rsidRDefault="00000000" w:rsidRPr="00000000" w14:paraId="000000BA">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B">
      <w:pPr>
        <w:spacing w:after="0" w:line="360" w:lineRule="auto"/>
        <w:ind w:right="51"/>
        <w:jc w:val="both"/>
        <w:rPr>
          <w:rFonts w:ascii="Palatino Linotype" w:cs="Palatino Linotype" w:eastAsia="Palatino Linotype" w:hAnsi="Palatino Linotype"/>
          <w:sz w:val="24"/>
          <w:szCs w:val="24"/>
        </w:rPr>
      </w:pPr>
      <w:bookmarkStart w:colFirst="0" w:colLast="0" w:name="_heading=h.3znysh7" w:id="2"/>
      <w:bookmarkEnd w:id="2"/>
      <w:r w:rsidDel="00000000" w:rsidR="00000000" w:rsidRPr="00000000">
        <w:rPr>
          <w:rFonts w:ascii="Palatino Linotype" w:cs="Palatino Linotype" w:eastAsia="Palatino Linotype" w:hAnsi="Palatino Linotype"/>
          <w:b w:val="1"/>
          <w:sz w:val="24"/>
          <w:szCs w:val="24"/>
          <w:rtl w:val="0"/>
        </w:rPr>
        <w:t xml:space="preserve">TERCERO. NOTIFÍQUESE </w:t>
      </w:r>
      <w:r w:rsidDel="00000000" w:rsidR="00000000" w:rsidRPr="00000000">
        <w:rPr>
          <w:rFonts w:ascii="Palatino Linotype" w:cs="Palatino Linotype" w:eastAsia="Palatino Linotype" w:hAnsi="Palatino Linotype"/>
          <w:sz w:val="24"/>
          <w:szCs w:val="24"/>
          <w:rtl w:val="0"/>
        </w:rPr>
        <w:t xml:space="preserve">vía SARCOEM</w:t>
      </w:r>
      <w:r w:rsidDel="00000000" w:rsidR="00000000" w:rsidRPr="00000000">
        <w:rPr>
          <w:rFonts w:ascii="Palatino Linotype" w:cs="Palatino Linotype" w:eastAsia="Palatino Linotype" w:hAnsi="Palatino Linotype"/>
          <w:b w:val="1"/>
          <w:sz w:val="24"/>
          <w:szCs w:val="24"/>
          <w:rtl w:val="0"/>
        </w:rPr>
        <w:t xml:space="preserve"> a LA PARTE RECURRENTE</w:t>
      </w:r>
      <w:r w:rsidDel="00000000" w:rsidR="00000000" w:rsidRPr="00000000">
        <w:rPr>
          <w:rFonts w:ascii="Palatino Linotype" w:cs="Palatino Linotype" w:eastAsia="Palatino Linotype" w:hAnsi="Palatino Linotype"/>
          <w:sz w:val="24"/>
          <w:szCs w:val="24"/>
          <w:rtl w:val="0"/>
        </w:rPr>
        <w:t xml:space="preserve">, la presente resolución, además que de conformidad con lo establecido en el artículo 142 de la Ley de Protección de Datos Personales en Posesión de Sujetos Obligados del Estado de México y Municipios podrá promover el Juicio de Amparo en los términos de las leyes aplicables.</w:t>
      </w:r>
    </w:p>
    <w:p w:rsidR="00000000" w:rsidDel="00000000" w:rsidP="00000000" w:rsidRDefault="00000000" w:rsidRPr="00000000" w14:paraId="000000BC">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D">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E">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F">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0">
      <w:pPr>
        <w:spacing w:after="0" w:line="360" w:lineRule="auto"/>
        <w:ind w:right="49"/>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SEXTA SESIÓN ORDINARIA CELEBRADA EL NUEVE DE OCTUBRE DE DOS MIL VEINTICUATRO, ANTE EL SECRETARIO TÉCNICO DEL PLENO ALEXIS TAPIA RAMÍREZ.</w:t>
      </w:r>
    </w:p>
    <w:p w:rsidR="00000000" w:rsidDel="00000000" w:rsidP="00000000" w:rsidRDefault="00000000" w:rsidRPr="00000000" w14:paraId="000000C1">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2">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3">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4">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5">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6">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7">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8">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9">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A">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B">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C">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D">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E">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F">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D0">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D1">
      <w:pPr>
        <w:spacing w:after="0" w:line="360" w:lineRule="auto"/>
        <w:ind w:right="51"/>
        <w:jc w:val="both"/>
        <w:rPr>
          <w:rFonts w:ascii="Palatino Linotype" w:cs="Palatino Linotype" w:eastAsia="Palatino Linotype" w:hAnsi="Palatino Linotype"/>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252"/>
        <w:tab w:val="right" w:leader="none" w:pos="8504"/>
      </w:tabs>
      <w:jc w:val="righ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Página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center" w:leader="none" w:pos="4252"/>
        <w:tab w:val="right" w:leader="none" w:pos="8504"/>
      </w:tabs>
      <w:jc w:val="righ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Página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de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76" w:lineRule="auto"/>
      <w:rPr>
        <w:rFonts w:ascii="Palatino Linotype" w:cs="Palatino Linotype" w:eastAsia="Palatino Linotype" w:hAnsi="Palatino Linotype"/>
        <w:sz w:val="24"/>
        <w:szCs w:val="24"/>
      </w:rPr>
    </w:pPr>
    <w:r w:rsidDel="00000000" w:rsidR="00000000" w:rsidRPr="00000000">
      <w:rPr>
        <w:rtl w:val="0"/>
      </w:rPr>
    </w:r>
  </w:p>
  <w:tbl>
    <w:tblPr>
      <w:tblStyle w:val="Table1"/>
      <w:tblW w:w="10273.0" w:type="dxa"/>
      <w:jc w:val="left"/>
      <w:tblInd w:w="-1281.0" w:type="dxa"/>
      <w:tblLayout w:type="fixed"/>
      <w:tblLook w:val="0400"/>
    </w:tblPr>
    <w:tblGrid>
      <w:gridCol w:w="5716"/>
      <w:gridCol w:w="4557"/>
      <w:tblGridChange w:id="0">
        <w:tblGrid>
          <w:gridCol w:w="5716"/>
          <w:gridCol w:w="4557"/>
        </w:tblGrid>
      </w:tblGridChange>
    </w:tblGrid>
    <w:tr>
      <w:trPr>
        <w:cantSplit w:val="0"/>
        <w:trHeight w:val="246" w:hRule="atLeast"/>
        <w:tblHeader w:val="0"/>
      </w:trPr>
      <w:tc>
        <w:tcPr/>
        <w:p w:rsidR="00000000" w:rsidDel="00000000" w:rsidP="00000000" w:rsidRDefault="00000000" w:rsidRPr="00000000" w14:paraId="000000D3">
          <w:pPr>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Recurso de Revisión N°:</w:t>
          </w:r>
        </w:p>
      </w:tc>
      <w:tc>
        <w:tcPr/>
        <w:p w:rsidR="00000000" w:rsidDel="00000000" w:rsidP="00000000" w:rsidRDefault="00000000" w:rsidRPr="00000000" w14:paraId="000000D4">
          <w:pPr>
            <w:spacing w:after="120" w:lineRule="auto"/>
            <w:ind w:left="-252" w:firstLine="1408"/>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02964/INFOEM/AD/RR/2024.</w:t>
          </w:r>
        </w:p>
      </w:tc>
    </w:tr>
    <w:tr>
      <w:trPr>
        <w:cantSplit w:val="0"/>
        <w:trHeight w:val="212" w:hRule="atLeast"/>
        <w:tblHeader w:val="0"/>
      </w:trPr>
      <w:tc>
        <w:tcPr/>
        <w:p w:rsidR="00000000" w:rsidDel="00000000" w:rsidP="00000000" w:rsidRDefault="00000000" w:rsidRPr="00000000" w14:paraId="000000D5">
          <w:pPr>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Recurrente:</w:t>
          </w:r>
        </w:p>
      </w:tc>
      <w:tc>
        <w:tcPr/>
        <w:p w:rsidR="00000000" w:rsidDel="00000000" w:rsidP="00000000" w:rsidRDefault="00000000" w:rsidRPr="00000000" w14:paraId="000000D6">
          <w:pPr>
            <w:spacing w:after="120" w:lineRule="auto"/>
            <w:ind w:left="-252" w:firstLine="567"/>
            <w:jc w:val="right"/>
            <w:rPr>
              <w:rFonts w:ascii="Palatino Linotype" w:cs="Palatino Linotype" w:eastAsia="Palatino Linotype" w:hAnsi="Palatino Linotype"/>
            </w:rPr>
          </w:pP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0D7">
          <w:pPr>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Sujeto Obligado:</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ind w:left="-252" w:firstLine="0"/>
            <w:jc w:val="right"/>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Servicios Educativos Integrados al Estado de México.</w:t>
          </w:r>
        </w:p>
      </w:tc>
    </w:tr>
    <w:tr>
      <w:trPr>
        <w:cantSplit w:val="0"/>
        <w:trHeight w:val="373" w:hRule="atLeast"/>
        <w:tblHeader w:val="0"/>
      </w:trPr>
      <w:tc>
        <w:tcPr/>
        <w:p w:rsidR="00000000" w:rsidDel="00000000" w:rsidP="00000000" w:rsidRDefault="00000000" w:rsidRPr="00000000" w14:paraId="000000D9">
          <w:pPr>
            <w:tabs>
              <w:tab w:val="left" w:leader="none" w:pos="4892"/>
            </w:tabs>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Comisionada Ponente:</w:t>
          </w:r>
        </w:p>
      </w:tc>
      <w:tc>
        <w:tcPr/>
        <w:p w:rsidR="00000000" w:rsidDel="00000000" w:rsidP="00000000" w:rsidRDefault="00000000" w:rsidRPr="00000000" w14:paraId="000000DA">
          <w:pPr>
            <w:spacing w:after="120" w:lineRule="auto"/>
            <w:ind w:left="-252" w:firstLine="567"/>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Guadalupe Ramírez Peña</w:t>
          </w:r>
        </w:p>
      </w:tc>
    </w:tr>
  </w:tb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-550543</wp:posOffset>
          </wp:positionH>
          <wp:positionV relativeFrom="paragraph">
            <wp:posOffset>-1590673</wp:posOffset>
          </wp:positionV>
          <wp:extent cx="7753350" cy="9942731"/>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3350" cy="994273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2"/>
      <w:tblW w:w="10273.0" w:type="dxa"/>
      <w:jc w:val="left"/>
      <w:tblInd w:w="-1281.0" w:type="dxa"/>
      <w:tblLayout w:type="fixed"/>
      <w:tblLook w:val="0400"/>
    </w:tblPr>
    <w:tblGrid>
      <w:gridCol w:w="5716"/>
      <w:gridCol w:w="4557"/>
      <w:tblGridChange w:id="0">
        <w:tblGrid>
          <w:gridCol w:w="5716"/>
          <w:gridCol w:w="4557"/>
        </w:tblGrid>
      </w:tblGridChange>
    </w:tblGrid>
    <w:tr>
      <w:trPr>
        <w:cantSplit w:val="0"/>
        <w:trHeight w:val="246" w:hRule="atLeast"/>
        <w:tblHeader w:val="0"/>
      </w:trPr>
      <w:tc>
        <w:tcPr/>
        <w:p w:rsidR="00000000" w:rsidDel="00000000" w:rsidP="00000000" w:rsidRDefault="00000000" w:rsidRPr="00000000" w14:paraId="000000DD">
          <w:pPr>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Recurso de Revisión N°:</w:t>
          </w:r>
        </w:p>
      </w:tc>
      <w:tc>
        <w:tcPr/>
        <w:p w:rsidR="00000000" w:rsidDel="00000000" w:rsidP="00000000" w:rsidRDefault="00000000" w:rsidRPr="00000000" w14:paraId="000000DE">
          <w:pPr>
            <w:spacing w:after="120" w:lineRule="auto"/>
            <w:ind w:left="-252" w:firstLine="1408"/>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02964/INFOEM/AD/RR/2024.</w:t>
          </w:r>
        </w:p>
      </w:tc>
    </w:tr>
    <w:tr>
      <w:trPr>
        <w:cantSplit w:val="0"/>
        <w:trHeight w:val="212" w:hRule="atLeast"/>
        <w:tblHeader w:val="0"/>
      </w:trPr>
      <w:tc>
        <w:tcPr/>
        <w:p w:rsidR="00000000" w:rsidDel="00000000" w:rsidP="00000000" w:rsidRDefault="00000000" w:rsidRPr="00000000" w14:paraId="000000DF">
          <w:pPr>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Recurrente:</w:t>
          </w:r>
        </w:p>
      </w:tc>
      <w:tc>
        <w:tcPr/>
        <w:p w:rsidR="00000000" w:rsidDel="00000000" w:rsidP="00000000" w:rsidRDefault="00000000" w:rsidRPr="00000000" w14:paraId="000000E0">
          <w:pPr>
            <w:spacing w:after="120" w:lineRule="auto"/>
            <w:ind w:left="-252" w:firstLine="567"/>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XXXXX XXXXXXXX XXXX XXXXX.</w:t>
          </w:r>
        </w:p>
      </w:tc>
    </w:tr>
    <w:tr>
      <w:trPr>
        <w:cantSplit w:val="0"/>
        <w:trHeight w:val="264" w:hRule="atLeast"/>
        <w:tblHeader w:val="0"/>
      </w:trPr>
      <w:tc>
        <w:tcPr/>
        <w:p w:rsidR="00000000" w:rsidDel="00000000" w:rsidP="00000000" w:rsidRDefault="00000000" w:rsidRPr="00000000" w14:paraId="000000E1">
          <w:pPr>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Sujeto Obligado:</w:t>
          </w:r>
        </w:p>
      </w:tc>
      <w:tc>
        <w:tcPr/>
        <w:p w:rsidR="00000000" w:rsidDel="00000000" w:rsidP="00000000" w:rsidRDefault="00000000" w:rsidRPr="00000000" w14:paraId="000000E2">
          <w:pPr>
            <w:pBdr>
              <w:top w:space="0" w:sz="0" w:val="nil"/>
              <w:left w:space="0" w:sz="0" w:val="nil"/>
              <w:bottom w:space="0" w:sz="0" w:val="nil"/>
              <w:right w:space="0" w:sz="0" w:val="nil"/>
              <w:between w:space="0" w:sz="0" w:val="nil"/>
            </w:pBdr>
            <w:ind w:left="-252" w:firstLine="0"/>
            <w:jc w:val="right"/>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Servicios Educativos Integrados al Estado de México.</w:t>
          </w:r>
        </w:p>
      </w:tc>
    </w:tr>
    <w:tr>
      <w:trPr>
        <w:cantSplit w:val="0"/>
        <w:trHeight w:val="373" w:hRule="atLeast"/>
        <w:tblHeader w:val="0"/>
      </w:trPr>
      <w:tc>
        <w:tcPr/>
        <w:p w:rsidR="00000000" w:rsidDel="00000000" w:rsidP="00000000" w:rsidRDefault="00000000" w:rsidRPr="00000000" w14:paraId="000000E3">
          <w:pPr>
            <w:tabs>
              <w:tab w:val="left" w:leader="none" w:pos="4892"/>
            </w:tabs>
            <w:spacing w:after="120" w:lineRule="auto"/>
            <w:ind w:left="-252" w:firstLine="0"/>
            <w:jc w:val="righ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Comisionada Ponente:</w:t>
          </w:r>
        </w:p>
      </w:tc>
      <w:tc>
        <w:tcPr/>
        <w:p w:rsidR="00000000" w:rsidDel="00000000" w:rsidP="00000000" w:rsidRDefault="00000000" w:rsidRPr="00000000" w14:paraId="000000E4">
          <w:pPr>
            <w:spacing w:after="120" w:lineRule="auto"/>
            <w:ind w:left="-252" w:firstLine="567"/>
            <w:jc w:val="righ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Guadalupe Ramírez Peña</w:t>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-598168</wp:posOffset>
          </wp:positionH>
          <wp:positionV relativeFrom="paragraph">
            <wp:posOffset>-1581148</wp:posOffset>
          </wp:positionV>
          <wp:extent cx="7753350" cy="9942731"/>
          <wp:effectExtent b="0" l="0" r="0" t="0"/>
          <wp:wrapNone/>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53350" cy="99427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3"/>
      <w:numFmt w:val="bullet"/>
      <w:lvlText w:val="-"/>
      <w:lvlJc w:val="left"/>
      <w:pPr>
        <w:ind w:left="720" w:hanging="360"/>
      </w:pPr>
      <w:rPr>
        <w:rFonts w:ascii="Palatino Linotype" w:cs="Palatino Linotype" w:eastAsia="Palatino Linotype" w:hAnsi="Palatino Linotyp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E7AA4"/>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6862B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862BF"/>
  </w:style>
  <w:style w:type="paragraph" w:styleId="Piedepgina">
    <w:name w:val="footer"/>
    <w:basedOn w:val="Normal"/>
    <w:link w:val="PiedepginaCar"/>
    <w:uiPriority w:val="99"/>
    <w:unhideWhenUsed w:val="1"/>
    <w:rsid w:val="006862B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862BF"/>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val="1"/>
    <w:rsid w:val="00BA296D"/>
    <w:pPr>
      <w:ind w:left="720"/>
      <w:contextualSpacing w:val="1"/>
    </w:pPr>
  </w:style>
  <w:style w:type="character" w:styleId="Hipervnculo">
    <w:name w:val="Hyperlink"/>
    <w:basedOn w:val="Fuentedeprrafopredeter"/>
    <w:uiPriority w:val="99"/>
    <w:semiHidden w:val="1"/>
    <w:unhideWhenUsed w:val="1"/>
    <w:rsid w:val="00CE3444"/>
    <w:rPr>
      <w:color w:val="0000ff"/>
      <w:u w:val="single"/>
    </w:rPr>
  </w:style>
  <w:style w:type="character" w:styleId="PrrafodelistaCar" w:customStyle="1">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val="1"/>
    <w:locked w:val="1"/>
    <w:rsid w:val="00FC4196"/>
    <w:rPr>
      <w:rFonts w:ascii="Calibri" w:cs="Calibri" w:eastAsia="Calibri" w:hAnsi="Calibri"/>
      <w:lang w:eastAsia="es-MX"/>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11HqMZ5lKinLVTuB4k3qYl6ew==">CgMxLjAyCWguMWZvYjl0ZTIIaC5namRneHMyCWguM3pueXNoNzgAciExSFRqZ0ZhV2RySWlJVERTU0lFbGliNDBvZnNqLXBpX0I=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2024-10-23T23:13:00Z</dcterms:created>
  <dc:creator>INFOEM505</dc:creator>
</cp:coreProperties>
</file>