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F6D" w:rsidRPr="00D83E92" w:rsidRDefault="00DF0D09">
      <w:pPr>
        <w:spacing w:before="240" w:after="240" w:line="360" w:lineRule="auto"/>
        <w:jc w:val="both"/>
        <w:rPr>
          <w:rFonts w:ascii="Palatino Linotype" w:eastAsia="Palatino Linotype" w:hAnsi="Palatino Linotype" w:cs="Palatino Linotype"/>
        </w:rPr>
      </w:pPr>
      <w:r w:rsidRPr="00D83E92">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Pr="00D83E92">
        <w:rPr>
          <w:rFonts w:ascii="Palatino Linotype" w:eastAsia="Palatino Linotype" w:hAnsi="Palatino Linotype" w:cs="Palatino Linotype"/>
          <w:b/>
        </w:rPr>
        <w:t xml:space="preserve">dieciocho </w:t>
      </w:r>
      <w:r w:rsidR="005E43F9" w:rsidRPr="00D83E92">
        <w:rPr>
          <w:rFonts w:ascii="Palatino Linotype" w:eastAsia="Palatino Linotype" w:hAnsi="Palatino Linotype" w:cs="Palatino Linotype"/>
          <w:b/>
        </w:rPr>
        <w:t xml:space="preserve">(18) </w:t>
      </w:r>
      <w:r w:rsidRPr="00D83E92">
        <w:rPr>
          <w:rFonts w:ascii="Palatino Linotype" w:eastAsia="Palatino Linotype" w:hAnsi="Palatino Linotype" w:cs="Palatino Linotype"/>
          <w:b/>
        </w:rPr>
        <w:t>de diciembre de dos mil veinticuatro</w:t>
      </w:r>
      <w:r w:rsidRPr="00D83E92">
        <w:rPr>
          <w:rFonts w:ascii="Palatino Linotype" w:eastAsia="Palatino Linotype" w:hAnsi="Palatino Linotype" w:cs="Palatino Linotype"/>
        </w:rPr>
        <w:t xml:space="preserve">. </w:t>
      </w:r>
    </w:p>
    <w:p w:rsidR="005B5F6D" w:rsidRPr="00D83E92" w:rsidRDefault="00DF0D09">
      <w:pPr>
        <w:spacing w:line="360" w:lineRule="auto"/>
        <w:jc w:val="both"/>
        <w:rPr>
          <w:rFonts w:ascii="Palatino Linotype" w:eastAsia="Palatino Linotype" w:hAnsi="Palatino Linotype" w:cs="Palatino Linotype"/>
          <w:b/>
          <w:bCs/>
        </w:rPr>
      </w:pPr>
      <w:bookmarkStart w:id="0" w:name="_heading=h.1t3h5sf" w:colFirst="0" w:colLast="0"/>
      <w:bookmarkEnd w:id="0"/>
      <w:r w:rsidRPr="00D83E92">
        <w:rPr>
          <w:rFonts w:ascii="Palatino Linotype" w:eastAsia="Palatino Linotype" w:hAnsi="Palatino Linotype" w:cs="Palatino Linotype"/>
          <w:b/>
        </w:rPr>
        <w:t>VISTO</w:t>
      </w:r>
      <w:r w:rsidRPr="00D83E92">
        <w:rPr>
          <w:rFonts w:ascii="Palatino Linotype" w:eastAsia="Palatino Linotype" w:hAnsi="Palatino Linotype" w:cs="Palatino Linotype"/>
        </w:rPr>
        <w:t xml:space="preserve"> el expediente formado con motivo del recurso de revisión </w:t>
      </w:r>
      <w:r w:rsidRPr="00D83E92">
        <w:rPr>
          <w:rFonts w:ascii="Palatino Linotype" w:eastAsia="Palatino Linotype" w:hAnsi="Palatino Linotype" w:cs="Palatino Linotype"/>
          <w:b/>
        </w:rPr>
        <w:t>06713/INFOEM/AD/RR/2024</w:t>
      </w:r>
      <w:r w:rsidRPr="00D83E92">
        <w:rPr>
          <w:rFonts w:ascii="Palatino Linotype" w:eastAsia="Palatino Linotype" w:hAnsi="Palatino Linotype" w:cs="Palatino Linotype"/>
        </w:rPr>
        <w:t xml:space="preserve">, promovido por </w:t>
      </w:r>
      <w:r w:rsidR="00D83E92" w:rsidRPr="00D83E92">
        <w:rPr>
          <w:rFonts w:ascii="Palatino Linotype" w:eastAsia="Palatino Linotype" w:hAnsi="Palatino Linotype" w:cs="Palatino Linotype"/>
          <w:b/>
        </w:rPr>
        <w:t>XXXXXXXXXX</w:t>
      </w:r>
      <w:r w:rsidRPr="00D83E92">
        <w:rPr>
          <w:rFonts w:ascii="Palatino Linotype" w:eastAsia="Palatino Linotype" w:hAnsi="Palatino Linotype" w:cs="Palatino Linotype"/>
          <w:b/>
        </w:rPr>
        <w:t xml:space="preserve">, </w:t>
      </w:r>
      <w:r w:rsidRPr="00D83E92">
        <w:rPr>
          <w:rFonts w:ascii="Palatino Linotype" w:eastAsia="Palatino Linotype" w:hAnsi="Palatino Linotype" w:cs="Palatino Linotype"/>
        </w:rPr>
        <w:t>en lo sucesivo la</w:t>
      </w:r>
      <w:r w:rsidRPr="00D83E92">
        <w:rPr>
          <w:rFonts w:ascii="Palatino Linotype" w:eastAsia="Palatino Linotype" w:hAnsi="Palatino Linotype" w:cs="Palatino Linotype"/>
          <w:b/>
        </w:rPr>
        <w:t xml:space="preserve"> Recurrente</w:t>
      </w:r>
      <w:r w:rsidRPr="00D83E92">
        <w:rPr>
          <w:rFonts w:ascii="Palatino Linotype" w:eastAsia="Palatino Linotype" w:hAnsi="Palatino Linotype" w:cs="Palatino Linotype"/>
        </w:rPr>
        <w:t xml:space="preserve"> en contra de la respuesta del </w:t>
      </w:r>
      <w:r w:rsidRPr="00D83E92">
        <w:rPr>
          <w:rFonts w:ascii="Palatino Linotype" w:eastAsia="Palatino Linotype" w:hAnsi="Palatino Linotype" w:cs="Palatino Linotype"/>
          <w:b/>
          <w:bCs/>
        </w:rPr>
        <w:t>Ayuntamiento de Cuautitlán Izcalli</w:t>
      </w:r>
      <w:r w:rsidRPr="00D83E92">
        <w:rPr>
          <w:rFonts w:ascii="Palatino Linotype" w:eastAsia="Palatino Linotype" w:hAnsi="Palatino Linotype" w:cs="Palatino Linotype"/>
          <w:b/>
        </w:rPr>
        <w:t xml:space="preserve">, </w:t>
      </w:r>
      <w:r w:rsidRPr="00D83E92">
        <w:rPr>
          <w:rFonts w:ascii="Palatino Linotype" w:eastAsia="Palatino Linotype" w:hAnsi="Palatino Linotype" w:cs="Palatino Linotype"/>
        </w:rPr>
        <w:t>en lo sucesivo el</w:t>
      </w:r>
      <w:r w:rsidRPr="00D83E92">
        <w:rPr>
          <w:rFonts w:ascii="Palatino Linotype" w:eastAsia="Palatino Linotype" w:hAnsi="Palatino Linotype" w:cs="Palatino Linotype"/>
          <w:b/>
        </w:rPr>
        <w:t xml:space="preserve"> Sujeto Obligado</w:t>
      </w:r>
      <w:r w:rsidRPr="00D83E92">
        <w:rPr>
          <w:rFonts w:ascii="Palatino Linotype" w:eastAsia="Palatino Linotype" w:hAnsi="Palatino Linotype" w:cs="Palatino Linotype"/>
        </w:rPr>
        <w:t xml:space="preserve">, se procede a dictar la presente Resolución con base en los siguientes: </w:t>
      </w:r>
    </w:p>
    <w:p w:rsidR="005B5F6D" w:rsidRPr="00D83E92" w:rsidRDefault="00DF0D09">
      <w:pPr>
        <w:spacing w:before="240" w:after="240" w:line="360" w:lineRule="auto"/>
        <w:jc w:val="center"/>
        <w:rPr>
          <w:rFonts w:ascii="Palatino Linotype" w:eastAsia="Palatino Linotype" w:hAnsi="Palatino Linotype" w:cs="Palatino Linotype"/>
          <w:b/>
        </w:rPr>
      </w:pPr>
      <w:r w:rsidRPr="00D83E92">
        <w:rPr>
          <w:rFonts w:ascii="Palatino Linotype" w:eastAsia="Palatino Linotype" w:hAnsi="Palatino Linotype" w:cs="Palatino Linotype"/>
          <w:b/>
        </w:rPr>
        <w:t>A N T E C E D E N T E S</w:t>
      </w:r>
    </w:p>
    <w:p w:rsidR="005B5F6D" w:rsidRPr="00D83E92" w:rsidRDefault="00DF0D09">
      <w:pPr>
        <w:numPr>
          <w:ilvl w:val="0"/>
          <w:numId w:val="1"/>
        </w:numPr>
        <w:spacing w:line="360" w:lineRule="auto"/>
        <w:ind w:left="0" w:firstLine="0"/>
        <w:jc w:val="both"/>
        <w:rPr>
          <w:rFonts w:ascii="Palatino Linotype" w:eastAsia="Palatino Linotype" w:hAnsi="Palatino Linotype" w:cs="Palatino Linotype"/>
          <w:color w:val="000000"/>
        </w:rPr>
      </w:pPr>
      <w:r w:rsidRPr="00D83E92">
        <w:rPr>
          <w:rFonts w:ascii="Palatino Linotype" w:eastAsia="Palatino Linotype" w:hAnsi="Palatino Linotype" w:cs="Palatino Linotype"/>
          <w:b/>
          <w:color w:val="000000"/>
        </w:rPr>
        <w:t xml:space="preserve">Solicitud de Acceso a Datos. </w:t>
      </w:r>
      <w:r w:rsidRPr="00D83E92">
        <w:rPr>
          <w:rFonts w:ascii="Palatino Linotype" w:eastAsia="Palatino Linotype" w:hAnsi="Palatino Linotype" w:cs="Palatino Linotype"/>
          <w:color w:val="000000"/>
        </w:rPr>
        <w:t xml:space="preserve">En fecha </w:t>
      </w:r>
      <w:r w:rsidRPr="00D83E92">
        <w:rPr>
          <w:rFonts w:ascii="Palatino Linotype" w:eastAsia="Palatino Linotype" w:hAnsi="Palatino Linotype" w:cs="Palatino Linotype"/>
          <w:b/>
          <w:color w:val="000000"/>
          <w:lang w:val="es-ES"/>
        </w:rPr>
        <w:t>trece de septiembre de dos mil veinticuatro</w:t>
      </w:r>
      <w:r w:rsidRPr="00D83E92">
        <w:rPr>
          <w:rFonts w:ascii="Palatino Linotype" w:eastAsia="Palatino Linotype" w:hAnsi="Palatino Linotype" w:cs="Palatino Linotype"/>
          <w:color w:val="000000"/>
        </w:rPr>
        <w:t xml:space="preserve">, la </w:t>
      </w:r>
      <w:r w:rsidRPr="00D83E92">
        <w:rPr>
          <w:rFonts w:ascii="Palatino Linotype" w:eastAsia="Palatino Linotype" w:hAnsi="Palatino Linotype" w:cs="Palatino Linotype"/>
          <w:b/>
          <w:color w:val="000000"/>
        </w:rPr>
        <w:t>Recurrente</w:t>
      </w:r>
      <w:r w:rsidRPr="00D83E92">
        <w:rPr>
          <w:rFonts w:ascii="Palatino Linotype" w:eastAsia="Palatino Linotype" w:hAnsi="Palatino Linotype" w:cs="Palatino Linotype"/>
          <w:color w:val="000000"/>
        </w:rPr>
        <w:t xml:space="preserve"> presentó a través del Sistema de Acceso, Rectificación, Cancelación y Oposición de Datos Personales en el Estado de México en lo subsecuente SARCOEM, ante el </w:t>
      </w:r>
      <w:r w:rsidRPr="00D83E92">
        <w:rPr>
          <w:rFonts w:ascii="Palatino Linotype" w:eastAsia="Palatino Linotype" w:hAnsi="Palatino Linotype" w:cs="Palatino Linotype"/>
          <w:b/>
          <w:color w:val="000000"/>
        </w:rPr>
        <w:t>Sujeto Obligado</w:t>
      </w:r>
      <w:r w:rsidRPr="00D83E92">
        <w:rPr>
          <w:rFonts w:ascii="Palatino Linotype" w:eastAsia="Palatino Linotype" w:hAnsi="Palatino Linotype" w:cs="Palatino Linotype"/>
          <w:color w:val="000000"/>
        </w:rPr>
        <w:t xml:space="preserve">, la solicitud de acceso a datos personales, a la que se le asignó el número de expediente </w:t>
      </w:r>
      <w:r w:rsidRPr="00D83E92">
        <w:rPr>
          <w:rFonts w:ascii="Palatino Linotype" w:eastAsia="Palatino Linotype" w:hAnsi="Palatino Linotype" w:cs="Palatino Linotype"/>
          <w:b/>
          <w:color w:val="000000"/>
        </w:rPr>
        <w:t xml:space="preserve"> </w:t>
      </w:r>
      <w:r w:rsidRPr="00D83E92">
        <w:rPr>
          <w:rFonts w:ascii="Palatino Linotype" w:eastAsia="Palatino Linotype" w:hAnsi="Palatino Linotype" w:cs="Palatino Linotype"/>
          <w:b/>
          <w:bCs/>
          <w:color w:val="000000"/>
        </w:rPr>
        <w:t xml:space="preserve">00002/CUAUTIZC/AD/2024 </w:t>
      </w:r>
      <w:r w:rsidRPr="00D83E92">
        <w:rPr>
          <w:rFonts w:ascii="Palatino Linotype" w:eastAsia="Palatino Linotype" w:hAnsi="Palatino Linotype" w:cs="Palatino Linotype"/>
          <w:color w:val="000000"/>
        </w:rPr>
        <w:t xml:space="preserve">en  la que requirió el acceso a lo siguiente: </w:t>
      </w:r>
    </w:p>
    <w:p w:rsidR="005B5F6D" w:rsidRPr="00D83E92" w:rsidRDefault="005B5F6D">
      <w:pPr>
        <w:spacing w:line="360" w:lineRule="auto"/>
        <w:jc w:val="both"/>
        <w:rPr>
          <w:rFonts w:ascii="Palatino Linotype" w:eastAsia="Palatino Linotype" w:hAnsi="Palatino Linotype" w:cs="Palatino Linotype"/>
        </w:rPr>
      </w:pPr>
    </w:p>
    <w:p w:rsidR="005B5F6D" w:rsidRPr="00D83E92" w:rsidRDefault="00DF0D09">
      <w:pPr>
        <w:ind w:left="1134" w:right="900"/>
        <w:jc w:val="both"/>
        <w:rPr>
          <w:rFonts w:ascii="Palatino Linotype" w:hAnsi="Palatino Linotype"/>
          <w:i/>
          <w:color w:val="000000"/>
          <w:sz w:val="22"/>
          <w:szCs w:val="22"/>
        </w:rPr>
      </w:pPr>
      <w:r w:rsidRPr="00D83E92">
        <w:rPr>
          <w:rFonts w:ascii="Palatino Linotype" w:hAnsi="Palatino Linotype"/>
          <w:i/>
          <w:color w:val="000000"/>
          <w:sz w:val="22"/>
          <w:szCs w:val="22"/>
        </w:rPr>
        <w:t xml:space="preserve">“Quien suscribe la presente solicitud de Derechos ARCOP de nombre </w:t>
      </w:r>
      <w:r w:rsidR="00D83E92" w:rsidRPr="00D83E92">
        <w:rPr>
          <w:rFonts w:ascii="Palatino Linotype" w:hAnsi="Palatino Linotype"/>
          <w:i/>
          <w:color w:val="000000"/>
          <w:sz w:val="22"/>
          <w:szCs w:val="22"/>
        </w:rPr>
        <w:t>XXXXXXXX</w:t>
      </w:r>
      <w:r w:rsidRPr="00D83E92">
        <w:rPr>
          <w:rFonts w:ascii="Palatino Linotype" w:hAnsi="Palatino Linotype"/>
          <w:i/>
          <w:color w:val="000000"/>
          <w:sz w:val="22"/>
          <w:szCs w:val="22"/>
        </w:rPr>
        <w:t xml:space="preserve"> solicito de la manera más atenta a la Secretaría General de Gobierno, al Municipio de </w:t>
      </w:r>
      <w:proofErr w:type="spellStart"/>
      <w:r w:rsidRPr="00D83E92">
        <w:rPr>
          <w:rFonts w:ascii="Palatino Linotype" w:hAnsi="Palatino Linotype"/>
          <w:i/>
          <w:color w:val="000000"/>
          <w:sz w:val="22"/>
          <w:szCs w:val="22"/>
        </w:rPr>
        <w:t>Cuautitlan</w:t>
      </w:r>
      <w:proofErr w:type="spellEnd"/>
      <w:r w:rsidRPr="00D83E92">
        <w:rPr>
          <w:rFonts w:ascii="Palatino Linotype" w:hAnsi="Palatino Linotype"/>
          <w:i/>
          <w:color w:val="000000"/>
          <w:sz w:val="22"/>
          <w:szCs w:val="22"/>
        </w:rPr>
        <w:t xml:space="preserve"> Izcalli, OPERAGUA y Secretaría de Finanzas del Estado de México, se sirvan informar, así como proporcionar en vía digital los tramites, solicitudes, pagos de derechos así como de impuestos de la persona moral SUZUKI MOTOR DE MÉXICO S.A. DE C.V. y/o SUZUKI SERVICIOS DE MÉXICO S.A. DE C.V. por el periodo comprendido del 5 de junio de 2020 a la fecha. Lo anterior debido a diversos trámites personales, ya que la empresa antes mencionada a estado usando mi nombre para dichos tramites sin </w:t>
      </w:r>
      <w:r w:rsidRPr="00D83E92">
        <w:rPr>
          <w:rFonts w:ascii="Palatino Linotype" w:hAnsi="Palatino Linotype"/>
          <w:i/>
          <w:color w:val="000000"/>
          <w:sz w:val="22"/>
          <w:szCs w:val="22"/>
        </w:rPr>
        <w:lastRenderedPageBreak/>
        <w:t xml:space="preserve">mi consentimiento. De lo anterior solicito de la manera más atenta la información sea enviada por vía digital al correo </w:t>
      </w:r>
      <w:r w:rsidR="00D83E92" w:rsidRPr="00D83E92">
        <w:rPr>
          <w:rFonts w:ascii="Palatino Linotype" w:hAnsi="Palatino Linotype"/>
          <w:i/>
          <w:color w:val="000000"/>
          <w:sz w:val="22"/>
          <w:szCs w:val="22"/>
        </w:rPr>
        <w:t>XXXXXXXX</w:t>
      </w:r>
      <w:r w:rsidRPr="00D83E92">
        <w:rPr>
          <w:rFonts w:ascii="Palatino Linotype" w:hAnsi="Palatino Linotype"/>
          <w:i/>
          <w:color w:val="000000"/>
          <w:sz w:val="22"/>
          <w:szCs w:val="22"/>
        </w:rPr>
        <w:t>.” (Sic)</w:t>
      </w:r>
    </w:p>
    <w:p w:rsidR="005B5F6D" w:rsidRPr="00D83E92" w:rsidRDefault="005B5F6D">
      <w:pPr>
        <w:spacing w:line="276" w:lineRule="auto"/>
        <w:jc w:val="both"/>
        <w:rPr>
          <w:rFonts w:ascii="Palatino Linotype" w:eastAsia="Palatino Linotype" w:hAnsi="Palatino Linotype" w:cs="Palatino Linotype"/>
          <w:b/>
        </w:rPr>
      </w:pPr>
    </w:p>
    <w:p w:rsidR="005B5F6D" w:rsidRPr="00D83E92" w:rsidRDefault="00DF0D09">
      <w:pPr>
        <w:spacing w:line="360" w:lineRule="auto"/>
        <w:ind w:left="1134"/>
        <w:jc w:val="both"/>
        <w:rPr>
          <w:rFonts w:ascii="Palatino Linotype" w:eastAsia="Palatino Linotype" w:hAnsi="Palatino Linotype" w:cs="Palatino Linotype"/>
        </w:rPr>
      </w:pPr>
      <w:r w:rsidRPr="00D83E92">
        <w:rPr>
          <w:rFonts w:ascii="Palatino Linotype" w:eastAsia="Palatino Linotype" w:hAnsi="Palatino Linotype" w:cs="Palatino Linotype"/>
        </w:rPr>
        <w:t>Señaló como modalidad de acceso</w:t>
      </w:r>
      <w:r w:rsidRPr="00D83E92">
        <w:rPr>
          <w:rFonts w:ascii="Palatino Linotype" w:eastAsia="Palatino Linotype" w:hAnsi="Palatino Linotype" w:cs="Palatino Linotype"/>
          <w:b/>
        </w:rPr>
        <w:t>:</w:t>
      </w:r>
      <w:r w:rsidRPr="00D83E92">
        <w:rPr>
          <w:rFonts w:ascii="Palatino Linotype" w:eastAsia="Palatino Linotype" w:hAnsi="Palatino Linotype" w:cs="Palatino Linotype"/>
        </w:rPr>
        <w:t xml:space="preserve"> </w:t>
      </w:r>
      <w:r w:rsidRPr="00D83E92">
        <w:rPr>
          <w:rFonts w:ascii="Palatino Linotype" w:eastAsia="Palatino Linotype" w:hAnsi="Palatino Linotype" w:cs="Palatino Linotype"/>
          <w:b/>
        </w:rPr>
        <w:t>Información en medio electrónico facilitado por el titular</w:t>
      </w:r>
      <w:r w:rsidRPr="00D83E92">
        <w:rPr>
          <w:rFonts w:ascii="Palatino Linotype" w:eastAsia="Palatino Linotype" w:hAnsi="Palatino Linotype" w:cs="Palatino Linotype"/>
        </w:rPr>
        <w:t>.</w:t>
      </w:r>
    </w:p>
    <w:p w:rsidR="005B5F6D" w:rsidRPr="00D83E92" w:rsidRDefault="005B5F6D">
      <w:pPr>
        <w:ind w:left="1134"/>
        <w:jc w:val="both"/>
        <w:rPr>
          <w:rFonts w:ascii="Palatino Linotype" w:eastAsia="Palatino Linotype" w:hAnsi="Palatino Linotype" w:cs="Palatino Linotype"/>
          <w:b/>
          <w:u w:val="single"/>
        </w:rPr>
      </w:pPr>
    </w:p>
    <w:p w:rsidR="005B5F6D" w:rsidRPr="00D83E92" w:rsidRDefault="00DF0D09">
      <w:pPr>
        <w:spacing w:line="360" w:lineRule="auto"/>
        <w:ind w:left="1134"/>
        <w:jc w:val="both"/>
        <w:rPr>
          <w:rFonts w:ascii="Palatino Linotype" w:hAnsi="Palatino Linotype"/>
          <w:color w:val="000000"/>
          <w:szCs w:val="22"/>
        </w:rPr>
      </w:pPr>
      <w:r w:rsidRPr="00D83E92">
        <w:rPr>
          <w:rFonts w:ascii="Palatino Linotype" w:eastAsia="Palatino Linotype" w:hAnsi="Palatino Linotype" w:cs="Palatino Linotype"/>
          <w:color w:val="000000"/>
        </w:rPr>
        <w:t xml:space="preserve">Al momento de solicitar la información </w:t>
      </w:r>
      <w:r w:rsidRPr="00D83E92">
        <w:rPr>
          <w:rFonts w:ascii="Palatino Linotype" w:hAnsi="Palatino Linotype"/>
          <w:color w:val="000000"/>
          <w:szCs w:val="22"/>
        </w:rPr>
        <w:t>el particular adjuntó el archivo electrónico siguiente:</w:t>
      </w:r>
    </w:p>
    <w:p w:rsidR="005B5F6D" w:rsidRPr="00D83E92" w:rsidRDefault="005B5F6D">
      <w:pPr>
        <w:ind w:left="1134"/>
        <w:jc w:val="both"/>
        <w:rPr>
          <w:rFonts w:ascii="Palatino Linotype" w:hAnsi="Palatino Linotype"/>
          <w:color w:val="000000"/>
          <w:szCs w:val="22"/>
        </w:rPr>
      </w:pPr>
    </w:p>
    <w:p w:rsidR="005B5F6D" w:rsidRPr="00D83E92" w:rsidRDefault="00DF0D09">
      <w:pPr>
        <w:ind w:left="1134" w:right="900"/>
        <w:jc w:val="both"/>
        <w:rPr>
          <w:rFonts w:ascii="Palatino Linotype" w:hAnsi="Palatino Linotype"/>
          <w:b/>
          <w:i/>
          <w:color w:val="000000"/>
          <w:sz w:val="22"/>
          <w:szCs w:val="22"/>
        </w:rPr>
      </w:pPr>
      <w:r w:rsidRPr="00D83E92">
        <w:rPr>
          <w:rFonts w:ascii="Palatino Linotype" w:hAnsi="Palatino Linotype"/>
          <w:b/>
          <w:i/>
          <w:color w:val="000000"/>
          <w:sz w:val="22"/>
          <w:szCs w:val="22"/>
        </w:rPr>
        <w:t>EOP INE Actual Oficial.pdf</w:t>
      </w:r>
    </w:p>
    <w:p w:rsidR="005B5F6D" w:rsidRPr="00D83E92" w:rsidRDefault="00DF0D09">
      <w:pPr>
        <w:ind w:left="1134" w:right="900"/>
        <w:jc w:val="both"/>
        <w:rPr>
          <w:rFonts w:ascii="Palatino Linotype" w:eastAsia="Palatino Linotype" w:hAnsi="Palatino Linotype" w:cs="Palatino Linotype"/>
          <w:color w:val="000000"/>
          <w:sz w:val="22"/>
          <w:szCs w:val="22"/>
        </w:rPr>
      </w:pPr>
      <w:r w:rsidRPr="00D83E92">
        <w:rPr>
          <w:rFonts w:ascii="Palatino Linotype" w:eastAsia="Palatino Linotype" w:hAnsi="Palatino Linotype" w:cs="Palatino Linotype"/>
          <w:color w:val="000000"/>
          <w:sz w:val="22"/>
          <w:szCs w:val="22"/>
        </w:rPr>
        <w:t xml:space="preserve">Consistente en copia de credencial para votar expedida por el INE a nombre de </w:t>
      </w:r>
      <w:r w:rsidR="00D83E92" w:rsidRPr="00D83E92">
        <w:rPr>
          <w:rFonts w:ascii="Palatino Linotype" w:eastAsia="Palatino Linotype" w:hAnsi="Palatino Linotype" w:cs="Palatino Linotype"/>
          <w:color w:val="000000"/>
          <w:sz w:val="22"/>
          <w:szCs w:val="22"/>
        </w:rPr>
        <w:t>XXXXXXXXX</w:t>
      </w:r>
    </w:p>
    <w:p w:rsidR="005B5F6D" w:rsidRPr="00D83E92" w:rsidRDefault="005B5F6D">
      <w:pPr>
        <w:ind w:left="567" w:right="900"/>
        <w:jc w:val="both"/>
        <w:rPr>
          <w:rFonts w:ascii="Palatino Linotype" w:eastAsia="Palatino Linotype" w:hAnsi="Palatino Linotype" w:cs="Palatino Linotype"/>
          <w:color w:val="000000"/>
          <w:sz w:val="22"/>
          <w:szCs w:val="22"/>
        </w:rPr>
      </w:pPr>
    </w:p>
    <w:p w:rsidR="005B5F6D" w:rsidRPr="00D83E92" w:rsidRDefault="00DF0D09">
      <w:pPr>
        <w:numPr>
          <w:ilvl w:val="0"/>
          <w:numId w:val="1"/>
        </w:numPr>
        <w:spacing w:line="360" w:lineRule="auto"/>
        <w:ind w:left="0" w:firstLine="0"/>
        <w:jc w:val="both"/>
        <w:rPr>
          <w:rFonts w:ascii="Palatino Linotype" w:eastAsia="Palatino Linotype" w:hAnsi="Palatino Linotype" w:cs="Palatino Linotype"/>
          <w:lang w:val="es-ES"/>
        </w:rPr>
      </w:pPr>
      <w:r w:rsidRPr="00D83E92">
        <w:rPr>
          <w:rFonts w:ascii="Palatino Linotype" w:eastAsia="Palatino Linotype" w:hAnsi="Palatino Linotype" w:cs="Palatino Linotype"/>
          <w:color w:val="000000"/>
        </w:rPr>
        <w:t xml:space="preserve">En fecha </w:t>
      </w:r>
      <w:r w:rsidRPr="00D83E92">
        <w:rPr>
          <w:rFonts w:ascii="Palatino Linotype" w:eastAsia="Palatino Linotype" w:hAnsi="Palatino Linotype" w:cs="Palatino Linotype"/>
          <w:b/>
          <w:color w:val="000000"/>
          <w:lang w:val="es-ES"/>
        </w:rPr>
        <w:t>veintitrés de septiembre de dos mil veinticuatro</w:t>
      </w:r>
      <w:r w:rsidRPr="00D83E92">
        <w:rPr>
          <w:rFonts w:ascii="Palatino Linotype" w:eastAsia="Palatino Linotype" w:hAnsi="Palatino Linotype" w:cs="Palatino Linotype"/>
          <w:color w:val="000000"/>
        </w:rPr>
        <w:t xml:space="preserve">, el </w:t>
      </w:r>
      <w:r w:rsidRPr="00D83E92">
        <w:rPr>
          <w:rFonts w:ascii="Palatino Linotype" w:eastAsia="Palatino Linotype" w:hAnsi="Palatino Linotype" w:cs="Palatino Linotype"/>
          <w:b/>
          <w:color w:val="000000"/>
        </w:rPr>
        <w:t>Sujeto Obligado</w:t>
      </w:r>
      <w:r w:rsidRPr="00D83E92">
        <w:rPr>
          <w:rFonts w:ascii="Palatino Linotype" w:eastAsia="Palatino Linotype" w:hAnsi="Palatino Linotype" w:cs="Palatino Linotype"/>
          <w:color w:val="000000"/>
        </w:rPr>
        <w:t xml:space="preserve">, </w:t>
      </w:r>
      <w:r w:rsidRPr="00D83E92">
        <w:rPr>
          <w:rFonts w:ascii="Palatino Linotype" w:eastAsia="Palatino Linotype" w:hAnsi="Palatino Linotype" w:cs="Palatino Linotype"/>
          <w:lang w:val="es-ES"/>
        </w:rPr>
        <w:t xml:space="preserve">realizó un requerimiento al solicitante señalando que no es posible dar contestación al requerimiento ya que si bien anexa documento de identificación personal, </w:t>
      </w:r>
      <w:r w:rsidRPr="00D83E92">
        <w:rPr>
          <w:rFonts w:ascii="Palatino Linotype" w:eastAsia="Palatino Linotype" w:hAnsi="Palatino Linotype" w:cs="Palatino Linotype"/>
          <w:i/>
          <w:lang w:val="es-ES"/>
        </w:rPr>
        <w:t>“</w:t>
      </w:r>
      <w:r w:rsidRPr="00D83E92">
        <w:rPr>
          <w:rFonts w:ascii="Palatino Linotype" w:eastAsia="Palatino Linotype" w:hAnsi="Palatino Linotype" w:cs="Palatino Linotype"/>
          <w:b/>
          <w:i/>
          <w:lang w:val="es-ES"/>
        </w:rPr>
        <w:t xml:space="preserve">no anexa documento legal que acredite ser representante legal </w:t>
      </w:r>
      <w:r w:rsidRPr="00D83E92">
        <w:rPr>
          <w:rFonts w:ascii="Palatino Linotype" w:hAnsi="Palatino Linotype"/>
          <w:b/>
          <w:i/>
          <w:color w:val="000000"/>
          <w:szCs w:val="22"/>
        </w:rPr>
        <w:t>de la persona moral SUZUKI MOTOR DE MÉXICO S.A. DE C.V</w:t>
      </w:r>
      <w:r w:rsidRPr="00D83E92">
        <w:rPr>
          <w:rFonts w:ascii="Palatino Linotype" w:hAnsi="Palatino Linotype"/>
          <w:i/>
          <w:color w:val="000000"/>
          <w:szCs w:val="22"/>
        </w:rPr>
        <w:t>., motivo por el cual su solicitud no cumple con los requisitos establecidos en el artículo 110 fracción segunda de la Ley de Protección de Datos Personales en Posesión de Sujetos Obligados del Estado de México y Municipios”,</w:t>
      </w:r>
      <w:r w:rsidRPr="00D83E92">
        <w:rPr>
          <w:rFonts w:ascii="Palatino Linotype" w:hAnsi="Palatino Linotype"/>
          <w:color w:val="000000"/>
          <w:szCs w:val="22"/>
        </w:rPr>
        <w:t xml:space="preserve"> informándole que es requisito acreditar la personalidad e interés jurídico.</w:t>
      </w:r>
    </w:p>
    <w:p w:rsidR="005B5F6D" w:rsidRPr="00D83E92" w:rsidRDefault="005B5F6D">
      <w:pPr>
        <w:spacing w:line="360" w:lineRule="auto"/>
        <w:ind w:right="1183"/>
        <w:jc w:val="both"/>
        <w:rPr>
          <w:rFonts w:ascii="Palatino Linotype" w:eastAsia="Palatino Linotype" w:hAnsi="Palatino Linotype" w:cs="Palatino Linotype"/>
          <w:i/>
          <w:color w:val="000000"/>
        </w:rPr>
      </w:pPr>
    </w:p>
    <w:p w:rsidR="005B5F6D" w:rsidRPr="00D83E92" w:rsidRDefault="00DF0D09">
      <w:pPr>
        <w:numPr>
          <w:ilvl w:val="0"/>
          <w:numId w:val="1"/>
        </w:numPr>
        <w:spacing w:line="360" w:lineRule="auto"/>
        <w:ind w:left="0" w:firstLine="0"/>
        <w:jc w:val="both"/>
        <w:rPr>
          <w:rFonts w:ascii="Palatino Linotype" w:eastAsia="Palatino Linotype" w:hAnsi="Palatino Linotype" w:cs="Palatino Linotype"/>
          <w:color w:val="000000"/>
        </w:rPr>
      </w:pPr>
      <w:r w:rsidRPr="00D83E92">
        <w:rPr>
          <w:rFonts w:ascii="Palatino Linotype" w:eastAsia="Palatino Linotype" w:hAnsi="Palatino Linotype" w:cs="Palatino Linotype"/>
          <w:color w:val="000000"/>
        </w:rPr>
        <w:t xml:space="preserve">El </w:t>
      </w:r>
      <w:r w:rsidRPr="00D83E92">
        <w:rPr>
          <w:rFonts w:ascii="Palatino Linotype" w:eastAsia="Palatino Linotype" w:hAnsi="Palatino Linotype" w:cs="Palatino Linotype"/>
          <w:b/>
          <w:color w:val="000000"/>
        </w:rPr>
        <w:t>veintiséis de septiembre de dos mil veinticuatro</w:t>
      </w:r>
      <w:r w:rsidRPr="00D83E92">
        <w:rPr>
          <w:rFonts w:ascii="Palatino Linotype" w:eastAsia="Palatino Linotype" w:hAnsi="Palatino Linotype" w:cs="Palatino Linotype"/>
          <w:color w:val="000000"/>
        </w:rPr>
        <w:t>, el particular realizó la aclaración a la solicitud de información manifestando lo siguiente:</w:t>
      </w:r>
    </w:p>
    <w:p w:rsidR="005B5F6D" w:rsidRPr="00D83E92" w:rsidRDefault="00DF0D09">
      <w:pPr>
        <w:ind w:left="1134" w:right="900"/>
        <w:jc w:val="both"/>
        <w:rPr>
          <w:rFonts w:ascii="Palatino Linotype" w:eastAsia="Palatino Linotype" w:hAnsi="Palatino Linotype" w:cs="Palatino Linotype"/>
          <w:i/>
          <w:color w:val="000000"/>
        </w:rPr>
      </w:pPr>
      <w:r w:rsidRPr="00D83E92">
        <w:rPr>
          <w:rFonts w:ascii="Palatino Linotype" w:eastAsia="Palatino Linotype" w:hAnsi="Palatino Linotype" w:cs="Palatino Linotype"/>
          <w:i/>
          <w:color w:val="000000"/>
        </w:rPr>
        <w:t xml:space="preserve">“EN NINGUN MOEMNTO ESTOY HABLANDO DE UN REPRESENTANTE LEGAL AUNADO A LO ANTERIOR INGRESE MI INE POR LO QUE ES PARTICULAR QUIEN ESTA SOLICITANDO, AUNADO A LO ANTERIOR QUIEN RECOGE LA INFORMACIÓN SEA YO O UN TERCERO DEBERA D ACUDIR CON CARTA PODER OTORGADA POR MI PERSONA, POR LO </w:t>
      </w:r>
      <w:r w:rsidRPr="00D83E92">
        <w:rPr>
          <w:rFonts w:ascii="Palatino Linotype" w:eastAsia="Palatino Linotype" w:hAnsi="Palatino Linotype" w:cs="Palatino Linotype"/>
          <w:i/>
          <w:color w:val="000000"/>
        </w:rPr>
        <w:lastRenderedPageBreak/>
        <w:t>QUE NO TIENE NADA QUE VER LO QUE MENCIONA EL SUJETO OBLIGADO” (Sic)</w:t>
      </w:r>
    </w:p>
    <w:p w:rsidR="005B5F6D" w:rsidRPr="00D83E92" w:rsidRDefault="005B5F6D">
      <w:pPr>
        <w:ind w:left="1134" w:right="900"/>
        <w:jc w:val="both"/>
        <w:rPr>
          <w:rFonts w:ascii="Palatino Linotype" w:eastAsia="Palatino Linotype" w:hAnsi="Palatino Linotype" w:cs="Palatino Linotype"/>
          <w:i/>
          <w:color w:val="000000"/>
        </w:rPr>
      </w:pPr>
    </w:p>
    <w:p w:rsidR="005B5F6D" w:rsidRPr="00D83E92" w:rsidRDefault="00DF0D09">
      <w:pPr>
        <w:numPr>
          <w:ilvl w:val="0"/>
          <w:numId w:val="1"/>
        </w:numPr>
        <w:spacing w:line="360" w:lineRule="auto"/>
        <w:ind w:left="0" w:firstLine="0"/>
        <w:jc w:val="both"/>
        <w:rPr>
          <w:rFonts w:ascii="Palatino Linotype" w:eastAsia="Palatino Linotype" w:hAnsi="Palatino Linotype" w:cs="Palatino Linotype"/>
          <w:i/>
          <w:color w:val="000000"/>
        </w:rPr>
      </w:pPr>
      <w:r w:rsidRPr="00D83E92">
        <w:rPr>
          <w:rFonts w:ascii="Palatino Linotype" w:eastAsia="Palatino Linotype" w:hAnsi="Palatino Linotype" w:cs="Palatino Linotype"/>
          <w:color w:val="000000"/>
        </w:rPr>
        <w:t xml:space="preserve">El </w:t>
      </w:r>
      <w:r w:rsidRPr="00D83E92">
        <w:rPr>
          <w:rFonts w:ascii="Palatino Linotype" w:hAnsi="Palatino Linotype"/>
          <w:b/>
          <w:color w:val="000000"/>
          <w:szCs w:val="22"/>
        </w:rPr>
        <w:t>veinticinco de octubre de dos mil veinticuatro,</w:t>
      </w:r>
      <w:r w:rsidRPr="00D83E92">
        <w:rPr>
          <w:rFonts w:ascii="Palatino Linotype" w:eastAsia="Palatino Linotype" w:hAnsi="Palatino Linotype" w:cs="Palatino Linotype"/>
          <w:color w:val="000000"/>
        </w:rPr>
        <w:t xml:space="preserve"> el </w:t>
      </w:r>
      <w:r w:rsidRPr="00D83E92">
        <w:rPr>
          <w:rFonts w:ascii="Palatino Linotype" w:eastAsia="Palatino Linotype" w:hAnsi="Palatino Linotype" w:cs="Palatino Linotype"/>
          <w:b/>
          <w:color w:val="000000"/>
        </w:rPr>
        <w:t xml:space="preserve">SUJETO OBLIGADO </w:t>
      </w:r>
      <w:r w:rsidRPr="00D83E92">
        <w:rPr>
          <w:rFonts w:ascii="Palatino Linotype" w:eastAsia="Palatino Linotype" w:hAnsi="Palatino Linotype" w:cs="Palatino Linotype"/>
          <w:color w:val="000000"/>
        </w:rPr>
        <w:t xml:space="preserve">otorga </w:t>
      </w:r>
      <w:r w:rsidRPr="00D83E92">
        <w:rPr>
          <w:rFonts w:ascii="Palatino Linotype" w:eastAsia="Palatino Linotype" w:hAnsi="Palatino Linotype" w:cs="Palatino Linotype"/>
          <w:b/>
          <w:color w:val="000000"/>
        </w:rPr>
        <w:t>respuesta</w:t>
      </w:r>
      <w:r w:rsidRPr="00D83E92">
        <w:rPr>
          <w:rFonts w:ascii="Palatino Linotype" w:eastAsia="Palatino Linotype" w:hAnsi="Palatino Linotype" w:cs="Palatino Linotype"/>
          <w:color w:val="000000"/>
        </w:rPr>
        <w:t xml:space="preserve"> a través del archivo digital que se describe a continuación:</w:t>
      </w:r>
    </w:p>
    <w:p w:rsidR="005B5F6D" w:rsidRPr="00D83E92" w:rsidRDefault="00DF0D09">
      <w:pPr>
        <w:ind w:left="1134"/>
        <w:jc w:val="both"/>
        <w:rPr>
          <w:rFonts w:ascii="Palatino Linotype" w:eastAsia="Palatino Linotype" w:hAnsi="Palatino Linotype" w:cs="Palatino Linotype"/>
          <w:b/>
          <w:i/>
          <w:color w:val="000000"/>
          <w:sz w:val="22"/>
          <w:szCs w:val="22"/>
        </w:rPr>
      </w:pPr>
      <w:r w:rsidRPr="00D83E92">
        <w:rPr>
          <w:rFonts w:ascii="Palatino Linotype" w:eastAsia="Palatino Linotype" w:hAnsi="Palatino Linotype" w:cs="Palatino Linotype"/>
          <w:b/>
          <w:i/>
          <w:color w:val="000000"/>
          <w:sz w:val="22"/>
          <w:szCs w:val="22"/>
        </w:rPr>
        <w:t>20241025172225641</w:t>
      </w:r>
      <w:proofErr w:type="gramStart"/>
      <w:r w:rsidRPr="00D83E92">
        <w:rPr>
          <w:rFonts w:ascii="Palatino Linotype" w:eastAsia="Palatino Linotype" w:hAnsi="Palatino Linotype" w:cs="Palatino Linotype"/>
          <w:b/>
          <w:i/>
          <w:color w:val="000000"/>
          <w:sz w:val="22"/>
          <w:szCs w:val="22"/>
        </w:rPr>
        <w:t>.pdf</w:t>
      </w:r>
      <w:proofErr w:type="gramEnd"/>
    </w:p>
    <w:p w:rsidR="005B5F6D" w:rsidRPr="00D83E92" w:rsidRDefault="00DF0D09">
      <w:pPr>
        <w:ind w:left="1134"/>
        <w:jc w:val="both"/>
        <w:rPr>
          <w:rFonts w:ascii="Palatino Linotype" w:eastAsia="Palatino Linotype" w:hAnsi="Palatino Linotype" w:cs="Palatino Linotype"/>
          <w:color w:val="000000"/>
          <w:sz w:val="22"/>
          <w:szCs w:val="22"/>
        </w:rPr>
      </w:pPr>
      <w:r w:rsidRPr="00D83E92">
        <w:rPr>
          <w:rFonts w:ascii="Palatino Linotype" w:eastAsia="Palatino Linotype" w:hAnsi="Palatino Linotype" w:cs="Palatino Linotype"/>
          <w:color w:val="000000"/>
          <w:sz w:val="22"/>
          <w:szCs w:val="22"/>
        </w:rPr>
        <w:t>Oficio PM/CUT/12674/2024 firmado por la Coordinadora de Transparencia, en el que manifiesta:</w:t>
      </w:r>
    </w:p>
    <w:p w:rsidR="005B5F6D" w:rsidRPr="00D83E92" w:rsidRDefault="00DF0D09">
      <w:pPr>
        <w:pStyle w:val="Prrafodelista"/>
        <w:numPr>
          <w:ilvl w:val="0"/>
          <w:numId w:val="2"/>
        </w:numPr>
        <w:jc w:val="both"/>
        <w:rPr>
          <w:rFonts w:ascii="Palatino Linotype" w:eastAsia="Palatino Linotype" w:hAnsi="Palatino Linotype" w:cs="Palatino Linotype"/>
          <w:color w:val="000000"/>
          <w:sz w:val="22"/>
          <w:szCs w:val="22"/>
        </w:rPr>
      </w:pPr>
      <w:r w:rsidRPr="00D83E92">
        <w:rPr>
          <w:rFonts w:ascii="Palatino Linotype" w:eastAsia="Palatino Linotype" w:hAnsi="Palatino Linotype" w:cs="Palatino Linotype"/>
          <w:color w:val="000000"/>
          <w:sz w:val="22"/>
          <w:szCs w:val="22"/>
        </w:rPr>
        <w:t>No es posible dar contestación a lo requerido ya que no se anexa documento que acredite ser representante legal de la persona moral a la que alude y de quien pide los pagos. Informándole que es requisito acreditar la personalidad con la que actúe el representante.</w:t>
      </w:r>
    </w:p>
    <w:p w:rsidR="005B5F6D" w:rsidRPr="00D83E92" w:rsidRDefault="005B5F6D">
      <w:pPr>
        <w:pStyle w:val="Prrafodelista"/>
        <w:ind w:left="1854"/>
        <w:jc w:val="both"/>
        <w:rPr>
          <w:rFonts w:ascii="Palatino Linotype" w:eastAsia="Palatino Linotype" w:hAnsi="Palatino Linotype" w:cs="Palatino Linotype"/>
          <w:color w:val="000000"/>
          <w:sz w:val="22"/>
          <w:szCs w:val="22"/>
        </w:rPr>
      </w:pPr>
    </w:p>
    <w:p w:rsidR="005B5F6D" w:rsidRPr="00D83E92" w:rsidRDefault="00DF0D09">
      <w:pPr>
        <w:pStyle w:val="Prrafodelista"/>
        <w:numPr>
          <w:ilvl w:val="0"/>
          <w:numId w:val="2"/>
        </w:numPr>
        <w:jc w:val="both"/>
        <w:rPr>
          <w:rFonts w:ascii="Palatino Linotype" w:hAnsi="Palatino Linotype"/>
          <w:color w:val="000000"/>
          <w:sz w:val="22"/>
          <w:szCs w:val="22"/>
        </w:rPr>
      </w:pPr>
      <w:r w:rsidRPr="00D83E92">
        <w:rPr>
          <w:rFonts w:ascii="Palatino Linotype" w:hAnsi="Palatino Linotype"/>
          <w:color w:val="000000"/>
          <w:sz w:val="22"/>
          <w:szCs w:val="22"/>
        </w:rPr>
        <w:t xml:space="preserve">Conforme al Reglamento de Organización Interna de la Administración Pública del Municipio de Cuautitlán Izcalli, </w:t>
      </w:r>
      <w:r w:rsidRPr="00D83E92">
        <w:rPr>
          <w:rFonts w:ascii="Palatino Linotype" w:hAnsi="Palatino Linotype"/>
          <w:b/>
          <w:color w:val="000000"/>
          <w:sz w:val="22"/>
          <w:szCs w:val="22"/>
        </w:rPr>
        <w:t>la Secretaría General de Gobierno, OPERAGUA y la Secretaría de Finanzas del Estado de México</w:t>
      </w:r>
      <w:r w:rsidRPr="00D83E92">
        <w:rPr>
          <w:rFonts w:ascii="Palatino Linotype" w:hAnsi="Palatino Linotype"/>
          <w:color w:val="000000"/>
          <w:sz w:val="22"/>
          <w:szCs w:val="22"/>
        </w:rPr>
        <w:t>, no están adscritas al Ayuntamiento de Cuautitlán Izcalli.</w:t>
      </w:r>
    </w:p>
    <w:p w:rsidR="005B5F6D" w:rsidRPr="00D83E92" w:rsidRDefault="005B5F6D">
      <w:pPr>
        <w:pStyle w:val="Prrafodelista"/>
        <w:ind w:left="1854"/>
        <w:jc w:val="both"/>
        <w:rPr>
          <w:rFonts w:ascii="Palatino Linotype" w:hAnsi="Palatino Linotype"/>
          <w:color w:val="000000"/>
          <w:sz w:val="22"/>
          <w:szCs w:val="22"/>
        </w:rPr>
      </w:pPr>
    </w:p>
    <w:p w:rsidR="005B5F6D" w:rsidRPr="00D83E92" w:rsidRDefault="00DF0D09">
      <w:pPr>
        <w:pStyle w:val="Prrafodelista"/>
        <w:numPr>
          <w:ilvl w:val="0"/>
          <w:numId w:val="2"/>
        </w:numPr>
        <w:jc w:val="both"/>
        <w:rPr>
          <w:rFonts w:ascii="Palatino Linotype" w:hAnsi="Palatino Linotype"/>
          <w:color w:val="000000"/>
          <w:sz w:val="22"/>
          <w:szCs w:val="22"/>
        </w:rPr>
      </w:pPr>
      <w:r w:rsidRPr="00D83E92">
        <w:rPr>
          <w:rFonts w:ascii="Palatino Linotype" w:hAnsi="Palatino Linotype"/>
          <w:color w:val="000000"/>
          <w:sz w:val="22"/>
          <w:szCs w:val="22"/>
        </w:rPr>
        <w:t>El solicitante pretende acceder a “</w:t>
      </w:r>
      <w:r w:rsidRPr="00D83E92">
        <w:rPr>
          <w:rFonts w:ascii="Palatino Linotype" w:hAnsi="Palatino Linotype"/>
          <w:i/>
          <w:color w:val="000000"/>
          <w:sz w:val="22"/>
          <w:szCs w:val="22"/>
        </w:rPr>
        <w:t>los tramites, solicitudes, pagos de derechos, así como de impuestos de la persona moral SUZUKI MOTOR DE MÉXICO S.A. DE C.V. y/o SUZUKI SERVICIOS DE MÉXICO S.A. DE C.V. por el periodo comprendido del 5 de junio de 2020 a la fecha” (Sic)</w:t>
      </w:r>
      <w:r w:rsidRPr="00D83E92">
        <w:rPr>
          <w:rFonts w:ascii="Palatino Linotype" w:hAnsi="Palatino Linotype"/>
          <w:color w:val="000000"/>
          <w:sz w:val="22"/>
          <w:szCs w:val="22"/>
        </w:rPr>
        <w:t>, por lo que no es posible dar contestación a su solicitud ya que no anexa documento legal que acredite ser representante legal de la persona moral mencionada en este mismo párrafo.</w:t>
      </w:r>
    </w:p>
    <w:p w:rsidR="005B5F6D" w:rsidRPr="00D83E92" w:rsidRDefault="005B5F6D">
      <w:pPr>
        <w:spacing w:line="360" w:lineRule="auto"/>
        <w:jc w:val="both"/>
        <w:rPr>
          <w:rFonts w:ascii="Palatino Linotype" w:hAnsi="Palatino Linotype"/>
          <w:color w:val="000000"/>
          <w:szCs w:val="22"/>
        </w:rPr>
      </w:pPr>
    </w:p>
    <w:p w:rsidR="005B5F6D" w:rsidRPr="00D83E92" w:rsidRDefault="00DF0D09">
      <w:pPr>
        <w:ind w:left="1134" w:right="51"/>
        <w:jc w:val="both"/>
        <w:rPr>
          <w:rFonts w:ascii="Palatino Linotype" w:hAnsi="Palatino Linotype"/>
          <w:color w:val="000000"/>
          <w:sz w:val="22"/>
          <w:szCs w:val="22"/>
        </w:rPr>
      </w:pPr>
      <w:r w:rsidRPr="00D83E92">
        <w:rPr>
          <w:rFonts w:ascii="Palatino Linotype" w:hAnsi="Palatino Linotype"/>
          <w:color w:val="000000"/>
          <w:sz w:val="22"/>
          <w:szCs w:val="22"/>
        </w:rPr>
        <w:t>Por lo que se le exhorta a acudir a las oficinas de las Unidades de Transparencia del Organismo Público Descentralizado para la Prestación de los Servicios de Agua Potable, Alcantarillado y Saneamiento del Municipio de Cuautitlán Izcalli denominado OPERAGUA, a la Secretaría General de Gobierno y la Secretaría de Finanzas, estás dos últimas del Estado de México.</w:t>
      </w:r>
    </w:p>
    <w:p w:rsidR="005B5F6D" w:rsidRPr="00D83E92" w:rsidRDefault="005B5F6D">
      <w:pPr>
        <w:spacing w:line="360" w:lineRule="auto"/>
        <w:ind w:left="1134" w:right="1183"/>
        <w:jc w:val="both"/>
        <w:rPr>
          <w:rFonts w:ascii="Palatino Linotype" w:eastAsia="Palatino Linotype" w:hAnsi="Palatino Linotype" w:cs="Palatino Linotype"/>
          <w:i/>
          <w:color w:val="000000"/>
        </w:rPr>
      </w:pPr>
    </w:p>
    <w:p w:rsidR="005B5F6D" w:rsidRPr="00D83E92" w:rsidRDefault="00DF0D09">
      <w:pPr>
        <w:numPr>
          <w:ilvl w:val="0"/>
          <w:numId w:val="1"/>
        </w:numPr>
        <w:spacing w:line="360" w:lineRule="auto"/>
        <w:ind w:left="0" w:firstLine="0"/>
        <w:jc w:val="both"/>
        <w:rPr>
          <w:rFonts w:ascii="Palatino Linotype" w:eastAsia="Palatino Linotype" w:hAnsi="Palatino Linotype" w:cs="Palatino Linotype"/>
          <w:color w:val="000000"/>
        </w:rPr>
      </w:pPr>
      <w:r w:rsidRPr="00D83E92">
        <w:rPr>
          <w:rFonts w:ascii="Palatino Linotype" w:eastAsia="Palatino Linotype" w:hAnsi="Palatino Linotype" w:cs="Palatino Linotype"/>
          <w:color w:val="000000"/>
        </w:rPr>
        <w:t xml:space="preserve">El </w:t>
      </w:r>
      <w:r w:rsidRPr="00D83E92">
        <w:rPr>
          <w:rFonts w:ascii="Palatino Linotype" w:eastAsia="Palatino Linotype" w:hAnsi="Palatino Linotype" w:cs="Palatino Linotype"/>
          <w:b/>
          <w:color w:val="000000"/>
        </w:rPr>
        <w:t xml:space="preserve">veintiocho de octubre de dos mil veinticuatro, </w:t>
      </w:r>
      <w:r w:rsidRPr="00D83E92">
        <w:rPr>
          <w:rFonts w:ascii="Palatino Linotype" w:eastAsia="Palatino Linotype" w:hAnsi="Palatino Linotype" w:cs="Palatino Linotype"/>
          <w:color w:val="000000"/>
        </w:rPr>
        <w:t>se</w:t>
      </w:r>
      <w:r w:rsidRPr="00D83E92">
        <w:rPr>
          <w:rFonts w:ascii="Palatino Linotype" w:eastAsia="Palatino Linotype" w:hAnsi="Palatino Linotype" w:cs="Palatino Linotype"/>
          <w:b/>
          <w:color w:val="000000"/>
        </w:rPr>
        <w:t xml:space="preserve"> </w:t>
      </w:r>
      <w:r w:rsidRPr="00D83E92">
        <w:rPr>
          <w:rFonts w:ascii="Palatino Linotype" w:eastAsia="Palatino Linotype" w:hAnsi="Palatino Linotype" w:cs="Palatino Linotype"/>
          <w:color w:val="000000"/>
        </w:rPr>
        <w:t>interpuso el recurso de revisión bajo los siguientes términos:</w:t>
      </w:r>
    </w:p>
    <w:p w:rsidR="005B5F6D" w:rsidRPr="00D83E92" w:rsidRDefault="005B5F6D">
      <w:pPr>
        <w:spacing w:line="360" w:lineRule="auto"/>
        <w:jc w:val="both"/>
        <w:rPr>
          <w:rFonts w:ascii="Palatino Linotype" w:eastAsia="Palatino Linotype" w:hAnsi="Palatino Linotype" w:cs="Palatino Linotype"/>
        </w:rPr>
      </w:pPr>
    </w:p>
    <w:p w:rsidR="005B5F6D" w:rsidRPr="00D83E92" w:rsidRDefault="00DF0D09">
      <w:pPr>
        <w:spacing w:line="360" w:lineRule="auto"/>
        <w:ind w:left="851" w:right="899"/>
        <w:jc w:val="both"/>
        <w:rPr>
          <w:rFonts w:ascii="Palatino Linotype" w:eastAsia="Palatino Linotype" w:hAnsi="Palatino Linotype" w:cs="Palatino Linotype"/>
        </w:rPr>
      </w:pPr>
      <w:bookmarkStart w:id="1" w:name="_heading=h.3znysh7" w:colFirst="0" w:colLast="0"/>
      <w:bookmarkEnd w:id="1"/>
      <w:r w:rsidRPr="00D83E92">
        <w:rPr>
          <w:rFonts w:ascii="Palatino Linotype" w:eastAsia="Palatino Linotype" w:hAnsi="Palatino Linotype" w:cs="Palatino Linotype"/>
          <w:b/>
        </w:rPr>
        <w:t>Acto impugnado</w:t>
      </w:r>
      <w:r w:rsidRPr="00D83E92">
        <w:rPr>
          <w:rFonts w:ascii="Palatino Linotype" w:eastAsia="Palatino Linotype" w:hAnsi="Palatino Linotype" w:cs="Palatino Linotype"/>
        </w:rPr>
        <w:t xml:space="preserve">: </w:t>
      </w:r>
    </w:p>
    <w:p w:rsidR="005B5F6D" w:rsidRPr="00D83E92" w:rsidRDefault="00DF0D09">
      <w:pPr>
        <w:spacing w:line="276" w:lineRule="auto"/>
        <w:ind w:left="851" w:right="899"/>
        <w:jc w:val="both"/>
        <w:rPr>
          <w:rFonts w:ascii="Palatino Linotype" w:eastAsia="Palatino Linotype" w:hAnsi="Palatino Linotype" w:cs="Palatino Linotype"/>
          <w:i/>
        </w:rPr>
      </w:pPr>
      <w:bookmarkStart w:id="2" w:name="_heading=h.2et92p0" w:colFirst="0" w:colLast="0"/>
      <w:bookmarkEnd w:id="2"/>
      <w:r w:rsidRPr="00D83E92">
        <w:rPr>
          <w:rFonts w:ascii="Palatino Linotype" w:eastAsia="Palatino Linotype" w:hAnsi="Palatino Linotype" w:cs="Palatino Linotype"/>
          <w:i/>
        </w:rPr>
        <w:lastRenderedPageBreak/>
        <w:t xml:space="preserve">“la falta de respuesta debido a que hasta la fecha no se </w:t>
      </w:r>
      <w:proofErr w:type="spellStart"/>
      <w:r w:rsidRPr="00D83E92">
        <w:rPr>
          <w:rFonts w:ascii="Palatino Linotype" w:eastAsia="Palatino Linotype" w:hAnsi="Palatino Linotype" w:cs="Palatino Linotype"/>
          <w:i/>
        </w:rPr>
        <w:t>a</w:t>
      </w:r>
      <w:proofErr w:type="spellEnd"/>
      <w:r w:rsidRPr="00D83E92">
        <w:rPr>
          <w:rFonts w:ascii="Palatino Linotype" w:eastAsia="Palatino Linotype" w:hAnsi="Palatino Linotype" w:cs="Palatino Linotype"/>
          <w:i/>
        </w:rPr>
        <w:t xml:space="preserve"> proporcionado” (Sic)</w:t>
      </w:r>
    </w:p>
    <w:p w:rsidR="005B5F6D" w:rsidRPr="00D83E92" w:rsidRDefault="005B5F6D">
      <w:pPr>
        <w:spacing w:line="360" w:lineRule="auto"/>
        <w:ind w:left="1004" w:right="899"/>
        <w:jc w:val="both"/>
        <w:rPr>
          <w:rFonts w:ascii="Palatino Linotype" w:eastAsia="Palatino Linotype" w:hAnsi="Palatino Linotype" w:cs="Palatino Linotype"/>
          <w:i/>
        </w:rPr>
      </w:pPr>
    </w:p>
    <w:p w:rsidR="005B5F6D" w:rsidRPr="00D83E92" w:rsidRDefault="00DF0D09">
      <w:pPr>
        <w:spacing w:line="360" w:lineRule="auto"/>
        <w:ind w:left="851" w:right="899"/>
        <w:jc w:val="both"/>
        <w:rPr>
          <w:rFonts w:ascii="Palatino Linotype" w:eastAsia="Palatino Linotype" w:hAnsi="Palatino Linotype" w:cs="Palatino Linotype"/>
          <w:b/>
        </w:rPr>
      </w:pPr>
      <w:bookmarkStart w:id="3" w:name="_heading=h.tyjcwt" w:colFirst="0" w:colLast="0"/>
      <w:bookmarkEnd w:id="3"/>
      <w:r w:rsidRPr="00D83E92">
        <w:rPr>
          <w:rFonts w:ascii="Palatino Linotype" w:eastAsia="Palatino Linotype" w:hAnsi="Palatino Linotype" w:cs="Palatino Linotype"/>
          <w:b/>
        </w:rPr>
        <w:t>Razones o Motivos de inconformidad</w:t>
      </w:r>
      <w:r w:rsidRPr="00D83E92">
        <w:rPr>
          <w:rFonts w:ascii="Palatino Linotype" w:eastAsia="Palatino Linotype" w:hAnsi="Palatino Linotype" w:cs="Palatino Linotype"/>
        </w:rPr>
        <w:t>:</w:t>
      </w:r>
      <w:r w:rsidRPr="00D83E92">
        <w:rPr>
          <w:rFonts w:ascii="Palatino Linotype" w:eastAsia="Palatino Linotype" w:hAnsi="Palatino Linotype" w:cs="Palatino Linotype"/>
          <w:b/>
        </w:rPr>
        <w:t xml:space="preserve"> </w:t>
      </w:r>
    </w:p>
    <w:p w:rsidR="005B5F6D" w:rsidRPr="00D83E92" w:rsidRDefault="00DF0D09">
      <w:pPr>
        <w:spacing w:line="276" w:lineRule="auto"/>
        <w:ind w:left="851" w:right="899"/>
        <w:jc w:val="both"/>
        <w:rPr>
          <w:rFonts w:ascii="Palatino Linotype" w:eastAsia="Palatino Linotype" w:hAnsi="Palatino Linotype" w:cs="Palatino Linotype"/>
          <w:b/>
          <w:i/>
        </w:rPr>
      </w:pPr>
      <w:r w:rsidRPr="00D83E92">
        <w:rPr>
          <w:rFonts w:ascii="Palatino Linotype" w:eastAsia="Palatino Linotype" w:hAnsi="Palatino Linotype" w:cs="Palatino Linotype"/>
          <w:i/>
        </w:rPr>
        <w:t xml:space="preserve">“de lo anterior se desprende que una vez realizado el desahogo de la información, no se </w:t>
      </w:r>
      <w:proofErr w:type="spellStart"/>
      <w:r w:rsidRPr="00D83E92">
        <w:rPr>
          <w:rFonts w:ascii="Palatino Linotype" w:eastAsia="Palatino Linotype" w:hAnsi="Palatino Linotype" w:cs="Palatino Linotype"/>
          <w:i/>
        </w:rPr>
        <w:t>a</w:t>
      </w:r>
      <w:proofErr w:type="spellEnd"/>
      <w:r w:rsidRPr="00D83E92">
        <w:rPr>
          <w:rFonts w:ascii="Palatino Linotype" w:eastAsia="Palatino Linotype" w:hAnsi="Palatino Linotype" w:cs="Palatino Linotype"/>
          <w:i/>
        </w:rPr>
        <w:t xml:space="preserve"> brindado respuesta alguna sobre los datos solicitados, por lo que se requiere la entrega de la información o en su caso de no tener nada a mi nombre se realice la declaratoria de inexistencia, misma que deberá ser sometida a </w:t>
      </w:r>
      <w:proofErr w:type="spellStart"/>
      <w:r w:rsidRPr="00D83E92">
        <w:rPr>
          <w:rFonts w:ascii="Palatino Linotype" w:eastAsia="Palatino Linotype" w:hAnsi="Palatino Linotype" w:cs="Palatino Linotype"/>
          <w:i/>
        </w:rPr>
        <w:t>comite</w:t>
      </w:r>
      <w:proofErr w:type="spellEnd"/>
      <w:r w:rsidRPr="00D83E92">
        <w:rPr>
          <w:rFonts w:ascii="Palatino Linotype" w:eastAsia="Palatino Linotype" w:hAnsi="Palatino Linotype" w:cs="Palatino Linotype"/>
          <w:i/>
        </w:rPr>
        <w:t xml:space="preserve"> de transparencia, en donde deberá de encuadrar todos los supuestos de la normatividad. </w:t>
      </w:r>
      <w:proofErr w:type="gramStart"/>
      <w:r w:rsidRPr="00D83E92">
        <w:rPr>
          <w:rFonts w:ascii="Palatino Linotype" w:eastAsia="Palatino Linotype" w:hAnsi="Palatino Linotype" w:cs="Palatino Linotype"/>
          <w:i/>
        </w:rPr>
        <w:t>no</w:t>
      </w:r>
      <w:proofErr w:type="gramEnd"/>
      <w:r w:rsidRPr="00D83E92">
        <w:rPr>
          <w:rFonts w:ascii="Palatino Linotype" w:eastAsia="Palatino Linotype" w:hAnsi="Palatino Linotype" w:cs="Palatino Linotype"/>
          <w:i/>
        </w:rPr>
        <w:t xml:space="preserve"> se re quiere conciliación solo en caso de que vayan a entregar la información solicitada, por lo que a su vez anexo PDF de mi credencial para votar” (Sic)</w:t>
      </w:r>
    </w:p>
    <w:p w:rsidR="005B5F6D" w:rsidRPr="00D83E92" w:rsidRDefault="00DF0D09">
      <w:pPr>
        <w:spacing w:line="276" w:lineRule="auto"/>
        <w:ind w:left="851" w:right="899"/>
        <w:jc w:val="both"/>
        <w:rPr>
          <w:rFonts w:ascii="Palatino Linotype" w:eastAsia="Palatino Linotype" w:hAnsi="Palatino Linotype" w:cs="Palatino Linotype"/>
          <w:b/>
        </w:rPr>
      </w:pPr>
      <w:r w:rsidRPr="00D83E92">
        <w:rPr>
          <w:rFonts w:ascii="Palatino Linotype" w:eastAsia="Palatino Linotype" w:hAnsi="Palatino Linotype" w:cs="Palatino Linotype"/>
          <w:i/>
        </w:rPr>
        <w:t xml:space="preserve"> </w:t>
      </w:r>
    </w:p>
    <w:p w:rsidR="005B5F6D" w:rsidRPr="00D83E92" w:rsidRDefault="00DF0D09">
      <w:pPr>
        <w:spacing w:line="360" w:lineRule="auto"/>
        <w:jc w:val="both"/>
        <w:rPr>
          <w:rFonts w:ascii="Palatino Linotype" w:eastAsia="Palatino Linotype" w:hAnsi="Palatino Linotype" w:cs="Palatino Linotype"/>
          <w:color w:val="000000"/>
        </w:rPr>
      </w:pPr>
      <w:proofErr w:type="gramStart"/>
      <w:r w:rsidRPr="00D83E92">
        <w:rPr>
          <w:rFonts w:ascii="Palatino Linotype" w:eastAsia="Palatino Linotype" w:hAnsi="Palatino Linotype" w:cs="Palatino Linotype"/>
          <w:color w:val="000000"/>
        </w:rPr>
        <w:t>El</w:t>
      </w:r>
      <w:proofErr w:type="gramEnd"/>
      <w:r w:rsidRPr="00D83E92">
        <w:rPr>
          <w:rFonts w:ascii="Palatino Linotype" w:eastAsia="Palatino Linotype" w:hAnsi="Palatino Linotype" w:cs="Palatino Linotype"/>
          <w:color w:val="000000"/>
        </w:rPr>
        <w:t xml:space="preserve"> recurrente adjunta el archivo digital consistentes en: </w:t>
      </w:r>
    </w:p>
    <w:p w:rsidR="005B5F6D" w:rsidRPr="00D83E92" w:rsidRDefault="00DF0D09">
      <w:pPr>
        <w:pStyle w:val="Prrafodelista"/>
        <w:ind w:left="1134" w:right="2034"/>
        <w:jc w:val="both"/>
        <w:rPr>
          <w:rFonts w:ascii="Palatino Linotype" w:eastAsia="Palatino Linotype" w:hAnsi="Palatino Linotype" w:cs="Palatino Linotype"/>
          <w:b/>
          <w:i/>
          <w:color w:val="000000"/>
        </w:rPr>
      </w:pPr>
      <w:r w:rsidRPr="00D83E92">
        <w:rPr>
          <w:rFonts w:ascii="Palatino Linotype" w:eastAsia="Palatino Linotype" w:hAnsi="Palatino Linotype" w:cs="Palatino Linotype"/>
          <w:b/>
          <w:i/>
          <w:color w:val="000000"/>
        </w:rPr>
        <w:t>EOP INE Actual Oficial.pdf</w:t>
      </w:r>
    </w:p>
    <w:p w:rsidR="005B5F6D" w:rsidRPr="00D83E92" w:rsidRDefault="00DF0D09" w:rsidP="00D83E92">
      <w:pPr>
        <w:pStyle w:val="Prrafodelista"/>
        <w:ind w:left="1416" w:right="1183" w:hanging="282"/>
        <w:jc w:val="both"/>
        <w:rPr>
          <w:rFonts w:ascii="Palatino Linotype" w:eastAsia="Palatino Linotype" w:hAnsi="Palatino Linotype" w:cs="Palatino Linotype"/>
          <w:b/>
          <w:color w:val="000000"/>
        </w:rPr>
      </w:pPr>
      <w:r w:rsidRPr="00D83E92">
        <w:rPr>
          <w:rFonts w:ascii="Palatino Linotype" w:eastAsia="Palatino Linotype" w:hAnsi="Palatino Linotype" w:cs="Palatino Linotype"/>
          <w:color w:val="000000"/>
          <w:sz w:val="22"/>
          <w:szCs w:val="22"/>
        </w:rPr>
        <w:t xml:space="preserve">Copia de credencial para votar expedida por el INE a nombre de </w:t>
      </w:r>
      <w:r w:rsidR="00D83E92" w:rsidRPr="00D83E92">
        <w:rPr>
          <w:rFonts w:ascii="Palatino Linotype" w:eastAsia="Palatino Linotype" w:hAnsi="Palatino Linotype" w:cs="Palatino Linotype"/>
          <w:color w:val="000000"/>
          <w:sz w:val="22"/>
          <w:szCs w:val="22"/>
        </w:rPr>
        <w:t>XXXXXXXXXXX</w:t>
      </w:r>
    </w:p>
    <w:p w:rsidR="005B5F6D" w:rsidRPr="00D83E92" w:rsidRDefault="005B5F6D">
      <w:pPr>
        <w:pStyle w:val="Prrafodelista"/>
        <w:ind w:left="1134" w:right="1183"/>
        <w:jc w:val="both"/>
        <w:rPr>
          <w:rFonts w:ascii="Palatino Linotype" w:eastAsia="Palatino Linotype" w:hAnsi="Palatino Linotype" w:cs="Palatino Linotype"/>
          <w:b/>
          <w:i/>
          <w:color w:val="000000"/>
        </w:rPr>
      </w:pPr>
    </w:p>
    <w:p w:rsidR="005B5F6D" w:rsidRPr="00D83E92" w:rsidRDefault="00DF0D09">
      <w:pPr>
        <w:numPr>
          <w:ilvl w:val="0"/>
          <w:numId w:val="1"/>
        </w:numPr>
        <w:spacing w:line="360" w:lineRule="auto"/>
        <w:ind w:left="0" w:firstLine="0"/>
        <w:jc w:val="both"/>
        <w:rPr>
          <w:rFonts w:ascii="Palatino Linotype" w:eastAsia="Palatino Linotype" w:hAnsi="Palatino Linotype" w:cs="Palatino Linotype"/>
          <w:color w:val="000000"/>
        </w:rPr>
      </w:pPr>
      <w:r w:rsidRPr="00D83E92">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los artículos 11 y 127, de la </w:t>
      </w:r>
      <w:r w:rsidRPr="00D83E92">
        <w:rPr>
          <w:rFonts w:ascii="Palatino Linotype" w:eastAsia="Palatino Linotype" w:hAnsi="Palatino Linotype" w:cs="Palatino Linotype"/>
          <w:b/>
          <w:color w:val="000000"/>
        </w:rPr>
        <w:t xml:space="preserve">Ley de Protección de Datos Personales en Posesión de Sujetos Obligados del Estado de México y Municipios, </w:t>
      </w:r>
      <w:r w:rsidRPr="00D83E92">
        <w:rPr>
          <w:rFonts w:ascii="Palatino Linotype" w:eastAsia="Palatino Linotype" w:hAnsi="Palatino Linotype" w:cs="Palatino Linotype"/>
          <w:color w:val="000000"/>
        </w:rPr>
        <w:t xml:space="preserve">en relación con el artículo 185, fracción I, de la </w:t>
      </w:r>
      <w:r w:rsidRPr="00D83E92">
        <w:rPr>
          <w:rFonts w:ascii="Palatino Linotype" w:eastAsia="Palatino Linotype" w:hAnsi="Palatino Linotype" w:cs="Palatino Linotype"/>
          <w:b/>
          <w:color w:val="000000"/>
        </w:rPr>
        <w:t xml:space="preserve">Ley de Transparencia y Acceso a la Información Pública del Estado de México y Municipios </w:t>
      </w:r>
      <w:r w:rsidRPr="00D83E92">
        <w:rPr>
          <w:rFonts w:ascii="Palatino Linotype" w:eastAsia="Palatino Linotype" w:hAnsi="Palatino Linotype" w:cs="Palatino Linotype"/>
          <w:color w:val="000000"/>
        </w:rPr>
        <w:t xml:space="preserve">de aplicación supletoria, se turnó a la </w:t>
      </w:r>
      <w:r w:rsidRPr="00D83E92">
        <w:rPr>
          <w:rFonts w:ascii="Palatino Linotype" w:eastAsia="Palatino Linotype" w:hAnsi="Palatino Linotype" w:cs="Palatino Linotype"/>
          <w:b/>
          <w:color w:val="000000"/>
        </w:rPr>
        <w:t xml:space="preserve">Comisionada María del Rosario Mejía Ayala </w:t>
      </w:r>
      <w:r w:rsidRPr="00D83E92">
        <w:rPr>
          <w:rFonts w:ascii="Palatino Linotype" w:eastAsia="Palatino Linotype" w:hAnsi="Palatino Linotype" w:cs="Palatino Linotype"/>
          <w:color w:val="000000"/>
        </w:rPr>
        <w:t xml:space="preserve">con el objeto de su análisis. </w:t>
      </w:r>
    </w:p>
    <w:p w:rsidR="005B5F6D" w:rsidRPr="00D83E92" w:rsidRDefault="005B5F6D">
      <w:pPr>
        <w:jc w:val="both"/>
        <w:rPr>
          <w:rFonts w:ascii="Palatino Linotype" w:eastAsia="Palatino Linotype" w:hAnsi="Palatino Linotype" w:cs="Palatino Linotype"/>
        </w:rPr>
      </w:pPr>
    </w:p>
    <w:p w:rsidR="005B5F6D" w:rsidRPr="00D83E92" w:rsidRDefault="00DF0D09">
      <w:pPr>
        <w:numPr>
          <w:ilvl w:val="0"/>
          <w:numId w:val="1"/>
        </w:numPr>
        <w:spacing w:line="360" w:lineRule="auto"/>
        <w:ind w:left="0" w:firstLine="0"/>
        <w:jc w:val="both"/>
        <w:rPr>
          <w:rFonts w:ascii="Palatino Linotype" w:eastAsia="Palatino Linotype" w:hAnsi="Palatino Linotype" w:cs="Palatino Linotype"/>
          <w:color w:val="000000"/>
        </w:rPr>
      </w:pPr>
      <w:r w:rsidRPr="00D83E92">
        <w:rPr>
          <w:rFonts w:ascii="Palatino Linotype" w:eastAsia="Palatino Linotype" w:hAnsi="Palatino Linotype" w:cs="Palatino Linotype"/>
          <w:b/>
          <w:color w:val="000000"/>
        </w:rPr>
        <w:t>C</w:t>
      </w:r>
      <w:r w:rsidRPr="00D83E92">
        <w:rPr>
          <w:rFonts w:ascii="Palatino Linotype" w:eastAsia="Palatino Linotype" w:hAnsi="Palatino Linotype" w:cs="Palatino Linotype"/>
          <w:color w:val="000000"/>
        </w:rPr>
        <w:t xml:space="preserve">on fundamento en los artículos 11, 127 y 131, de la </w:t>
      </w:r>
      <w:r w:rsidRPr="00D83E92">
        <w:rPr>
          <w:rFonts w:ascii="Palatino Linotype" w:eastAsia="Palatino Linotype" w:hAnsi="Palatino Linotype" w:cs="Palatino Linotype"/>
          <w:b/>
          <w:color w:val="000000"/>
        </w:rPr>
        <w:t>Ley de Protección de Datos Personales en Posesión de Sujetos Obligados del Estado de México y Municipios</w:t>
      </w:r>
      <w:r w:rsidRPr="00D83E92">
        <w:rPr>
          <w:rFonts w:ascii="Palatino Linotype" w:eastAsia="Palatino Linotype" w:hAnsi="Palatino Linotype" w:cs="Palatino Linotype"/>
          <w:color w:val="000000"/>
        </w:rPr>
        <w:t xml:space="preserve"> y 185, fracciones I, II y IV, de la Ley de Transparencia y Acceso a la Información Pública del Estado de México y Municipios de aplicación supletoria,  a través del </w:t>
      </w:r>
      <w:r w:rsidRPr="00D83E92">
        <w:rPr>
          <w:rFonts w:ascii="Palatino Linotype" w:eastAsia="Palatino Linotype" w:hAnsi="Palatino Linotype" w:cs="Palatino Linotype"/>
          <w:b/>
          <w:color w:val="000000"/>
        </w:rPr>
        <w:t xml:space="preserve">acuerdo de </w:t>
      </w:r>
      <w:r w:rsidRPr="00D83E92">
        <w:rPr>
          <w:rFonts w:ascii="Palatino Linotype" w:eastAsia="Palatino Linotype" w:hAnsi="Palatino Linotype" w:cs="Palatino Linotype"/>
          <w:b/>
          <w:color w:val="000000"/>
        </w:rPr>
        <w:lastRenderedPageBreak/>
        <w:t>admisión</w:t>
      </w:r>
      <w:r w:rsidRPr="00D83E92">
        <w:rPr>
          <w:rFonts w:ascii="Palatino Linotype" w:eastAsia="Palatino Linotype" w:hAnsi="Palatino Linotype" w:cs="Palatino Linotype"/>
          <w:color w:val="000000"/>
        </w:rPr>
        <w:t xml:space="preserve"> de fecha </w:t>
      </w:r>
      <w:r w:rsidRPr="00D83E92">
        <w:rPr>
          <w:rFonts w:ascii="Palatino Linotype" w:eastAsia="Palatino Linotype" w:hAnsi="Palatino Linotype" w:cs="Palatino Linotype"/>
          <w:b/>
          <w:color w:val="000000"/>
        </w:rPr>
        <w:t>treinta y uno de octubre de dos mil veinticuatro</w:t>
      </w:r>
      <w:r w:rsidRPr="00D83E92">
        <w:rPr>
          <w:rFonts w:ascii="Palatino Linotype" w:eastAsia="Palatino Linotype" w:hAnsi="Palatino Linotype" w:cs="Palatino Linotype"/>
          <w:color w:val="000000"/>
        </w:rPr>
        <w:t xml:space="preserve">, se puso a disposición de las partes el expediente electrónico vía SARCOEM a efecto de que en un plazo máximo de siete días </w:t>
      </w:r>
      <w:r w:rsidRPr="00D83E92">
        <w:rPr>
          <w:rFonts w:ascii="Palatino Linotype" w:eastAsia="Palatino Linotype" w:hAnsi="Palatino Linotype" w:cs="Palatino Linotype"/>
        </w:rPr>
        <w:t>manifestara</w:t>
      </w:r>
      <w:r w:rsidRPr="00D83E92">
        <w:rPr>
          <w:rFonts w:ascii="Palatino Linotype" w:eastAsia="Palatino Linotype" w:hAnsi="Palatino Linotype" w:cs="Palatino Linotype"/>
          <w:color w:val="000000"/>
        </w:rPr>
        <w:t xml:space="preserve"> lo que a su derecho conviniera, </w:t>
      </w:r>
      <w:r w:rsidRPr="00D83E92">
        <w:rPr>
          <w:rFonts w:ascii="Palatino Linotype" w:eastAsia="Palatino Linotype" w:hAnsi="Palatino Linotype" w:cs="Palatino Linotype"/>
        </w:rPr>
        <w:t>ofreciera</w:t>
      </w:r>
      <w:r w:rsidRPr="00D83E92">
        <w:rPr>
          <w:rFonts w:ascii="Palatino Linotype" w:eastAsia="Palatino Linotype" w:hAnsi="Palatino Linotype" w:cs="Palatino Linotype"/>
          <w:color w:val="000000"/>
        </w:rPr>
        <w:t xml:space="preserve"> pruebas y alegatos según corresponda al caso concreto, de esta forma para que el </w:t>
      </w:r>
      <w:r w:rsidRPr="00D83E92">
        <w:rPr>
          <w:rFonts w:ascii="Palatino Linotype" w:eastAsia="Palatino Linotype" w:hAnsi="Palatino Linotype" w:cs="Palatino Linotype"/>
          <w:b/>
          <w:color w:val="000000"/>
        </w:rPr>
        <w:t xml:space="preserve">SUJETO OBLIGADO </w:t>
      </w:r>
      <w:r w:rsidRPr="00D83E92">
        <w:rPr>
          <w:rFonts w:ascii="Palatino Linotype" w:eastAsia="Palatino Linotype" w:hAnsi="Palatino Linotype" w:cs="Palatino Linotype"/>
        </w:rPr>
        <w:t>presentará</w:t>
      </w:r>
      <w:r w:rsidRPr="00D83E92">
        <w:rPr>
          <w:rFonts w:ascii="Palatino Linotype" w:eastAsia="Palatino Linotype" w:hAnsi="Palatino Linotype" w:cs="Palatino Linotype"/>
          <w:color w:val="000000"/>
        </w:rPr>
        <w:t xml:space="preserve"> el Informe Justificado procedente.</w:t>
      </w:r>
    </w:p>
    <w:p w:rsidR="005B5F6D" w:rsidRPr="00D83E92" w:rsidRDefault="005B5F6D">
      <w:pPr>
        <w:jc w:val="both"/>
        <w:rPr>
          <w:rFonts w:ascii="Palatino Linotype" w:eastAsia="Palatino Linotype" w:hAnsi="Palatino Linotype" w:cs="Palatino Linotype"/>
        </w:rPr>
      </w:pPr>
    </w:p>
    <w:p w:rsidR="005B5F6D" w:rsidRPr="00D83E92" w:rsidRDefault="00DF0D09">
      <w:pPr>
        <w:numPr>
          <w:ilvl w:val="0"/>
          <w:numId w:val="1"/>
        </w:numPr>
        <w:spacing w:line="360" w:lineRule="auto"/>
        <w:ind w:left="0" w:firstLine="0"/>
        <w:jc w:val="both"/>
        <w:rPr>
          <w:rFonts w:ascii="Palatino Linotype" w:eastAsia="Palatino Linotype" w:hAnsi="Palatino Linotype" w:cs="Palatino Linotype"/>
          <w:color w:val="000000"/>
        </w:rPr>
      </w:pPr>
      <w:r w:rsidRPr="00D83E92">
        <w:rPr>
          <w:rFonts w:ascii="Palatino Linotype" w:eastAsia="Palatino Linotype" w:hAnsi="Palatino Linotype" w:cs="Palatino Linotype"/>
          <w:color w:val="000000"/>
        </w:rPr>
        <w:t xml:space="preserve">El </w:t>
      </w:r>
      <w:r w:rsidRPr="00D83E92">
        <w:rPr>
          <w:rFonts w:ascii="Palatino Linotype" w:eastAsia="Palatino Linotype" w:hAnsi="Palatino Linotype" w:cs="Palatino Linotype"/>
          <w:b/>
          <w:color w:val="000000"/>
        </w:rPr>
        <w:t xml:space="preserve">trece de noviembre de dos mil veinticuatro, </w:t>
      </w:r>
      <w:r w:rsidRPr="00D83E92">
        <w:rPr>
          <w:rFonts w:ascii="Palatino Linotype" w:eastAsia="Palatino Linotype" w:hAnsi="Palatino Linotype" w:cs="Palatino Linotype"/>
          <w:color w:val="000000"/>
        </w:rPr>
        <w:t xml:space="preserve">se </w:t>
      </w:r>
      <w:proofErr w:type="spellStart"/>
      <w:r w:rsidRPr="00D83E92">
        <w:rPr>
          <w:rFonts w:ascii="Palatino Linotype" w:eastAsia="Palatino Linotype" w:hAnsi="Palatino Linotype" w:cs="Palatino Linotype"/>
          <w:color w:val="000000"/>
        </w:rPr>
        <w:t>aperturó</w:t>
      </w:r>
      <w:proofErr w:type="spellEnd"/>
      <w:r w:rsidRPr="00D83E92">
        <w:rPr>
          <w:rFonts w:ascii="Palatino Linotype" w:eastAsia="Palatino Linotype" w:hAnsi="Palatino Linotype" w:cs="Palatino Linotype"/>
          <w:color w:val="000000"/>
        </w:rPr>
        <w:t xml:space="preserve">  la </w:t>
      </w:r>
      <w:r w:rsidRPr="00D83E92">
        <w:rPr>
          <w:rFonts w:ascii="Palatino Linotype" w:eastAsia="Palatino Linotype" w:hAnsi="Palatino Linotype" w:cs="Palatino Linotype"/>
          <w:b/>
          <w:color w:val="000000"/>
        </w:rPr>
        <w:t>etapa de conciliación</w:t>
      </w:r>
      <w:r w:rsidRPr="00D83E92">
        <w:rPr>
          <w:rFonts w:ascii="Palatino Linotype" w:eastAsia="Palatino Linotype" w:hAnsi="Palatino Linotype" w:cs="Palatino Linotype"/>
          <w:color w:val="000000"/>
        </w:rPr>
        <w:t xml:space="preserve"> a fin de que las </w:t>
      </w:r>
      <w:r w:rsidRPr="00D83E92">
        <w:rPr>
          <w:rFonts w:ascii="Palatino Linotype" w:eastAsia="Palatino Linotype" w:hAnsi="Palatino Linotype" w:cs="Palatino Linotype"/>
        </w:rPr>
        <w:t>partes</w:t>
      </w:r>
      <w:r w:rsidRPr="00D83E92">
        <w:rPr>
          <w:rFonts w:ascii="Palatino Linotype" w:eastAsia="Palatino Linotype" w:hAnsi="Palatino Linotype" w:cs="Palatino Linotype"/>
          <w:color w:val="000000"/>
        </w:rPr>
        <w:t xml:space="preserve"> pudieran conciliar los motivos que dieron inicio al recurso de revisión. </w:t>
      </w:r>
    </w:p>
    <w:p w:rsidR="005B5F6D" w:rsidRPr="00D83E92" w:rsidRDefault="005B5F6D">
      <w:pPr>
        <w:jc w:val="both"/>
        <w:rPr>
          <w:rFonts w:ascii="Palatino Linotype" w:eastAsia="Palatino Linotype" w:hAnsi="Palatino Linotype" w:cs="Palatino Linotype"/>
          <w:color w:val="000000"/>
        </w:rPr>
      </w:pPr>
    </w:p>
    <w:p w:rsidR="005B5F6D" w:rsidRPr="00D83E92" w:rsidRDefault="00DF0D09">
      <w:pPr>
        <w:numPr>
          <w:ilvl w:val="0"/>
          <w:numId w:val="1"/>
        </w:numPr>
        <w:spacing w:line="360" w:lineRule="auto"/>
        <w:ind w:left="0" w:firstLine="0"/>
        <w:jc w:val="both"/>
        <w:rPr>
          <w:rFonts w:ascii="Palatino Linotype" w:eastAsia="Palatino Linotype" w:hAnsi="Palatino Linotype" w:cs="Palatino Linotype"/>
          <w:color w:val="000000"/>
        </w:rPr>
      </w:pPr>
      <w:r w:rsidRPr="00D83E92">
        <w:rPr>
          <w:rFonts w:ascii="Palatino Linotype" w:eastAsia="Palatino Linotype" w:hAnsi="Palatino Linotype" w:cs="Palatino Linotype"/>
          <w:color w:val="000000"/>
        </w:rPr>
        <w:t>De lo anterior, y conforme a las actuaciones que presenta el expediente electrónico, las partes fueron omisas en manifestar su voluntad para conciliar, tal como se muestra en la imagen siguiente:</w:t>
      </w:r>
    </w:p>
    <w:p w:rsidR="005B5F6D" w:rsidRPr="00D83E92" w:rsidRDefault="00DF0D09">
      <w:pPr>
        <w:spacing w:line="360" w:lineRule="auto"/>
        <w:jc w:val="center"/>
        <w:rPr>
          <w:rFonts w:ascii="Palatino Linotype" w:eastAsia="Palatino Linotype" w:hAnsi="Palatino Linotype" w:cs="Palatino Linotype"/>
          <w:color w:val="000000"/>
        </w:rPr>
      </w:pPr>
      <w:r w:rsidRPr="00D83E92">
        <w:rPr>
          <w:rFonts w:ascii="Palatino Linotype" w:eastAsia="Palatino Linotype" w:hAnsi="Palatino Linotype" w:cs="Palatino Linotype"/>
          <w:noProof/>
          <w:color w:val="000000"/>
        </w:rPr>
        <w:drawing>
          <wp:inline distT="0" distB="0" distL="0" distR="0">
            <wp:extent cx="4093210" cy="1085215"/>
            <wp:effectExtent l="0" t="0" r="254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8"/>
                    <a:stretch>
                      <a:fillRect/>
                    </a:stretch>
                  </pic:blipFill>
                  <pic:spPr>
                    <a:xfrm>
                      <a:off x="0" y="0"/>
                      <a:ext cx="4136570" cy="1097095"/>
                    </a:xfrm>
                    <a:prstGeom prst="rect">
                      <a:avLst/>
                    </a:prstGeom>
                  </pic:spPr>
                </pic:pic>
              </a:graphicData>
            </a:graphic>
          </wp:inline>
        </w:drawing>
      </w:r>
    </w:p>
    <w:p w:rsidR="005B5F6D" w:rsidRPr="00D83E92" w:rsidRDefault="005B5F6D">
      <w:pPr>
        <w:spacing w:line="360" w:lineRule="auto"/>
        <w:jc w:val="both"/>
        <w:rPr>
          <w:rFonts w:ascii="Palatino Linotype" w:eastAsia="Palatino Linotype" w:hAnsi="Palatino Linotype" w:cs="Palatino Linotype"/>
          <w:color w:val="000000"/>
        </w:rPr>
      </w:pPr>
    </w:p>
    <w:p w:rsidR="005B5F6D" w:rsidRPr="00D83E92" w:rsidRDefault="00DF0D09">
      <w:pPr>
        <w:numPr>
          <w:ilvl w:val="0"/>
          <w:numId w:val="1"/>
        </w:numPr>
        <w:spacing w:line="360" w:lineRule="auto"/>
        <w:ind w:left="0" w:firstLine="0"/>
        <w:jc w:val="both"/>
        <w:rPr>
          <w:rFonts w:ascii="Palatino Linotype" w:eastAsia="Palatino Linotype" w:hAnsi="Palatino Linotype" w:cs="Palatino Linotype"/>
          <w:color w:val="000000"/>
        </w:rPr>
      </w:pPr>
      <w:r w:rsidRPr="00D83E92">
        <w:rPr>
          <w:rFonts w:ascii="Palatino Linotype" w:eastAsia="Palatino Linotype" w:hAnsi="Palatino Linotype" w:cs="Palatino Linotype"/>
          <w:color w:val="000000"/>
        </w:rPr>
        <w:t xml:space="preserve">El </w:t>
      </w:r>
      <w:r w:rsidRPr="00D83E92">
        <w:rPr>
          <w:rFonts w:ascii="Palatino Linotype" w:eastAsia="Palatino Linotype" w:hAnsi="Palatino Linotype" w:cs="Palatino Linotype"/>
          <w:b/>
          <w:color w:val="000000"/>
        </w:rPr>
        <w:t xml:space="preserve">veintiséis de noviembre de dos mil veinticuatro </w:t>
      </w:r>
      <w:r w:rsidRPr="00D83E92">
        <w:rPr>
          <w:rFonts w:ascii="Palatino Linotype" w:eastAsia="Palatino Linotype" w:hAnsi="Palatino Linotype" w:cs="Palatino Linotype"/>
          <w:color w:val="000000"/>
        </w:rPr>
        <w:t xml:space="preserve">se </w:t>
      </w:r>
      <w:proofErr w:type="spellStart"/>
      <w:r w:rsidRPr="00D83E92">
        <w:rPr>
          <w:rFonts w:ascii="Palatino Linotype" w:eastAsia="Palatino Linotype" w:hAnsi="Palatino Linotype" w:cs="Palatino Linotype"/>
        </w:rPr>
        <w:t>aperturó</w:t>
      </w:r>
      <w:proofErr w:type="spellEnd"/>
      <w:r w:rsidRPr="00D83E92">
        <w:rPr>
          <w:rFonts w:ascii="Palatino Linotype" w:eastAsia="Palatino Linotype" w:hAnsi="Palatino Linotype" w:cs="Palatino Linotype"/>
          <w:color w:val="000000"/>
        </w:rPr>
        <w:t xml:space="preserve"> la </w:t>
      </w:r>
      <w:r w:rsidRPr="00D83E92">
        <w:rPr>
          <w:rFonts w:ascii="Palatino Linotype" w:eastAsia="Palatino Linotype" w:hAnsi="Palatino Linotype" w:cs="Palatino Linotype"/>
          <w:b/>
          <w:color w:val="000000"/>
        </w:rPr>
        <w:t>etapa de manifestaciones</w:t>
      </w:r>
      <w:r w:rsidRPr="00D83E92">
        <w:rPr>
          <w:rFonts w:ascii="Palatino Linotype" w:eastAsia="Palatino Linotype" w:hAnsi="Palatino Linotype" w:cs="Palatino Linotype"/>
          <w:color w:val="000000"/>
        </w:rPr>
        <w:t>, la parte Recurrente no realizó manifestaciones, alegatos ni presentó pruebas que a su derecho convinieran. Por su parte, el Sujeto Obligado tampoco rindió Informe Justificado, tal como se muestra en la imagen siguiente:</w:t>
      </w:r>
    </w:p>
    <w:p w:rsidR="005B5F6D" w:rsidRPr="00D83E92" w:rsidRDefault="00DF0D09">
      <w:pPr>
        <w:spacing w:line="360" w:lineRule="auto"/>
        <w:jc w:val="center"/>
        <w:rPr>
          <w:rFonts w:ascii="Palatino Linotype" w:eastAsia="Palatino Linotype" w:hAnsi="Palatino Linotype" w:cs="Palatino Linotype"/>
          <w:color w:val="000000"/>
        </w:rPr>
      </w:pPr>
      <w:r w:rsidRPr="00D83E92">
        <w:rPr>
          <w:rFonts w:ascii="Palatino Linotype" w:eastAsia="Palatino Linotype" w:hAnsi="Palatino Linotype" w:cs="Palatino Linotype"/>
          <w:noProof/>
          <w:color w:val="000000"/>
        </w:rPr>
        <w:lastRenderedPageBreak/>
        <w:drawing>
          <wp:inline distT="0" distB="0" distL="0" distR="0">
            <wp:extent cx="3722370" cy="1236980"/>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9"/>
                    <a:stretch>
                      <a:fillRect/>
                    </a:stretch>
                  </pic:blipFill>
                  <pic:spPr>
                    <a:xfrm>
                      <a:off x="0" y="0"/>
                      <a:ext cx="3756498" cy="1248766"/>
                    </a:xfrm>
                    <a:prstGeom prst="rect">
                      <a:avLst/>
                    </a:prstGeom>
                  </pic:spPr>
                </pic:pic>
              </a:graphicData>
            </a:graphic>
          </wp:inline>
        </w:drawing>
      </w:r>
    </w:p>
    <w:p w:rsidR="005B5F6D" w:rsidRPr="00D83E92" w:rsidRDefault="005B5F6D">
      <w:pPr>
        <w:spacing w:line="360" w:lineRule="auto"/>
        <w:jc w:val="both"/>
        <w:rPr>
          <w:rFonts w:ascii="Palatino Linotype" w:eastAsia="Palatino Linotype" w:hAnsi="Palatino Linotype" w:cs="Palatino Linotype"/>
        </w:rPr>
      </w:pPr>
    </w:p>
    <w:p w:rsidR="005B5F6D" w:rsidRPr="00D83E92" w:rsidRDefault="00DF0D09">
      <w:pPr>
        <w:numPr>
          <w:ilvl w:val="0"/>
          <w:numId w:val="1"/>
        </w:numPr>
        <w:spacing w:line="360" w:lineRule="auto"/>
        <w:ind w:left="0" w:firstLine="0"/>
        <w:jc w:val="both"/>
        <w:rPr>
          <w:rFonts w:ascii="Palatino Linotype" w:eastAsia="Palatino Linotype" w:hAnsi="Palatino Linotype" w:cs="Palatino Linotype"/>
          <w:color w:val="000000"/>
        </w:rPr>
      </w:pPr>
      <w:r w:rsidRPr="00D83E92">
        <w:rPr>
          <w:rFonts w:ascii="Palatino Linotype" w:eastAsia="Palatino Linotype" w:hAnsi="Palatino Linotype" w:cs="Palatino Linotype"/>
          <w:color w:val="000000"/>
        </w:rPr>
        <w:t xml:space="preserve">En fecha </w:t>
      </w:r>
      <w:r w:rsidRPr="00D83E92">
        <w:rPr>
          <w:rFonts w:ascii="Palatino Linotype" w:eastAsia="Palatino Linotype" w:hAnsi="Palatino Linotype" w:cs="Palatino Linotype"/>
          <w:b/>
          <w:color w:val="000000"/>
        </w:rPr>
        <w:t>seis de diciembre de dos mil veinticuatro</w:t>
      </w:r>
      <w:r w:rsidRPr="00D83E92">
        <w:rPr>
          <w:rFonts w:ascii="Palatino Linotype" w:eastAsia="Palatino Linotype" w:hAnsi="Palatino Linotype" w:cs="Palatino Linotype"/>
          <w:color w:val="000000"/>
        </w:rPr>
        <w:t xml:space="preserve">, se decretó el cierre de instrucción del recurso de revisión referido al rubro. </w:t>
      </w:r>
    </w:p>
    <w:p w:rsidR="005B5F6D" w:rsidRPr="00D83E92" w:rsidRDefault="005B5F6D">
      <w:pPr>
        <w:spacing w:line="360" w:lineRule="auto"/>
        <w:jc w:val="both"/>
        <w:rPr>
          <w:rFonts w:ascii="Palatino Linotype" w:eastAsia="Palatino Linotype" w:hAnsi="Palatino Linotype" w:cs="Palatino Linotype"/>
          <w:color w:val="000000"/>
        </w:rPr>
      </w:pPr>
    </w:p>
    <w:p w:rsidR="005B5F6D" w:rsidRPr="00D83E92" w:rsidRDefault="00DF0D09">
      <w:pPr>
        <w:numPr>
          <w:ilvl w:val="0"/>
          <w:numId w:val="1"/>
        </w:numPr>
        <w:spacing w:line="360" w:lineRule="auto"/>
        <w:ind w:left="0" w:firstLine="0"/>
        <w:jc w:val="both"/>
        <w:rPr>
          <w:rFonts w:ascii="Palatino Linotype" w:eastAsia="Palatino Linotype" w:hAnsi="Palatino Linotype" w:cs="Palatino Linotype"/>
          <w:color w:val="000000"/>
        </w:rPr>
      </w:pPr>
      <w:r w:rsidRPr="00D83E92">
        <w:rPr>
          <w:rFonts w:ascii="Palatino Linotype" w:eastAsia="Palatino Linotype" w:hAnsi="Palatino Linotype" w:cs="Palatino Linotype"/>
          <w:color w:val="000000"/>
        </w:rPr>
        <w:t>En razón de que fue debidamente sustanciado el expediente electrónico y no existe diligencia pendiente de desahogo, se emite la Resolución que conforme a Derecho proceda, de acuerdo con las siguientes:</w:t>
      </w:r>
    </w:p>
    <w:p w:rsidR="005B5F6D" w:rsidRPr="00D83E92" w:rsidRDefault="005B5F6D">
      <w:pPr>
        <w:ind w:left="720"/>
        <w:rPr>
          <w:rFonts w:ascii="Palatino Linotype" w:eastAsia="Palatino Linotype" w:hAnsi="Palatino Linotype" w:cs="Palatino Linotype"/>
          <w:color w:val="000000"/>
        </w:rPr>
      </w:pPr>
    </w:p>
    <w:p w:rsidR="005B5F6D" w:rsidRPr="00D83E92" w:rsidRDefault="005B5F6D">
      <w:pPr>
        <w:ind w:left="720"/>
        <w:rPr>
          <w:rFonts w:ascii="Palatino Linotype" w:eastAsia="Palatino Linotype" w:hAnsi="Palatino Linotype" w:cs="Palatino Linotype"/>
          <w:color w:val="000000"/>
        </w:rPr>
      </w:pPr>
    </w:p>
    <w:p w:rsidR="005B5F6D" w:rsidRPr="00D83E92" w:rsidRDefault="00DF0D09">
      <w:pPr>
        <w:spacing w:line="360" w:lineRule="auto"/>
        <w:ind w:right="-929"/>
        <w:jc w:val="center"/>
        <w:rPr>
          <w:rFonts w:ascii="Palatino Linotype" w:eastAsia="Palatino Linotype" w:hAnsi="Palatino Linotype" w:cs="Palatino Linotype"/>
          <w:b/>
          <w:color w:val="000000"/>
        </w:rPr>
      </w:pPr>
      <w:r w:rsidRPr="00D83E92">
        <w:rPr>
          <w:rFonts w:ascii="Palatino Linotype" w:eastAsia="Palatino Linotype" w:hAnsi="Palatino Linotype" w:cs="Palatino Linotype"/>
          <w:b/>
          <w:color w:val="000000"/>
        </w:rPr>
        <w:t>C O N S I D E R A C I O N E S</w:t>
      </w:r>
    </w:p>
    <w:p w:rsidR="005B5F6D" w:rsidRPr="00D83E92" w:rsidRDefault="00DF0D09">
      <w:pPr>
        <w:pStyle w:val="Ttulo2"/>
        <w:spacing w:before="0" w:line="360" w:lineRule="auto"/>
        <w:ind w:right="-929"/>
        <w:rPr>
          <w:rFonts w:ascii="Palatino Linotype" w:eastAsia="Palatino Linotype" w:hAnsi="Palatino Linotype" w:cs="Palatino Linotype"/>
          <w:b/>
          <w:color w:val="000000"/>
          <w:sz w:val="24"/>
          <w:szCs w:val="24"/>
        </w:rPr>
      </w:pPr>
      <w:r w:rsidRPr="00D83E92">
        <w:rPr>
          <w:rFonts w:ascii="Palatino Linotype" w:eastAsia="Palatino Linotype" w:hAnsi="Palatino Linotype" w:cs="Palatino Linotype"/>
          <w:b/>
          <w:color w:val="000000"/>
          <w:sz w:val="24"/>
          <w:szCs w:val="24"/>
        </w:rPr>
        <w:t>PRIMERA. Competencia</w:t>
      </w:r>
    </w:p>
    <w:p w:rsidR="005B5F6D" w:rsidRPr="00D83E92" w:rsidRDefault="00DF0D09">
      <w:pPr>
        <w:numPr>
          <w:ilvl w:val="0"/>
          <w:numId w:val="1"/>
        </w:numPr>
        <w:spacing w:line="360" w:lineRule="auto"/>
        <w:ind w:left="0" w:firstLine="0"/>
        <w:jc w:val="both"/>
        <w:rPr>
          <w:rFonts w:ascii="Palatino Linotype" w:eastAsia="Palatino Linotype" w:hAnsi="Palatino Linotype" w:cs="Palatino Linotype"/>
          <w:color w:val="000000"/>
        </w:rPr>
      </w:pPr>
      <w:r w:rsidRPr="00D83E92">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fracción IV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w:t>
      </w:r>
      <w:r w:rsidRPr="00D83E92">
        <w:rPr>
          <w:rFonts w:ascii="Palatino Linotype" w:eastAsia="Palatino Linotype" w:hAnsi="Palatino Linotype" w:cs="Palatino Linotype"/>
          <w:color w:val="000000"/>
        </w:rPr>
        <w:lastRenderedPageBreak/>
        <w:t>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9, fracciones I y XXIII y 11 del Reglamento Interior del Instituto de Transparencia, Acceso a la Información Pública y Protección de Datos Personales del Estado de México y Municipios.</w:t>
      </w:r>
    </w:p>
    <w:p w:rsidR="005B5F6D" w:rsidRPr="00D83E92" w:rsidRDefault="005B5F6D">
      <w:pPr>
        <w:spacing w:line="360" w:lineRule="auto"/>
        <w:jc w:val="both"/>
        <w:rPr>
          <w:rFonts w:ascii="Palatino Linotype" w:eastAsia="Palatino Linotype" w:hAnsi="Palatino Linotype" w:cs="Palatino Linotype"/>
          <w:color w:val="000000"/>
        </w:rPr>
      </w:pPr>
    </w:p>
    <w:p w:rsidR="005B5F6D" w:rsidRPr="00D83E92" w:rsidRDefault="00DF0D09">
      <w:pPr>
        <w:spacing w:line="360" w:lineRule="auto"/>
        <w:jc w:val="both"/>
        <w:rPr>
          <w:rFonts w:ascii="Palatino Linotype" w:eastAsia="Palatino Linotype" w:hAnsi="Palatino Linotype" w:cs="Palatino Linotype"/>
          <w:color w:val="000000"/>
        </w:rPr>
      </w:pPr>
      <w:r w:rsidRPr="00D83E92">
        <w:rPr>
          <w:rFonts w:ascii="Palatino Linotype" w:eastAsia="Palatino Linotype" w:hAnsi="Palatino Linotype" w:cs="Palatino Linotype"/>
          <w:b/>
          <w:color w:val="000000"/>
        </w:rPr>
        <w:t>SEGUNDA. Procedencia y oportunidad.</w:t>
      </w:r>
    </w:p>
    <w:p w:rsidR="005B5F6D" w:rsidRPr="00D83E92" w:rsidRDefault="00DF0D09">
      <w:pPr>
        <w:numPr>
          <w:ilvl w:val="0"/>
          <w:numId w:val="1"/>
        </w:numPr>
        <w:spacing w:line="360" w:lineRule="auto"/>
        <w:ind w:left="0" w:firstLine="0"/>
        <w:jc w:val="both"/>
        <w:rPr>
          <w:rFonts w:ascii="Palatino Linotype" w:eastAsia="Palatino Linotype" w:hAnsi="Palatino Linotype" w:cs="Palatino Linotype"/>
          <w:color w:val="000000"/>
        </w:rPr>
      </w:pPr>
      <w:r w:rsidRPr="00D83E92">
        <w:rPr>
          <w:rFonts w:ascii="Palatino Linotype" w:eastAsia="Palatino Linotype" w:hAnsi="Palatino Linotype" w:cs="Palatino Linotype"/>
          <w:color w:val="000000"/>
        </w:rPr>
        <w:t xml:space="preserve">El Recurso de Revisión fue interpuesto dentro del plazo de quince días hábiles, hábiles contados a partir del día siguiente a la fecha de notificación de la respuesta impugnada, tal y como lo prevé el artículo 128 de la Ley de Protección de Datos Personales en Posesión de Sujetos Obligados del Estado de México y Municipios, que establece: </w:t>
      </w:r>
    </w:p>
    <w:p w:rsidR="005B5F6D" w:rsidRPr="00D83E92" w:rsidRDefault="005B5F6D">
      <w:pPr>
        <w:spacing w:line="360" w:lineRule="auto"/>
        <w:jc w:val="both"/>
        <w:rPr>
          <w:rFonts w:ascii="Palatino Linotype" w:eastAsia="Palatino Linotype" w:hAnsi="Palatino Linotype" w:cs="Palatino Linotype"/>
        </w:rPr>
      </w:pPr>
    </w:p>
    <w:p w:rsidR="005B5F6D" w:rsidRPr="00D83E92" w:rsidRDefault="00DF0D09">
      <w:pPr>
        <w:spacing w:line="276" w:lineRule="auto"/>
        <w:ind w:left="567" w:right="616"/>
        <w:jc w:val="both"/>
        <w:rPr>
          <w:rFonts w:ascii="Palatino Linotype" w:eastAsia="Palatino Linotype" w:hAnsi="Palatino Linotype" w:cs="Palatino Linotype"/>
          <w:i/>
        </w:rPr>
      </w:pPr>
      <w:r w:rsidRPr="00D83E92">
        <w:rPr>
          <w:rFonts w:ascii="Palatino Linotype" w:eastAsia="Palatino Linotype" w:hAnsi="Palatino Linotype" w:cs="Palatino Linotype"/>
          <w:i/>
        </w:rPr>
        <w:t>“</w:t>
      </w:r>
      <w:r w:rsidRPr="00D83E92">
        <w:rPr>
          <w:rFonts w:ascii="Palatino Linotype" w:eastAsia="Palatino Linotype" w:hAnsi="Palatino Linotype" w:cs="Palatino Linotype"/>
          <w:b/>
          <w:i/>
        </w:rPr>
        <w:t>Artículo 128.</w:t>
      </w:r>
      <w:r w:rsidRPr="00D83E92">
        <w:rPr>
          <w:rFonts w:ascii="Palatino Linotype" w:eastAsia="Palatino Linotype" w:hAnsi="Palatino Linotype" w:cs="Palatino Linotype"/>
          <w:i/>
        </w:rPr>
        <w:t xml:space="preserve"> 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rsidR="005B5F6D" w:rsidRPr="00D83E92" w:rsidRDefault="005B5F6D">
      <w:pPr>
        <w:spacing w:line="276" w:lineRule="auto"/>
        <w:ind w:left="567" w:right="616"/>
        <w:jc w:val="both"/>
        <w:rPr>
          <w:rFonts w:ascii="Palatino Linotype" w:eastAsia="Palatino Linotype" w:hAnsi="Palatino Linotype" w:cs="Palatino Linotype"/>
          <w:i/>
        </w:rPr>
      </w:pPr>
    </w:p>
    <w:p w:rsidR="005B5F6D" w:rsidRPr="00D83E92" w:rsidRDefault="00DF0D09">
      <w:pPr>
        <w:spacing w:line="276" w:lineRule="auto"/>
        <w:ind w:left="567" w:right="616"/>
        <w:jc w:val="both"/>
        <w:rPr>
          <w:rFonts w:ascii="Palatino Linotype" w:eastAsia="Palatino Linotype" w:hAnsi="Palatino Linotype" w:cs="Palatino Linotype"/>
          <w:i/>
        </w:rPr>
      </w:pPr>
      <w:r w:rsidRPr="00D83E92">
        <w:rPr>
          <w:rFonts w:ascii="Palatino Linotype" w:eastAsia="Palatino Linotype" w:hAnsi="Palatino Linotype" w:cs="Palatino Linotype"/>
          <w:i/>
        </w:rPr>
        <w:t xml:space="preserve">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 </w:t>
      </w:r>
    </w:p>
    <w:p w:rsidR="005B5F6D" w:rsidRPr="00D83E92" w:rsidRDefault="005B5F6D">
      <w:pPr>
        <w:spacing w:line="360" w:lineRule="auto"/>
        <w:jc w:val="both"/>
        <w:rPr>
          <w:rFonts w:ascii="Palatino Linotype" w:eastAsia="Palatino Linotype" w:hAnsi="Palatino Linotype" w:cs="Palatino Linotype"/>
        </w:rPr>
      </w:pPr>
    </w:p>
    <w:p w:rsidR="005B5F6D" w:rsidRPr="00D83E92" w:rsidRDefault="00DF0D09">
      <w:pPr>
        <w:numPr>
          <w:ilvl w:val="0"/>
          <w:numId w:val="1"/>
        </w:numPr>
        <w:spacing w:line="360" w:lineRule="auto"/>
        <w:ind w:left="0" w:firstLine="0"/>
        <w:jc w:val="both"/>
      </w:pPr>
      <w:r w:rsidRPr="00D83E92">
        <w:rPr>
          <w:rFonts w:ascii="Palatino Linotype" w:eastAsia="Palatino Linotype" w:hAnsi="Palatino Linotype" w:cs="Palatino Linotype"/>
        </w:rPr>
        <w:lastRenderedPageBreak/>
        <w:t>Por otro lado, el escrito contiene las formalidades previstas por el artículo 130,  de la citada Ley de la materia, por lo que es procedente que este Instituto conozca y resuelva el presente recurso.</w:t>
      </w:r>
    </w:p>
    <w:p w:rsidR="005B5F6D" w:rsidRPr="00D83E92" w:rsidRDefault="005B5F6D">
      <w:pPr>
        <w:spacing w:line="360" w:lineRule="auto"/>
        <w:rPr>
          <w:rFonts w:ascii="Palatino Linotype" w:eastAsia="Palatino Linotype" w:hAnsi="Palatino Linotype" w:cs="Palatino Linotype"/>
        </w:rPr>
      </w:pPr>
    </w:p>
    <w:p w:rsidR="005B5F6D" w:rsidRPr="00D83E92" w:rsidRDefault="00DF0D09">
      <w:pPr>
        <w:pStyle w:val="Ttulo2"/>
        <w:spacing w:before="0" w:line="360" w:lineRule="auto"/>
        <w:rPr>
          <w:rFonts w:ascii="Palatino Linotype" w:eastAsia="Palatino Linotype" w:hAnsi="Palatino Linotype" w:cs="Palatino Linotype"/>
          <w:b/>
          <w:color w:val="000000"/>
          <w:sz w:val="24"/>
          <w:szCs w:val="24"/>
        </w:rPr>
      </w:pPr>
      <w:r w:rsidRPr="00D83E92">
        <w:rPr>
          <w:rFonts w:ascii="Palatino Linotype" w:eastAsia="Palatino Linotype" w:hAnsi="Palatino Linotype" w:cs="Palatino Linotype"/>
          <w:b/>
          <w:color w:val="000000"/>
          <w:sz w:val="24"/>
          <w:szCs w:val="24"/>
        </w:rPr>
        <w:t>TERCERO. Estudio y resolución del asunto.</w:t>
      </w:r>
    </w:p>
    <w:p w:rsidR="005B5F6D" w:rsidRPr="00D83E92" w:rsidRDefault="00DF0D09">
      <w:pPr>
        <w:numPr>
          <w:ilvl w:val="0"/>
          <w:numId w:val="1"/>
        </w:numPr>
        <w:spacing w:line="360" w:lineRule="auto"/>
        <w:ind w:left="0" w:firstLine="0"/>
        <w:jc w:val="both"/>
        <w:rPr>
          <w:rFonts w:ascii="Palatino Linotype" w:hAnsi="Palatino Linotype"/>
        </w:rPr>
      </w:pPr>
      <w:r w:rsidRPr="00D83E92">
        <w:rPr>
          <w:rFonts w:ascii="Palatino Linotype" w:hAnsi="Palatino Linotype"/>
        </w:rPr>
        <w:t xml:space="preserve">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w:t>
      </w:r>
      <w:proofErr w:type="spellStart"/>
      <w:r w:rsidRPr="00D83E92">
        <w:rPr>
          <w:rFonts w:ascii="Palatino Linotype" w:hAnsi="Palatino Linotype"/>
        </w:rPr>
        <w:t>desechamiento</w:t>
      </w:r>
      <w:proofErr w:type="spellEnd"/>
      <w:r w:rsidRPr="00D83E92">
        <w:rPr>
          <w:rFonts w:ascii="Palatino Linotype" w:hAnsi="Palatino Linotype"/>
        </w:rPr>
        <w:t xml:space="preserve"> o sobreseimiento; y en su caso ordenar la entrega de la información con respecto a la respuesta emitida por el Sujeto Obligado. </w:t>
      </w:r>
    </w:p>
    <w:p w:rsidR="005B5F6D" w:rsidRPr="00D83E92" w:rsidRDefault="005B5F6D">
      <w:pPr>
        <w:spacing w:line="360" w:lineRule="auto"/>
        <w:jc w:val="both"/>
        <w:rPr>
          <w:rFonts w:ascii="Palatino Linotype" w:hAnsi="Palatino Linotype"/>
        </w:rPr>
      </w:pPr>
    </w:p>
    <w:p w:rsidR="005B5F6D" w:rsidRPr="00D83E92" w:rsidRDefault="00DF0D09">
      <w:pPr>
        <w:numPr>
          <w:ilvl w:val="0"/>
          <w:numId w:val="1"/>
        </w:numPr>
        <w:spacing w:line="360" w:lineRule="auto"/>
        <w:ind w:left="0" w:firstLine="0"/>
        <w:jc w:val="both"/>
        <w:rPr>
          <w:rFonts w:ascii="Palatino Linotype" w:hAnsi="Palatino Linotype"/>
        </w:rPr>
      </w:pPr>
      <w:r w:rsidRPr="00D83E92">
        <w:rPr>
          <w:rFonts w:ascii="Palatino Linotype" w:hAnsi="Palatino Linotype"/>
        </w:rPr>
        <w:t xml:space="preserve">En una aproximación inicial, vale la pena mencionar que el ejercicio de los derechos </w:t>
      </w:r>
      <w:r w:rsidRPr="00D83E92">
        <w:rPr>
          <w:rFonts w:ascii="Palatino Linotype" w:hAnsi="Palatino Linotype"/>
          <w:b/>
        </w:rPr>
        <w:t>ARCO</w:t>
      </w:r>
      <w:r w:rsidRPr="00D83E92">
        <w:rPr>
          <w:rFonts w:ascii="Palatino Linotype" w:hAnsi="Palatino Linotype"/>
        </w:rPr>
        <w:t xml:space="preserve"> se encuentra regulado por el artículo 6 apartado A, y 16, segundo párrafo, de la Constitución de los Estados Unidos Mexicanos, el cual establece que:</w:t>
      </w:r>
    </w:p>
    <w:p w:rsidR="005B5F6D" w:rsidRPr="00D83E92" w:rsidRDefault="005B5F6D">
      <w:pPr>
        <w:spacing w:line="360" w:lineRule="auto"/>
        <w:jc w:val="both"/>
        <w:rPr>
          <w:rFonts w:ascii="Palatino Linotype" w:hAnsi="Palatino Linotype"/>
        </w:rPr>
      </w:pPr>
    </w:p>
    <w:p w:rsidR="005B5F6D" w:rsidRPr="00D83E92" w:rsidRDefault="00DF0D09">
      <w:pPr>
        <w:ind w:left="1134" w:right="902"/>
        <w:jc w:val="both"/>
        <w:rPr>
          <w:rFonts w:ascii="Palatino Linotype" w:hAnsi="Palatino Linotype"/>
          <w:i/>
          <w:sz w:val="22"/>
          <w:szCs w:val="22"/>
        </w:rPr>
      </w:pPr>
      <w:r w:rsidRPr="00D83E92">
        <w:rPr>
          <w:rFonts w:ascii="Palatino Linotype" w:hAnsi="Palatino Linotype"/>
        </w:rPr>
        <w:t xml:space="preserve"> </w:t>
      </w:r>
      <w:r w:rsidRPr="00D83E92">
        <w:rPr>
          <w:rFonts w:ascii="Palatino Linotype" w:hAnsi="Palatino Linotype"/>
          <w:i/>
          <w:sz w:val="22"/>
          <w:szCs w:val="22"/>
        </w:rP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(Sic)</w:t>
      </w:r>
    </w:p>
    <w:p w:rsidR="005B5F6D" w:rsidRPr="00D83E92" w:rsidRDefault="005B5F6D">
      <w:pPr>
        <w:spacing w:line="360" w:lineRule="auto"/>
        <w:jc w:val="both"/>
        <w:rPr>
          <w:rFonts w:ascii="Palatino Linotype" w:hAnsi="Palatino Linotype"/>
        </w:rPr>
      </w:pPr>
    </w:p>
    <w:p w:rsidR="005B5F6D" w:rsidRPr="00D83E92" w:rsidRDefault="00DF0D09">
      <w:pPr>
        <w:numPr>
          <w:ilvl w:val="0"/>
          <w:numId w:val="1"/>
        </w:numPr>
        <w:spacing w:line="360" w:lineRule="auto"/>
        <w:ind w:left="0" w:firstLine="0"/>
        <w:jc w:val="both"/>
        <w:rPr>
          <w:rFonts w:ascii="Palatino Linotype" w:hAnsi="Palatino Linotype"/>
        </w:rPr>
      </w:pPr>
      <w:r w:rsidRPr="00D83E92">
        <w:rPr>
          <w:rFonts w:ascii="Palatino Linotype" w:hAnsi="Palatino Linotype"/>
        </w:rPr>
        <w:t xml:space="preserve">En este sentido, dichas prerrogativas se encuentran invariablemente ligadas a los principios de licitud, finalidad, lealtad, consentimiento, calidad, proporcionalidad, información y responsabilidad. </w:t>
      </w:r>
    </w:p>
    <w:p w:rsidR="005B5F6D" w:rsidRPr="00D83E92" w:rsidRDefault="005B5F6D">
      <w:pPr>
        <w:spacing w:line="360" w:lineRule="auto"/>
        <w:jc w:val="both"/>
        <w:rPr>
          <w:rFonts w:ascii="Palatino Linotype" w:hAnsi="Palatino Linotype"/>
        </w:rPr>
      </w:pPr>
    </w:p>
    <w:p w:rsidR="005B5F6D" w:rsidRPr="00D83E92" w:rsidRDefault="00DF0D09">
      <w:pPr>
        <w:numPr>
          <w:ilvl w:val="0"/>
          <w:numId w:val="1"/>
        </w:numPr>
        <w:spacing w:line="360" w:lineRule="auto"/>
        <w:ind w:left="0" w:firstLine="0"/>
        <w:jc w:val="both"/>
        <w:rPr>
          <w:rFonts w:ascii="Palatino Linotype" w:hAnsi="Palatino Linotype"/>
        </w:rPr>
      </w:pPr>
      <w:r w:rsidRPr="00D83E92">
        <w:rPr>
          <w:rFonts w:ascii="Palatino Linotype" w:hAnsi="Palatino Linotype"/>
        </w:rPr>
        <w:lastRenderedPageBreak/>
        <w:t xml:space="preserve">En relación a las causales de improcedencia, el artículo 138, de la Ley de Protección de Datos Personales en Posesión de Sujetos Obligados del Estado de México y Municipios, contempla las siguientes causales: </w:t>
      </w:r>
    </w:p>
    <w:p w:rsidR="005B5F6D" w:rsidRPr="00D83E92" w:rsidRDefault="005B5F6D">
      <w:pPr>
        <w:spacing w:line="360" w:lineRule="auto"/>
        <w:jc w:val="both"/>
        <w:rPr>
          <w:rFonts w:ascii="Palatino Linotype" w:hAnsi="Palatino Linotype"/>
        </w:rPr>
      </w:pPr>
    </w:p>
    <w:p w:rsidR="005B5F6D" w:rsidRPr="00D83E92" w:rsidRDefault="00DF0D09">
      <w:pPr>
        <w:ind w:left="1134" w:right="900"/>
        <w:jc w:val="both"/>
        <w:rPr>
          <w:rFonts w:ascii="Palatino Linotype" w:hAnsi="Palatino Linotype"/>
          <w:i/>
          <w:sz w:val="22"/>
          <w:szCs w:val="22"/>
        </w:rPr>
      </w:pPr>
      <w:r w:rsidRPr="00D83E92">
        <w:rPr>
          <w:rFonts w:ascii="Palatino Linotype" w:hAnsi="Palatino Linotype"/>
          <w:i/>
          <w:sz w:val="22"/>
          <w:szCs w:val="22"/>
        </w:rPr>
        <w:t xml:space="preserve">“Artículo 138. El recurso de revisión podrá ser desechado por improcedente cuando: </w:t>
      </w:r>
    </w:p>
    <w:p w:rsidR="005B5F6D" w:rsidRPr="00D83E92" w:rsidRDefault="00DF0D09">
      <w:pPr>
        <w:ind w:left="1134" w:right="900"/>
        <w:jc w:val="both"/>
        <w:rPr>
          <w:rFonts w:ascii="Palatino Linotype" w:hAnsi="Palatino Linotype"/>
          <w:i/>
          <w:sz w:val="22"/>
          <w:szCs w:val="22"/>
        </w:rPr>
      </w:pPr>
      <w:r w:rsidRPr="00D83E92">
        <w:rPr>
          <w:rFonts w:ascii="Palatino Linotype" w:hAnsi="Palatino Linotype"/>
          <w:i/>
          <w:sz w:val="22"/>
          <w:szCs w:val="22"/>
        </w:rPr>
        <w:t xml:space="preserve">I. Sea extemporáneo por haber transcurrido el plazo establecido en el artículo 128 de la presente Ley. </w:t>
      </w:r>
    </w:p>
    <w:p w:rsidR="005B5F6D" w:rsidRPr="00D83E92" w:rsidRDefault="00DF0D09">
      <w:pPr>
        <w:ind w:left="1134" w:right="900"/>
        <w:jc w:val="both"/>
        <w:rPr>
          <w:rFonts w:ascii="Palatino Linotype" w:hAnsi="Palatino Linotype"/>
          <w:i/>
          <w:sz w:val="22"/>
          <w:szCs w:val="22"/>
        </w:rPr>
      </w:pPr>
      <w:r w:rsidRPr="00D83E92">
        <w:rPr>
          <w:rFonts w:ascii="Palatino Linotype" w:hAnsi="Palatino Linotype"/>
          <w:i/>
          <w:sz w:val="22"/>
          <w:szCs w:val="22"/>
        </w:rPr>
        <w:t xml:space="preserve">II. El titular o su representante no acrediten debidamente su identidad y personalidad de este último. </w:t>
      </w:r>
    </w:p>
    <w:p w:rsidR="005B5F6D" w:rsidRPr="00D83E92" w:rsidRDefault="00DF0D09">
      <w:pPr>
        <w:ind w:left="1134" w:right="900"/>
        <w:jc w:val="both"/>
        <w:rPr>
          <w:rFonts w:ascii="Palatino Linotype" w:hAnsi="Palatino Linotype"/>
          <w:i/>
          <w:sz w:val="22"/>
          <w:szCs w:val="22"/>
        </w:rPr>
      </w:pPr>
      <w:r w:rsidRPr="00D83E92">
        <w:rPr>
          <w:rFonts w:ascii="Palatino Linotype" w:hAnsi="Palatino Linotype"/>
          <w:i/>
          <w:sz w:val="22"/>
          <w:szCs w:val="22"/>
        </w:rPr>
        <w:t>III. El Instituto haya resuelto anteriormente en definitiva sobre la materia del mismo.</w:t>
      </w:r>
    </w:p>
    <w:p w:rsidR="005B5F6D" w:rsidRPr="00D83E92" w:rsidRDefault="00DF0D09">
      <w:pPr>
        <w:ind w:left="1134" w:right="900"/>
        <w:jc w:val="both"/>
        <w:rPr>
          <w:rFonts w:ascii="Palatino Linotype" w:hAnsi="Palatino Linotype"/>
          <w:i/>
          <w:sz w:val="22"/>
          <w:szCs w:val="22"/>
        </w:rPr>
      </w:pPr>
      <w:r w:rsidRPr="00D83E92">
        <w:rPr>
          <w:rFonts w:ascii="Palatino Linotype" w:hAnsi="Palatino Linotype"/>
          <w:i/>
          <w:sz w:val="22"/>
          <w:szCs w:val="22"/>
        </w:rPr>
        <w:t xml:space="preserve">IV. No se actualice alguna de las causales del recurso de revisión previstas en el artículo 129 de la presente Ley. </w:t>
      </w:r>
    </w:p>
    <w:p w:rsidR="005B5F6D" w:rsidRPr="00D83E92" w:rsidRDefault="00DF0D09">
      <w:pPr>
        <w:ind w:left="1134" w:right="900"/>
        <w:jc w:val="both"/>
        <w:rPr>
          <w:rFonts w:ascii="Palatino Linotype" w:hAnsi="Palatino Linotype"/>
          <w:i/>
          <w:sz w:val="22"/>
          <w:szCs w:val="22"/>
        </w:rPr>
      </w:pPr>
      <w:r w:rsidRPr="00D83E92">
        <w:rPr>
          <w:rFonts w:ascii="Palatino Linotype" w:hAnsi="Palatino Linotype"/>
          <w:i/>
          <w:sz w:val="22"/>
          <w:szCs w:val="22"/>
        </w:rPr>
        <w:t xml:space="preserve">V. Se esté tramitando ante los tribunales competentes algún recurso o medio de defensa interpuesto por el recurrente, o en su caso, por el tercero interesado, en contra del acto recurrido ante el Instituto. </w:t>
      </w:r>
    </w:p>
    <w:p w:rsidR="005B5F6D" w:rsidRPr="00D83E92" w:rsidRDefault="00DF0D09">
      <w:pPr>
        <w:ind w:left="1134" w:right="900"/>
        <w:jc w:val="both"/>
        <w:rPr>
          <w:rFonts w:ascii="Palatino Linotype" w:hAnsi="Palatino Linotype"/>
          <w:i/>
          <w:sz w:val="22"/>
          <w:szCs w:val="22"/>
        </w:rPr>
      </w:pPr>
      <w:r w:rsidRPr="00D83E92">
        <w:rPr>
          <w:rFonts w:ascii="Palatino Linotype" w:hAnsi="Palatino Linotype"/>
          <w:i/>
          <w:sz w:val="22"/>
          <w:szCs w:val="22"/>
        </w:rPr>
        <w:t xml:space="preserve">VI. El recurrente modifique o amplíe su petición en el recurso de revisión, únicamente respecto de los nuevos contenidos. </w:t>
      </w:r>
    </w:p>
    <w:p w:rsidR="005B5F6D" w:rsidRPr="00D83E92" w:rsidRDefault="00DF0D09">
      <w:pPr>
        <w:ind w:left="1134" w:right="900"/>
        <w:jc w:val="both"/>
        <w:rPr>
          <w:rFonts w:ascii="Palatino Linotype" w:hAnsi="Palatino Linotype"/>
          <w:i/>
          <w:sz w:val="22"/>
          <w:szCs w:val="22"/>
        </w:rPr>
      </w:pPr>
      <w:r w:rsidRPr="00D83E92">
        <w:rPr>
          <w:rFonts w:ascii="Palatino Linotype" w:hAnsi="Palatino Linotype"/>
          <w:i/>
          <w:sz w:val="22"/>
          <w:szCs w:val="22"/>
        </w:rPr>
        <w:t xml:space="preserve">VII. El recurrente no acredite interés jurídico. </w:t>
      </w:r>
    </w:p>
    <w:p w:rsidR="005B5F6D" w:rsidRPr="00D83E92" w:rsidRDefault="00DF0D09">
      <w:pPr>
        <w:ind w:left="1134" w:right="900"/>
        <w:jc w:val="both"/>
        <w:rPr>
          <w:rFonts w:ascii="Palatino Linotype" w:hAnsi="Palatino Linotype"/>
          <w:i/>
          <w:sz w:val="22"/>
          <w:szCs w:val="22"/>
        </w:rPr>
      </w:pPr>
      <w:r w:rsidRPr="00D83E92">
        <w:rPr>
          <w:rFonts w:ascii="Palatino Linotype" w:hAnsi="Palatino Linotype"/>
          <w:i/>
          <w:sz w:val="22"/>
          <w:szCs w:val="22"/>
        </w:rPr>
        <w:t xml:space="preserve">El </w:t>
      </w:r>
      <w:proofErr w:type="spellStart"/>
      <w:r w:rsidRPr="00D83E92">
        <w:rPr>
          <w:rFonts w:ascii="Palatino Linotype" w:hAnsi="Palatino Linotype"/>
          <w:i/>
          <w:sz w:val="22"/>
          <w:szCs w:val="22"/>
        </w:rPr>
        <w:t>desechamiento</w:t>
      </w:r>
      <w:proofErr w:type="spellEnd"/>
      <w:r w:rsidRPr="00D83E92">
        <w:rPr>
          <w:rFonts w:ascii="Palatino Linotype" w:hAnsi="Palatino Linotype"/>
          <w:i/>
          <w:sz w:val="22"/>
          <w:szCs w:val="22"/>
        </w:rPr>
        <w:t xml:space="preserve"> no implica la preclusión del derecho del titular para interponer ante el Instituto un nuevo recurso de revisión.”[Sic] </w:t>
      </w:r>
    </w:p>
    <w:p w:rsidR="005B5F6D" w:rsidRPr="00D83E92" w:rsidRDefault="005B5F6D">
      <w:pPr>
        <w:spacing w:line="360" w:lineRule="auto"/>
        <w:jc w:val="both"/>
        <w:rPr>
          <w:rFonts w:ascii="Palatino Linotype" w:hAnsi="Palatino Linotype"/>
        </w:rPr>
      </w:pPr>
    </w:p>
    <w:p w:rsidR="005B5F6D" w:rsidRPr="00D83E92" w:rsidRDefault="00DF0D09">
      <w:pPr>
        <w:numPr>
          <w:ilvl w:val="0"/>
          <w:numId w:val="1"/>
        </w:numPr>
        <w:spacing w:line="360" w:lineRule="auto"/>
        <w:ind w:left="0" w:firstLine="0"/>
        <w:jc w:val="both"/>
        <w:rPr>
          <w:rFonts w:ascii="Palatino Linotype" w:hAnsi="Palatino Linotype"/>
        </w:rPr>
      </w:pPr>
      <w:r w:rsidRPr="00D83E92">
        <w:rPr>
          <w:rFonts w:ascii="Palatino Linotype" w:hAnsi="Palatino Linotype"/>
        </w:rPr>
        <w:t xml:space="preserve">Con base en lo establecido en el precepto de referencia, resulta oportuno señalar que a la fecha que se resuelve no se actualiza ninguna de las causales de improcedencia; ya que, la parte Recurrente presentó su recurso dentro del término de quince días otorgado por la Ley; no se tiene conocimiento de que el Instituto o, en su caso, los Organismos Garantes hayan resuelto en definitiva sobre la materia del mismo; no se tiene conocimiento de que se esté tramitando ante los tribunales competentes algún recurso o medio de defensa interpuesto por la parte Recurrente, o en su caso, por el tercero interesado, en contra del acto recurrido ante el Instituto o los Organismos garantes, el particular no amplió su solicitud a través de su medio de impugnación. </w:t>
      </w:r>
    </w:p>
    <w:p w:rsidR="005B5F6D" w:rsidRPr="00D83E92" w:rsidRDefault="005B5F6D">
      <w:pPr>
        <w:spacing w:line="360" w:lineRule="auto"/>
        <w:jc w:val="both"/>
        <w:rPr>
          <w:rFonts w:ascii="Palatino Linotype" w:hAnsi="Palatino Linotype"/>
        </w:rPr>
      </w:pPr>
    </w:p>
    <w:p w:rsidR="005B5F6D" w:rsidRPr="00D83E92" w:rsidRDefault="00DF0D09">
      <w:pPr>
        <w:numPr>
          <w:ilvl w:val="0"/>
          <w:numId w:val="1"/>
        </w:numPr>
        <w:spacing w:line="360" w:lineRule="auto"/>
        <w:ind w:left="0" w:firstLine="0"/>
        <w:jc w:val="both"/>
        <w:rPr>
          <w:rFonts w:ascii="Palatino Linotype" w:hAnsi="Palatino Linotype"/>
        </w:rPr>
      </w:pPr>
      <w:r w:rsidRPr="00D83E92">
        <w:rPr>
          <w:rFonts w:ascii="Palatino Linotype" w:hAnsi="Palatino Linotype"/>
        </w:rPr>
        <w:t xml:space="preserve">Precisado lo anterior, con la finalidad de ilustrar la controversia suscitada, se trae a cuenta que la parte Recurrente, requirió lo siguiente: </w:t>
      </w:r>
    </w:p>
    <w:p w:rsidR="005B5F6D" w:rsidRPr="00D83E92" w:rsidRDefault="005B5F6D">
      <w:pPr>
        <w:spacing w:line="360" w:lineRule="auto"/>
        <w:jc w:val="both"/>
        <w:rPr>
          <w:rFonts w:ascii="Palatino Linotype" w:hAnsi="Palatino Linotype"/>
        </w:rPr>
      </w:pPr>
    </w:p>
    <w:p w:rsidR="005B5F6D" w:rsidRPr="00D83E92" w:rsidRDefault="00DF0D09">
      <w:pPr>
        <w:spacing w:line="360" w:lineRule="auto"/>
        <w:ind w:left="567" w:right="900"/>
        <w:jc w:val="both"/>
        <w:rPr>
          <w:rFonts w:ascii="Palatino Linotype" w:hAnsi="Palatino Linotype"/>
          <w:sz w:val="22"/>
          <w:szCs w:val="22"/>
        </w:rPr>
      </w:pPr>
      <w:r w:rsidRPr="00D83E92">
        <w:rPr>
          <w:rFonts w:ascii="Palatino Linotype" w:hAnsi="Palatino Linotype"/>
          <w:sz w:val="22"/>
          <w:szCs w:val="22"/>
        </w:rPr>
        <w:t>“</w:t>
      </w:r>
      <w:r w:rsidRPr="00D83E92">
        <w:rPr>
          <w:rFonts w:ascii="Palatino Linotype" w:hAnsi="Palatino Linotype"/>
          <w:i/>
          <w:color w:val="000000"/>
          <w:sz w:val="22"/>
          <w:szCs w:val="22"/>
        </w:rPr>
        <w:t xml:space="preserve">solicito de la manera más atenta a la Secretaría General de Gobierno, al Municipio de </w:t>
      </w:r>
      <w:proofErr w:type="spellStart"/>
      <w:r w:rsidRPr="00D83E92">
        <w:rPr>
          <w:rFonts w:ascii="Palatino Linotype" w:hAnsi="Palatino Linotype"/>
          <w:i/>
          <w:color w:val="000000"/>
          <w:sz w:val="22"/>
          <w:szCs w:val="22"/>
        </w:rPr>
        <w:t>Cuautitlan</w:t>
      </w:r>
      <w:proofErr w:type="spellEnd"/>
      <w:r w:rsidRPr="00D83E92">
        <w:rPr>
          <w:rFonts w:ascii="Palatino Linotype" w:hAnsi="Palatino Linotype"/>
          <w:i/>
          <w:color w:val="000000"/>
          <w:sz w:val="22"/>
          <w:szCs w:val="22"/>
        </w:rPr>
        <w:t xml:space="preserve"> Izcalli, OPERAGUA y Secretaría de Finanzas del Estado de México, se sirvan informar, así como proporcionar en vía digital los tramites, solicitudes, pagos de derechos así como de impuestos de la persona moral SUZUKI MOTOR DE MÉXICO S.A. DE C.V. y/o SUZUKI SERVICIOS DE MÉXICO S.A. DE C.V. por el periodo comprendido del 5 de junio de 2020 a la fecha. Lo anterior debido a diversos trámites personales, ya que la empresa antes mencionada a estado usando mi nombre para dichos tramites sin mi consentimiento”</w:t>
      </w:r>
    </w:p>
    <w:p w:rsidR="005B5F6D" w:rsidRPr="00D83E92" w:rsidRDefault="005B5F6D">
      <w:pPr>
        <w:spacing w:line="360" w:lineRule="auto"/>
        <w:jc w:val="both"/>
        <w:rPr>
          <w:rFonts w:ascii="Palatino Linotype" w:hAnsi="Palatino Linotype"/>
        </w:rPr>
      </w:pPr>
    </w:p>
    <w:p w:rsidR="005B5F6D" w:rsidRPr="00D83E92" w:rsidRDefault="00DF0D09">
      <w:pPr>
        <w:numPr>
          <w:ilvl w:val="0"/>
          <w:numId w:val="1"/>
        </w:numPr>
        <w:spacing w:line="360" w:lineRule="auto"/>
        <w:ind w:left="0" w:firstLine="0"/>
        <w:jc w:val="both"/>
        <w:rPr>
          <w:rFonts w:ascii="Palatino Linotype" w:hAnsi="Palatino Linotype"/>
        </w:rPr>
      </w:pPr>
      <w:r w:rsidRPr="00D83E92">
        <w:rPr>
          <w:rFonts w:ascii="Palatino Linotype" w:hAnsi="Palatino Linotype"/>
        </w:rPr>
        <w:t xml:space="preserve">El Sujeto Obligado realizó un requerimiento al solicitante para acreditar su personalidad como representante legal de la </w:t>
      </w:r>
      <w:r w:rsidRPr="00D83E92">
        <w:rPr>
          <w:rFonts w:ascii="Palatino Linotype" w:hAnsi="Palatino Linotype"/>
          <w:b/>
          <w:i/>
          <w:color w:val="000000"/>
          <w:szCs w:val="22"/>
        </w:rPr>
        <w:t>persona moral SUZUKI MOTOR DE MÉXICO S.A. DE C.V</w:t>
      </w:r>
      <w:r w:rsidRPr="00D83E92">
        <w:rPr>
          <w:rFonts w:ascii="Palatino Linotype" w:hAnsi="Palatino Linotype"/>
          <w:b/>
          <w:color w:val="000000"/>
          <w:szCs w:val="22"/>
        </w:rPr>
        <w:t xml:space="preserve">, </w:t>
      </w:r>
      <w:r w:rsidRPr="00D83E92">
        <w:rPr>
          <w:rFonts w:ascii="Palatino Linotype" w:hAnsi="Palatino Linotype"/>
          <w:color w:val="000000"/>
          <w:szCs w:val="22"/>
        </w:rPr>
        <w:t>en cuya aclaración el particular manifestó haber ingresado su solicitud como particular.</w:t>
      </w:r>
    </w:p>
    <w:p w:rsidR="005B5F6D" w:rsidRPr="00D83E92" w:rsidRDefault="00DF0D09">
      <w:pPr>
        <w:numPr>
          <w:ilvl w:val="0"/>
          <w:numId w:val="1"/>
        </w:numPr>
        <w:spacing w:line="360" w:lineRule="auto"/>
        <w:ind w:left="0" w:firstLine="0"/>
        <w:jc w:val="both"/>
        <w:rPr>
          <w:rFonts w:ascii="Palatino Linotype" w:hAnsi="Palatino Linotype"/>
        </w:rPr>
      </w:pPr>
      <w:r w:rsidRPr="00D83E92">
        <w:rPr>
          <w:rFonts w:ascii="Palatino Linotype" w:hAnsi="Palatino Linotype"/>
          <w:color w:val="000000"/>
          <w:szCs w:val="22"/>
        </w:rPr>
        <w:t>De lo anterior, el Sujeto Obligado emitió respuesta en el siguiente sentido:</w:t>
      </w:r>
    </w:p>
    <w:p w:rsidR="005B5F6D" w:rsidRPr="00D83E92" w:rsidRDefault="00DF0D09">
      <w:pPr>
        <w:pStyle w:val="Prrafodelista"/>
        <w:numPr>
          <w:ilvl w:val="0"/>
          <w:numId w:val="2"/>
        </w:numPr>
        <w:ind w:left="1134" w:right="758"/>
        <w:jc w:val="both"/>
        <w:rPr>
          <w:rFonts w:ascii="Palatino Linotype" w:hAnsi="Palatino Linotype"/>
          <w:color w:val="000000"/>
          <w:sz w:val="22"/>
          <w:szCs w:val="22"/>
        </w:rPr>
      </w:pPr>
      <w:r w:rsidRPr="00D83E92">
        <w:rPr>
          <w:rFonts w:ascii="Palatino Linotype" w:hAnsi="Palatino Linotype"/>
          <w:color w:val="000000"/>
          <w:sz w:val="22"/>
          <w:szCs w:val="22"/>
        </w:rPr>
        <w:t xml:space="preserve">Conforme al Reglamento de Organización Interna de la Administración Pública del Municipio de Cuautitlán Izcalli, </w:t>
      </w:r>
      <w:r w:rsidRPr="00D83E92">
        <w:rPr>
          <w:rFonts w:ascii="Palatino Linotype" w:hAnsi="Palatino Linotype"/>
          <w:b/>
          <w:color w:val="000000"/>
          <w:sz w:val="22"/>
          <w:szCs w:val="22"/>
        </w:rPr>
        <w:t>la Secretaría General de Gobierno, OPERAGUA y la Secretaría de Finanzas del Estado de México</w:t>
      </w:r>
      <w:r w:rsidRPr="00D83E92">
        <w:rPr>
          <w:rFonts w:ascii="Palatino Linotype" w:hAnsi="Palatino Linotype"/>
          <w:color w:val="000000"/>
          <w:sz w:val="22"/>
          <w:szCs w:val="22"/>
        </w:rPr>
        <w:t>, no están adscritas al Ayuntamiento de Cuautitlán Izcalli.</w:t>
      </w:r>
    </w:p>
    <w:p w:rsidR="005B5F6D" w:rsidRPr="00D83E92" w:rsidRDefault="005B5F6D">
      <w:pPr>
        <w:pStyle w:val="Prrafodelista"/>
        <w:ind w:left="1134" w:right="758"/>
        <w:jc w:val="both"/>
        <w:rPr>
          <w:rFonts w:ascii="Palatino Linotype" w:hAnsi="Palatino Linotype"/>
          <w:color w:val="000000"/>
          <w:sz w:val="22"/>
          <w:szCs w:val="22"/>
        </w:rPr>
      </w:pPr>
    </w:p>
    <w:p w:rsidR="005B5F6D" w:rsidRPr="00D83E92" w:rsidRDefault="00DF0D09">
      <w:pPr>
        <w:pStyle w:val="Prrafodelista"/>
        <w:numPr>
          <w:ilvl w:val="0"/>
          <w:numId w:val="2"/>
        </w:numPr>
        <w:ind w:left="1134" w:right="758"/>
        <w:jc w:val="both"/>
        <w:rPr>
          <w:rFonts w:ascii="Palatino Linotype" w:hAnsi="Palatino Linotype"/>
          <w:color w:val="000000"/>
          <w:sz w:val="22"/>
          <w:szCs w:val="22"/>
        </w:rPr>
      </w:pPr>
      <w:r w:rsidRPr="00D83E92">
        <w:rPr>
          <w:rFonts w:ascii="Palatino Linotype" w:hAnsi="Palatino Linotype"/>
          <w:color w:val="000000"/>
          <w:sz w:val="22"/>
          <w:szCs w:val="22"/>
        </w:rPr>
        <w:t>El solicitante pretende acceder a “</w:t>
      </w:r>
      <w:r w:rsidRPr="00D83E92">
        <w:rPr>
          <w:rFonts w:ascii="Palatino Linotype" w:hAnsi="Palatino Linotype"/>
          <w:i/>
          <w:color w:val="000000"/>
          <w:sz w:val="22"/>
          <w:szCs w:val="22"/>
        </w:rPr>
        <w:t>los tramites, solicitudes, pagos de derechos, así como de impuestos de la persona moral SUZUKI MOTOR DE MÉXICO S.A. DE C.V. y/o SUZUKI SERVICIOS DE MÉXICO S.A. DE C.V. por el periodo comprendido del 5 de junio de 2020 a la fecha” (Sic)</w:t>
      </w:r>
      <w:r w:rsidRPr="00D83E92">
        <w:rPr>
          <w:rFonts w:ascii="Palatino Linotype" w:hAnsi="Palatino Linotype"/>
          <w:color w:val="000000"/>
          <w:sz w:val="22"/>
          <w:szCs w:val="22"/>
        </w:rPr>
        <w:t>, por lo que no es posible dar contestación a su solicitud ya que no anexa documento legal que acredite ser representante legal de la persona moral mencionada en este mismo párrafo.</w:t>
      </w:r>
    </w:p>
    <w:p w:rsidR="005B5F6D" w:rsidRPr="00D83E92" w:rsidRDefault="005B5F6D">
      <w:pPr>
        <w:spacing w:line="360" w:lineRule="auto"/>
        <w:rPr>
          <w:rFonts w:cs="Tahoma"/>
          <w:iCs/>
          <w:lang w:val="es-ES" w:eastAsia="es-ES"/>
        </w:rPr>
      </w:pPr>
    </w:p>
    <w:p w:rsidR="005B5F6D" w:rsidRPr="00D83E92" w:rsidRDefault="00DF0D09">
      <w:pPr>
        <w:numPr>
          <w:ilvl w:val="0"/>
          <w:numId w:val="1"/>
        </w:numPr>
        <w:spacing w:line="360" w:lineRule="auto"/>
        <w:ind w:left="0" w:firstLine="0"/>
        <w:jc w:val="both"/>
        <w:rPr>
          <w:rFonts w:ascii="Palatino Linotype" w:hAnsi="Palatino Linotype"/>
        </w:rPr>
      </w:pPr>
      <w:r w:rsidRPr="00D83E92">
        <w:rPr>
          <w:rFonts w:ascii="Palatino Linotype" w:hAnsi="Palatino Linotype" w:cs="Tahoma"/>
          <w:lang w:val="es-ES"/>
        </w:rPr>
        <w:t>Expuestas las posturas de las partes, se procede analizar la incompetencia manifestada por el Sujeto Obligado.</w:t>
      </w:r>
    </w:p>
    <w:p w:rsidR="005B5F6D" w:rsidRPr="00D83E92" w:rsidRDefault="005B5F6D">
      <w:pPr>
        <w:spacing w:line="360" w:lineRule="auto"/>
        <w:jc w:val="both"/>
        <w:rPr>
          <w:rFonts w:ascii="Palatino Linotype" w:hAnsi="Palatino Linotype"/>
        </w:rPr>
      </w:pPr>
    </w:p>
    <w:p w:rsidR="005B5F6D" w:rsidRPr="00D83E92" w:rsidRDefault="00DF0D09">
      <w:pPr>
        <w:numPr>
          <w:ilvl w:val="0"/>
          <w:numId w:val="1"/>
        </w:numPr>
        <w:spacing w:line="360" w:lineRule="auto"/>
        <w:ind w:left="0" w:firstLine="0"/>
        <w:jc w:val="both"/>
        <w:rPr>
          <w:rFonts w:ascii="Palatino Linotype" w:hAnsi="Palatino Linotype"/>
          <w:b/>
        </w:rPr>
      </w:pPr>
      <w:r w:rsidRPr="00D83E92">
        <w:rPr>
          <w:rFonts w:ascii="Palatino Linotype" w:hAnsi="Palatino Linotype"/>
        </w:rPr>
        <w:t xml:space="preserve">Al respecto, de los artículos 49, fracción II, 53, fracción III y 167 de la Ley de Transparencia y Acceso a la Información Pública del Estado de México y Municipios, se desprende que las Unidades de Transparencia son responsables de orientar a los particulares respecto de la dependencia, entidad u órgano que pudiera tener la información requerida, </w:t>
      </w:r>
      <w:r w:rsidRPr="00D83E92">
        <w:rPr>
          <w:rFonts w:ascii="Palatino Linotype" w:hAnsi="Palatino Linotype"/>
          <w:b/>
        </w:rPr>
        <w:t>cuando la misma no sea competencia del sujeto obligado ante el cual se formule la solicitud de acceso.</w:t>
      </w:r>
    </w:p>
    <w:p w:rsidR="005B5F6D" w:rsidRPr="00D83E92" w:rsidRDefault="005B5F6D">
      <w:pPr>
        <w:spacing w:line="360" w:lineRule="auto"/>
        <w:rPr>
          <w:rFonts w:ascii="Palatino Linotype" w:hAnsi="Palatino Linotype"/>
          <w:b/>
        </w:rPr>
      </w:pPr>
    </w:p>
    <w:p w:rsidR="005B5F6D" w:rsidRPr="00D83E92" w:rsidRDefault="00DF0D09">
      <w:pPr>
        <w:numPr>
          <w:ilvl w:val="0"/>
          <w:numId w:val="1"/>
        </w:numPr>
        <w:spacing w:line="360" w:lineRule="auto"/>
        <w:ind w:left="0" w:firstLine="0"/>
        <w:jc w:val="both"/>
        <w:rPr>
          <w:rFonts w:ascii="Palatino Linotype" w:hAnsi="Palatino Linotype"/>
        </w:rPr>
      </w:pPr>
      <w:r w:rsidRPr="00D83E92">
        <w:rPr>
          <w:rFonts w:ascii="Palatino Linotype" w:hAnsi="Palatino Linotype"/>
        </w:rPr>
        <w:t xml:space="preserve">Asimismo, que los Comités de Transparencia tienen entre sus atribuciones confirmar, modificar o revocar la </w:t>
      </w:r>
      <w:r w:rsidRPr="00D83E92">
        <w:rPr>
          <w:rFonts w:ascii="Palatino Linotype" w:hAnsi="Palatino Linotype"/>
          <w:b/>
        </w:rPr>
        <w:t>declaración de incompetencia</w:t>
      </w:r>
      <w:r w:rsidRPr="00D83E92">
        <w:rPr>
          <w:rFonts w:ascii="Palatino Linotype" w:hAnsi="Palatino Linotype"/>
        </w:rPr>
        <w:t xml:space="preserve"> que realicen los titulares de las unidades administrativas.</w:t>
      </w:r>
    </w:p>
    <w:p w:rsidR="005B5F6D" w:rsidRPr="00D83E92" w:rsidRDefault="005B5F6D">
      <w:pPr>
        <w:spacing w:line="360" w:lineRule="auto"/>
        <w:rPr>
          <w:rFonts w:ascii="Palatino Linotype" w:hAnsi="Palatino Linotype"/>
        </w:rPr>
      </w:pPr>
    </w:p>
    <w:p w:rsidR="005B5F6D" w:rsidRPr="00D83E92" w:rsidRDefault="00DF0D09">
      <w:pPr>
        <w:numPr>
          <w:ilvl w:val="0"/>
          <w:numId w:val="1"/>
        </w:numPr>
        <w:spacing w:line="360" w:lineRule="auto"/>
        <w:ind w:left="0" w:firstLine="0"/>
        <w:jc w:val="both"/>
        <w:rPr>
          <w:rFonts w:ascii="Palatino Linotype" w:hAnsi="Palatino Linotype"/>
        </w:rPr>
      </w:pPr>
      <w:r w:rsidRPr="00D83E92">
        <w:rPr>
          <w:rFonts w:ascii="Palatino Linotype" w:hAnsi="Palatino Linotype"/>
        </w:rPr>
        <w:t xml:space="preserve">En esa tesitura, cuando las Unidades de Transparencia determinen </w:t>
      </w:r>
      <w:r w:rsidRPr="00D83E92">
        <w:rPr>
          <w:rFonts w:ascii="Palatino Linotype" w:hAnsi="Palatino Linotype"/>
          <w:b/>
        </w:rPr>
        <w:t>la notoria incompetencia</w:t>
      </w:r>
      <w:r w:rsidRPr="00D83E92">
        <w:rPr>
          <w:rFonts w:ascii="Palatino Linotype" w:hAnsi="Palatino Linotype"/>
        </w:rPr>
        <w:t xml:space="preserve"> por parte de los sujetos obligados deberán comunicar al solicitante la misma dentro de los tres días posteriores a la recepción de la solicitud.</w:t>
      </w:r>
    </w:p>
    <w:p w:rsidR="005B5F6D" w:rsidRPr="00D83E92" w:rsidRDefault="005B5F6D">
      <w:pPr>
        <w:spacing w:line="360" w:lineRule="auto"/>
        <w:rPr>
          <w:rFonts w:ascii="Palatino Linotype" w:hAnsi="Palatino Linotype"/>
        </w:rPr>
      </w:pPr>
    </w:p>
    <w:p w:rsidR="005B5F6D" w:rsidRPr="00D83E92" w:rsidRDefault="00DF0D09">
      <w:pPr>
        <w:numPr>
          <w:ilvl w:val="0"/>
          <w:numId w:val="1"/>
        </w:numPr>
        <w:spacing w:line="360" w:lineRule="auto"/>
        <w:ind w:left="0" w:firstLine="0"/>
        <w:jc w:val="both"/>
        <w:rPr>
          <w:rFonts w:ascii="Palatino Linotype" w:hAnsi="Palatino Linotype"/>
          <w:bCs/>
        </w:rPr>
      </w:pPr>
      <w:r w:rsidRPr="00D83E92">
        <w:rPr>
          <w:rFonts w:ascii="Palatino Linotype" w:hAnsi="Palatino Linotype"/>
        </w:rPr>
        <w:t xml:space="preserve">Como se logra observar, si bien la Ley de la materia, prevé el supuesto de incompetencia para que los sujetos obligados den atención a solitudes de información, también lo es, que no se precisa en que consiste dicho concepto; sobre dicha situación, </w:t>
      </w:r>
      <w:r w:rsidRPr="00D83E92">
        <w:rPr>
          <w:rFonts w:ascii="Palatino Linotype" w:hAnsi="Palatino Linotype"/>
          <w:bCs/>
        </w:rPr>
        <w:t>según Cabanellas, Guillermo (1993), en el “Diccionario Jurídico Elemental” (p. 32 y 161), precisó los siguientes conceptos:</w:t>
      </w:r>
    </w:p>
    <w:p w:rsidR="005B5F6D" w:rsidRPr="00D83E92" w:rsidRDefault="005B5F6D">
      <w:pPr>
        <w:spacing w:line="360" w:lineRule="auto"/>
        <w:rPr>
          <w:rFonts w:ascii="Palatino Linotype" w:hAnsi="Palatino Linotype"/>
          <w:bCs/>
        </w:rPr>
      </w:pPr>
    </w:p>
    <w:p w:rsidR="005B5F6D" w:rsidRPr="00D83E92" w:rsidRDefault="00DF0D09">
      <w:pPr>
        <w:numPr>
          <w:ilvl w:val="0"/>
          <w:numId w:val="3"/>
        </w:numPr>
        <w:spacing w:line="360" w:lineRule="auto"/>
        <w:jc w:val="both"/>
        <w:rPr>
          <w:rFonts w:ascii="Palatino Linotype" w:hAnsi="Palatino Linotype"/>
          <w:bCs/>
        </w:rPr>
      </w:pPr>
      <w:r w:rsidRPr="00D83E92">
        <w:rPr>
          <w:rFonts w:ascii="Palatino Linotype" w:hAnsi="Palatino Linotype"/>
          <w:b/>
          <w:bCs/>
        </w:rPr>
        <w:lastRenderedPageBreak/>
        <w:t xml:space="preserve">Competencia: </w:t>
      </w:r>
      <w:r w:rsidRPr="00D83E92">
        <w:rPr>
          <w:rFonts w:ascii="Palatino Linotype" w:hAnsi="Palatino Linotype"/>
          <w:bCs/>
        </w:rPr>
        <w:t>La capacidad de una autoridad para conocer sobre una materia o asunto.</w:t>
      </w:r>
    </w:p>
    <w:p w:rsidR="005B5F6D" w:rsidRPr="00D83E92" w:rsidRDefault="005B5F6D">
      <w:pPr>
        <w:spacing w:line="360" w:lineRule="auto"/>
        <w:rPr>
          <w:rFonts w:ascii="Palatino Linotype" w:hAnsi="Palatino Linotype"/>
          <w:bCs/>
        </w:rPr>
      </w:pPr>
    </w:p>
    <w:p w:rsidR="005B5F6D" w:rsidRPr="00D83E92" w:rsidRDefault="00DF0D09">
      <w:pPr>
        <w:numPr>
          <w:ilvl w:val="0"/>
          <w:numId w:val="3"/>
        </w:numPr>
        <w:spacing w:line="360" w:lineRule="auto"/>
        <w:jc w:val="both"/>
        <w:rPr>
          <w:rFonts w:ascii="Palatino Linotype" w:hAnsi="Palatino Linotype"/>
          <w:bCs/>
        </w:rPr>
      </w:pPr>
      <w:r w:rsidRPr="00D83E92">
        <w:rPr>
          <w:rFonts w:ascii="Palatino Linotype" w:hAnsi="Palatino Linotype"/>
          <w:b/>
          <w:bCs/>
        </w:rPr>
        <w:t>Incompetencia:</w:t>
      </w:r>
      <w:r w:rsidRPr="00D83E92">
        <w:rPr>
          <w:rFonts w:ascii="Palatino Linotype" w:hAnsi="Palatino Linotype"/>
          <w:bCs/>
        </w:rPr>
        <w:t xml:space="preserve"> Falta de Competencia.</w:t>
      </w:r>
    </w:p>
    <w:p w:rsidR="005B5F6D" w:rsidRPr="00D83E92" w:rsidRDefault="005B5F6D">
      <w:pPr>
        <w:spacing w:line="360" w:lineRule="auto"/>
        <w:rPr>
          <w:rFonts w:ascii="Palatino Linotype" w:hAnsi="Palatino Linotype"/>
        </w:rPr>
      </w:pPr>
    </w:p>
    <w:p w:rsidR="005B5F6D" w:rsidRPr="00D83E92" w:rsidRDefault="00DF0D09">
      <w:pPr>
        <w:numPr>
          <w:ilvl w:val="0"/>
          <w:numId w:val="1"/>
        </w:numPr>
        <w:spacing w:line="360" w:lineRule="auto"/>
        <w:ind w:left="0" w:firstLine="0"/>
        <w:jc w:val="both"/>
        <w:rPr>
          <w:rFonts w:ascii="Palatino Linotype" w:hAnsi="Palatino Linotype"/>
        </w:rPr>
      </w:pPr>
      <w:r w:rsidRPr="00D83E92">
        <w:rPr>
          <w:rFonts w:ascii="Palatino Linotype" w:hAnsi="Palatino Linotype"/>
        </w:rPr>
        <w:t xml:space="preserve">Por lo que, </w:t>
      </w:r>
      <w:r w:rsidRPr="00D83E92">
        <w:rPr>
          <w:rFonts w:ascii="Palatino Linotype" w:hAnsi="Palatino Linotype"/>
          <w:b/>
        </w:rPr>
        <w:t>la incompetencia</w:t>
      </w:r>
      <w:r w:rsidRPr="00D83E92">
        <w:rPr>
          <w:rFonts w:ascii="Palatino Linotype" w:hAnsi="Palatino Linotype"/>
        </w:rPr>
        <w:t xml:space="preserve">, radica en la incapacidad de una autoridad para conocer de un tema o asunto; en el mismo sentido, conviene traer a cuenta tesis aislada número III.2o.P.11 K, publicada en el Semanario Judicial de la Federación y su Gaceta, Novena Época, Tomo XV, Mayo de 2002, Pág. 1243, ya que precisa lo siguiente: </w:t>
      </w:r>
    </w:p>
    <w:p w:rsidR="005B5F6D" w:rsidRPr="00D83E92" w:rsidRDefault="005B5F6D">
      <w:pPr>
        <w:spacing w:line="360" w:lineRule="auto"/>
        <w:rPr>
          <w:rFonts w:ascii="Palatino Linotype" w:hAnsi="Palatino Linotype"/>
        </w:rPr>
      </w:pPr>
    </w:p>
    <w:p w:rsidR="005B5F6D" w:rsidRPr="00D83E92" w:rsidRDefault="00DF0D09">
      <w:pPr>
        <w:ind w:left="1134" w:right="900"/>
        <w:jc w:val="both"/>
        <w:rPr>
          <w:rFonts w:ascii="Palatino Linotype" w:hAnsi="Palatino Linotype"/>
          <w:i/>
          <w:sz w:val="22"/>
          <w:szCs w:val="22"/>
        </w:rPr>
      </w:pPr>
      <w:r w:rsidRPr="00D83E92">
        <w:rPr>
          <w:rFonts w:ascii="Palatino Linotype" w:hAnsi="Palatino Linotype"/>
          <w:b/>
          <w:bCs/>
          <w:i/>
          <w:sz w:val="22"/>
          <w:szCs w:val="22"/>
        </w:rPr>
        <w:t xml:space="preserve">“LEGITIMACIÓN DE FUNCIONARIOS PÚBLICOS. LOS TRIBUNALES DE AMPARO, POR ESTAR VINCULADOS CON EL CONCEPTO DE COMPETENCIA A QUE SE REFIERE EL ARTÍCULO 16 CONSTITUCIONAL, NO PUEDEN CONOCER DE AQUÉLLA. </w:t>
      </w:r>
      <w:r w:rsidRPr="00D83E92">
        <w:rPr>
          <w:rFonts w:ascii="Palatino Linotype" w:hAnsi="Palatino Linotype"/>
          <w:i/>
          <w:sz w:val="22"/>
          <w:szCs w:val="22"/>
        </w:rPr>
        <w:t>El artículo </w:t>
      </w:r>
      <w:hyperlink r:id="rId10" w:history="1">
        <w:r w:rsidRPr="00D83E92">
          <w:rPr>
            <w:rStyle w:val="Hipervnculo"/>
            <w:rFonts w:ascii="Palatino Linotype" w:hAnsi="Palatino Linotype"/>
            <w:i/>
            <w:sz w:val="22"/>
            <w:szCs w:val="22"/>
          </w:rPr>
          <w:t>16 constitucional</w:t>
        </w:r>
      </w:hyperlink>
      <w:r w:rsidRPr="00D83E92">
        <w:rPr>
          <w:rFonts w:ascii="Palatino Linotype" w:hAnsi="Palatino Linotype"/>
          <w:i/>
          <w:sz w:val="22"/>
          <w:szCs w:val="22"/>
        </w:rPr>
        <w:t>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rsidR="005B5F6D" w:rsidRPr="00D83E92" w:rsidRDefault="005B5F6D">
      <w:pPr>
        <w:spacing w:line="360" w:lineRule="auto"/>
        <w:rPr>
          <w:rFonts w:ascii="Palatino Linotype" w:hAnsi="Palatino Linotype"/>
        </w:rPr>
      </w:pPr>
    </w:p>
    <w:p w:rsidR="005B5F6D" w:rsidRPr="00D83E92" w:rsidRDefault="00DF0D09">
      <w:pPr>
        <w:numPr>
          <w:ilvl w:val="0"/>
          <w:numId w:val="1"/>
        </w:numPr>
        <w:spacing w:line="360" w:lineRule="auto"/>
        <w:ind w:left="0" w:firstLine="0"/>
        <w:jc w:val="both"/>
        <w:rPr>
          <w:rFonts w:ascii="Palatino Linotype" w:hAnsi="Palatino Linotype"/>
        </w:rPr>
      </w:pPr>
      <w:r w:rsidRPr="00D83E92">
        <w:rPr>
          <w:rFonts w:ascii="Palatino Linotype" w:hAnsi="Palatino Linotype"/>
        </w:rPr>
        <w:t xml:space="preserve">De la misma manera, resulta necesario traer a colación, el </w:t>
      </w:r>
      <w:r w:rsidRPr="00D83E92">
        <w:rPr>
          <w:rFonts w:ascii="Palatino Linotype" w:hAnsi="Palatino Linotype"/>
          <w:lang w:val="es-ES"/>
        </w:rPr>
        <w:t xml:space="preserve">Criterio 13/17, </w:t>
      </w:r>
      <w:r w:rsidRPr="00D83E92">
        <w:rPr>
          <w:rFonts w:ascii="Palatino Linotype" w:hAnsi="Palatino Linotype"/>
        </w:rPr>
        <w:t xml:space="preserve">emitido por el Instituto Nacional de Transparencia, Acceso a la Información y Protección de Datos Personales, que dispone lo siguiente: </w:t>
      </w:r>
    </w:p>
    <w:p w:rsidR="005B5F6D" w:rsidRPr="00D83E92" w:rsidRDefault="005B5F6D">
      <w:pPr>
        <w:spacing w:line="360" w:lineRule="auto"/>
        <w:rPr>
          <w:rFonts w:ascii="Palatino Linotype" w:hAnsi="Palatino Linotype"/>
        </w:rPr>
      </w:pPr>
    </w:p>
    <w:p w:rsidR="005B5F6D" w:rsidRPr="00D83E92" w:rsidRDefault="00DF0D09">
      <w:pPr>
        <w:ind w:left="1134" w:right="902"/>
        <w:jc w:val="both"/>
        <w:rPr>
          <w:rFonts w:ascii="Palatino Linotype" w:hAnsi="Palatino Linotype"/>
          <w:i/>
          <w:sz w:val="22"/>
          <w:szCs w:val="22"/>
        </w:rPr>
      </w:pPr>
      <w:r w:rsidRPr="00D83E92">
        <w:rPr>
          <w:rFonts w:ascii="Palatino Linotype" w:hAnsi="Palatino Linotype"/>
          <w:i/>
          <w:sz w:val="22"/>
          <w:szCs w:val="22"/>
        </w:rPr>
        <w:lastRenderedPageBreak/>
        <w:t>“</w:t>
      </w:r>
      <w:r w:rsidRPr="00D83E92">
        <w:rPr>
          <w:rFonts w:ascii="Palatino Linotype" w:hAnsi="Palatino Linotype"/>
          <w:b/>
          <w:bCs/>
          <w:i/>
          <w:sz w:val="22"/>
          <w:szCs w:val="22"/>
        </w:rPr>
        <w:t xml:space="preserve">Incompetencia. </w:t>
      </w:r>
      <w:r w:rsidRPr="00D83E92">
        <w:rPr>
          <w:rFonts w:ascii="Palatino Linotype" w:hAnsi="Palatino Linotype"/>
          <w:i/>
          <w:sz w:val="22"/>
          <w:szCs w:val="22"/>
        </w:rPr>
        <w:t>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rsidR="005B5F6D" w:rsidRPr="00D83E92" w:rsidRDefault="005B5F6D">
      <w:pPr>
        <w:spacing w:line="360" w:lineRule="auto"/>
        <w:rPr>
          <w:rFonts w:ascii="Palatino Linotype" w:hAnsi="Palatino Linotype"/>
        </w:rPr>
      </w:pPr>
    </w:p>
    <w:p w:rsidR="005B5F6D" w:rsidRPr="00D83E92" w:rsidRDefault="00DF0D09">
      <w:pPr>
        <w:numPr>
          <w:ilvl w:val="0"/>
          <w:numId w:val="1"/>
        </w:numPr>
        <w:spacing w:line="360" w:lineRule="auto"/>
        <w:ind w:left="0" w:firstLine="0"/>
        <w:jc w:val="both"/>
        <w:rPr>
          <w:rFonts w:ascii="Palatino Linotype" w:hAnsi="Palatino Linotype"/>
        </w:rPr>
      </w:pPr>
      <w:r w:rsidRPr="00D83E92">
        <w:rPr>
          <w:rFonts w:ascii="Palatino Linotype" w:hAnsi="Palatino Linotype"/>
        </w:rPr>
        <w:t xml:space="preserve">En tal virtud, la </w:t>
      </w:r>
      <w:r w:rsidRPr="00D83E92">
        <w:rPr>
          <w:rFonts w:ascii="Palatino Linotype" w:hAnsi="Palatino Linotype"/>
          <w:b/>
        </w:rPr>
        <w:t xml:space="preserve">incompetencia </w:t>
      </w:r>
      <w:r w:rsidRPr="00D83E92">
        <w:rPr>
          <w:rFonts w:ascii="Palatino Linotype" w:hAnsi="Palatino Linotype"/>
        </w:rPr>
        <w:t>implica que, de conformidad con las atribuciones conferidas al Sujeto Obligado, no habría razón por la cual éste deba contar con la información solicitada, en cuyo caso, tendría que orientar al particular para que acuda a la instancia competente, situación que aconteció en el presente recurso, en la respuesta otorgada por el Sujeto Obligado, en lo que respecta al Organismo Público Descentralizado para la Prestación de los Servicios de Agua Potable, Alcantarillado y Saneamiento del Municipio de Cuautitlán Izcalli denominado OPERAGUA, a la Secretaría General de Gobierno y la Secretaría de Finanzas, estás dos últimas del Gobierno del Estado de México.</w:t>
      </w:r>
    </w:p>
    <w:p w:rsidR="005B5F6D" w:rsidRPr="00D83E92" w:rsidRDefault="005B5F6D">
      <w:pPr>
        <w:spacing w:line="360" w:lineRule="auto"/>
        <w:jc w:val="both"/>
        <w:rPr>
          <w:rFonts w:ascii="Palatino Linotype" w:hAnsi="Palatino Linotype"/>
        </w:rPr>
      </w:pPr>
    </w:p>
    <w:p w:rsidR="005B5F6D" w:rsidRPr="00D83E92" w:rsidRDefault="00DF0D09">
      <w:pPr>
        <w:numPr>
          <w:ilvl w:val="0"/>
          <w:numId w:val="1"/>
        </w:numPr>
        <w:spacing w:line="360" w:lineRule="auto"/>
        <w:ind w:left="0" w:firstLine="0"/>
        <w:jc w:val="both"/>
        <w:rPr>
          <w:rFonts w:ascii="Palatino Linotype" w:hAnsi="Palatino Linotype"/>
        </w:rPr>
      </w:pPr>
      <w:r w:rsidRPr="00D83E92">
        <w:rPr>
          <w:rFonts w:ascii="Palatino Linotype" w:hAnsi="Palatino Linotype"/>
        </w:rPr>
        <w:t>Ahora bien, en la interposición del medio de impugnación respectivo, la parte Recurrente se inconformó de la negativa de la información requerida, ya que mencionó que si bien desahogó el requerimiento echo por el Sujeto Obligado en el sentido de no estar actuando en representación de una persona moral, sino de manera particular; y aun así, no haber recibido respuesta.</w:t>
      </w:r>
    </w:p>
    <w:p w:rsidR="005B5F6D" w:rsidRPr="00D83E92" w:rsidRDefault="005B5F6D">
      <w:pPr>
        <w:spacing w:line="360" w:lineRule="auto"/>
        <w:jc w:val="both"/>
        <w:rPr>
          <w:rFonts w:ascii="Palatino Linotype" w:hAnsi="Palatino Linotype"/>
        </w:rPr>
      </w:pPr>
    </w:p>
    <w:p w:rsidR="005B5F6D" w:rsidRPr="00D83E92" w:rsidRDefault="00DF0D09">
      <w:pPr>
        <w:numPr>
          <w:ilvl w:val="0"/>
          <w:numId w:val="1"/>
        </w:numPr>
        <w:spacing w:line="360" w:lineRule="auto"/>
        <w:ind w:left="0" w:firstLine="0"/>
        <w:jc w:val="both"/>
        <w:rPr>
          <w:rFonts w:ascii="Palatino Linotype" w:hAnsi="Palatino Linotype"/>
        </w:rPr>
      </w:pPr>
      <w:r w:rsidRPr="00D83E92">
        <w:rPr>
          <w:rFonts w:ascii="Palatino Linotype" w:hAnsi="Palatino Linotype"/>
        </w:rPr>
        <w:t xml:space="preserve">Previamente al estudio del fondo del asunto, es conveniente precisar al Recurrente que los principios en materia de transparencia nos son aplicables a los datos personales, toda vez que aquellos principios constitucionales aplicables a las solicitudes de acceso a información pública están enfocados a la publicidad de la información y por el contrario el tratamiento de datos personales se rige por sus </w:t>
      </w:r>
      <w:r w:rsidRPr="00D83E92">
        <w:rPr>
          <w:rFonts w:ascii="Palatino Linotype" w:hAnsi="Palatino Linotype"/>
        </w:rPr>
        <w:lastRenderedPageBreak/>
        <w:t xml:space="preserve">principios específicos de calidad, consentimiento, finalidad, información, lealtad, licitud, proporcionalidad y responsabilidad, establecidos en los artículos 15 a 28 de la Ley de Protección de Datos Personales en Posesión de Sujetos Obligados del Estado de México y Municipios, los cuales tienen por objetivo la máxima protección de los datos personales para evitar su acceso no autorizado y no generar afectaciones a los titulares de los mismos. Este es el contexto jurídico, sobre el cual se realiza el análisis para otorgar o restringir el derecho a acceder a datos personales. </w:t>
      </w:r>
    </w:p>
    <w:p w:rsidR="005B5F6D" w:rsidRPr="00D83E92" w:rsidRDefault="005B5F6D">
      <w:pPr>
        <w:spacing w:line="360" w:lineRule="auto"/>
        <w:jc w:val="both"/>
        <w:rPr>
          <w:rFonts w:ascii="Palatino Linotype" w:hAnsi="Palatino Linotype"/>
        </w:rPr>
      </w:pPr>
    </w:p>
    <w:p w:rsidR="005B5F6D" w:rsidRPr="00D83E92" w:rsidRDefault="00DF0D09">
      <w:pPr>
        <w:numPr>
          <w:ilvl w:val="0"/>
          <w:numId w:val="1"/>
        </w:numPr>
        <w:spacing w:line="360" w:lineRule="auto"/>
        <w:ind w:left="0" w:firstLine="0"/>
        <w:jc w:val="both"/>
        <w:rPr>
          <w:rFonts w:ascii="Palatino Linotype" w:hAnsi="Palatino Linotype"/>
        </w:rPr>
      </w:pPr>
      <w:r w:rsidRPr="00D83E92">
        <w:rPr>
          <w:rFonts w:ascii="Palatino Linotype" w:hAnsi="Palatino Linotype"/>
        </w:rPr>
        <w:t xml:space="preserve">En ese orden de ideas, es necesario precisar que, la parte Recurrente se inconforma de la totalidad de la respuesta proporcionada, es decir la negativa de permitirle el acceso a </w:t>
      </w:r>
      <w:r w:rsidRPr="00D83E92">
        <w:rPr>
          <w:rFonts w:ascii="Palatino Linotype" w:hAnsi="Palatino Linotype"/>
          <w:i/>
        </w:rPr>
        <w:t xml:space="preserve">tramites, solicitudes, pagos de derechos y de impuestos </w:t>
      </w:r>
      <w:r w:rsidRPr="00D83E92">
        <w:rPr>
          <w:rFonts w:ascii="Palatino Linotype" w:hAnsi="Palatino Linotype"/>
        </w:rPr>
        <w:t xml:space="preserve"> realizados con su nombre.</w:t>
      </w:r>
    </w:p>
    <w:p w:rsidR="005B5F6D" w:rsidRPr="00D83E92" w:rsidRDefault="005B5F6D">
      <w:pPr>
        <w:spacing w:line="360" w:lineRule="auto"/>
        <w:jc w:val="both"/>
        <w:rPr>
          <w:rFonts w:ascii="Palatino Linotype" w:hAnsi="Palatino Linotype"/>
        </w:rPr>
      </w:pPr>
    </w:p>
    <w:p w:rsidR="005B5F6D" w:rsidRPr="00D83E92" w:rsidRDefault="00DF0D09">
      <w:pPr>
        <w:numPr>
          <w:ilvl w:val="0"/>
          <w:numId w:val="1"/>
        </w:numPr>
        <w:spacing w:line="360" w:lineRule="auto"/>
        <w:ind w:left="0" w:firstLine="0"/>
        <w:jc w:val="both"/>
        <w:rPr>
          <w:rFonts w:ascii="Palatino Linotype" w:hAnsi="Palatino Linotype"/>
        </w:rPr>
      </w:pPr>
      <w:r w:rsidRPr="00D83E92">
        <w:rPr>
          <w:rFonts w:ascii="Palatino Linotype" w:hAnsi="Palatino Linotype"/>
        </w:rPr>
        <w:t>En ese orden de ideas, es menester delimitar la competencia del Sujeto Obligado misma que se encuentra contemplada en e</w:t>
      </w:r>
      <w:r w:rsidRPr="00D83E92">
        <w:rPr>
          <w:rFonts w:ascii="Palatino Linotype" w:eastAsia="MS Gothic" w:hAnsi="Palatino Linotype"/>
          <w:szCs w:val="26"/>
        </w:rPr>
        <w:t xml:space="preserve">l </w:t>
      </w:r>
      <w:r w:rsidRPr="00D83E92">
        <w:rPr>
          <w:rFonts w:ascii="Palatino Linotype" w:hAnsi="Palatino Linotype" w:cs="Arial"/>
          <w:color w:val="000000"/>
        </w:rPr>
        <w:t xml:space="preserve">artículo </w:t>
      </w:r>
      <w:r w:rsidRPr="00D83E92">
        <w:rPr>
          <w:rFonts w:ascii="Palatino Linotype" w:hAnsi="Palatino Linotype"/>
          <w:color w:val="000000" w:themeColor="text1"/>
        </w:rPr>
        <w:t xml:space="preserve">115, fracción II, párrafo segundo, de la Constitución Política de los Estados Unidos Mexicanos, que establece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w:t>
      </w:r>
      <w:r w:rsidRPr="00D83E92">
        <w:rPr>
          <w:rFonts w:ascii="Palatino Linotype" w:hAnsi="Palatino Linotype"/>
          <w:b/>
          <w:color w:val="000000" w:themeColor="text1"/>
        </w:rPr>
        <w:t>que organicen la administración pública municipal</w:t>
      </w:r>
      <w:r w:rsidRPr="00D83E92">
        <w:rPr>
          <w:rFonts w:ascii="Palatino Linotype" w:hAnsi="Palatino Linotype"/>
          <w:color w:val="000000" w:themeColor="text1"/>
        </w:rPr>
        <w:t xml:space="preserve">, </w:t>
      </w:r>
      <w:r w:rsidRPr="00D83E92">
        <w:rPr>
          <w:rFonts w:ascii="Palatino Linotype" w:hAnsi="Palatino Linotype"/>
          <w:b/>
          <w:color w:val="000000" w:themeColor="text1"/>
        </w:rPr>
        <w:t>regulen las materias, procedimientos, funciones y servicios públicos de su competencia</w:t>
      </w:r>
      <w:r w:rsidRPr="00D83E92">
        <w:rPr>
          <w:rFonts w:ascii="Palatino Linotype" w:hAnsi="Palatino Linotype"/>
          <w:color w:val="000000" w:themeColor="text1"/>
        </w:rPr>
        <w:t xml:space="preserve"> y aseguren la participación ciudadana y vecinal.</w:t>
      </w:r>
    </w:p>
    <w:p w:rsidR="005B5F6D" w:rsidRPr="00D83E92" w:rsidRDefault="005B5F6D">
      <w:pPr>
        <w:spacing w:line="360" w:lineRule="auto"/>
        <w:jc w:val="both"/>
        <w:rPr>
          <w:rFonts w:ascii="Palatino Linotype" w:hAnsi="Palatino Linotype"/>
        </w:rPr>
      </w:pPr>
    </w:p>
    <w:p w:rsidR="005B5F6D" w:rsidRPr="00D83E92" w:rsidRDefault="00DF0D09">
      <w:pPr>
        <w:numPr>
          <w:ilvl w:val="0"/>
          <w:numId w:val="1"/>
        </w:numPr>
        <w:spacing w:line="360" w:lineRule="auto"/>
        <w:ind w:left="0" w:firstLine="0"/>
        <w:jc w:val="both"/>
        <w:rPr>
          <w:rFonts w:ascii="Palatino Linotype" w:hAnsi="Palatino Linotype" w:cs="Tahoma"/>
          <w:bCs/>
          <w:iCs/>
        </w:rPr>
      </w:pPr>
      <w:r w:rsidRPr="00D83E92">
        <w:rPr>
          <w:rFonts w:ascii="Palatino Linotype" w:hAnsi="Palatino Linotype"/>
          <w:color w:val="000000" w:themeColor="text1"/>
        </w:rPr>
        <w:t xml:space="preserve">En seguimiento al mandato constitucional referido </w:t>
      </w:r>
      <w:r w:rsidRPr="00D83E92">
        <w:rPr>
          <w:rFonts w:ascii="Palatino Linotype" w:hAnsi="Palatino Linotype"/>
          <w:i/>
          <w:color w:val="000000" w:themeColor="text1"/>
        </w:rPr>
        <w:t>supra</w:t>
      </w:r>
      <w:r w:rsidRPr="00D83E92">
        <w:rPr>
          <w:rFonts w:ascii="Palatino Linotype" w:hAnsi="Palatino Linotype"/>
          <w:color w:val="000000" w:themeColor="text1"/>
        </w:rPr>
        <w:t xml:space="preserve">, la Ley Orgánica Municipal del Estado de México establece que, para el ejercicio de sus atribuciones y </w:t>
      </w:r>
      <w:r w:rsidRPr="00D83E92">
        <w:rPr>
          <w:rFonts w:ascii="Palatino Linotype" w:hAnsi="Palatino Linotype"/>
          <w:color w:val="000000" w:themeColor="text1"/>
        </w:rPr>
        <w:lastRenderedPageBreak/>
        <w:t>responsabilidades ejecutivas, el ayuntamiento se auxiliará con las dependencias y entidades de la administración pública municipal, que en cada caso acuerde el cabildo a propuesta de la persona titular de la presidencia municipal, las que estarán subordinadas a ésta. Las personas servidoras públicas titulares de las referidas dependencias y entidades de la administración municipal, ejercerán las funciones propias de su competencia y serán responsables por el ejercicio de dichas funciones y atribuciones contenidas en la Ley, sus reglamentos interiores, manuales, acuerdos, circulares y otras disposiciones legales que tiendan a regular el funcionamiento del municipio</w:t>
      </w:r>
      <w:r w:rsidRPr="00D83E92">
        <w:rPr>
          <w:rStyle w:val="Refdenotaalpie"/>
          <w:rFonts w:ascii="Palatino Linotype" w:hAnsi="Palatino Linotype"/>
          <w:color w:val="000000" w:themeColor="text1"/>
        </w:rPr>
        <w:footnoteReference w:id="1"/>
      </w:r>
      <w:r w:rsidRPr="00D83E92">
        <w:rPr>
          <w:rFonts w:ascii="Palatino Linotype" w:hAnsi="Palatino Linotype"/>
          <w:color w:val="000000" w:themeColor="text1"/>
        </w:rPr>
        <w:t>.</w:t>
      </w:r>
    </w:p>
    <w:p w:rsidR="005B5F6D" w:rsidRPr="00D83E92" w:rsidRDefault="005B5F6D">
      <w:pPr>
        <w:spacing w:line="360" w:lineRule="auto"/>
        <w:jc w:val="both"/>
        <w:rPr>
          <w:rFonts w:ascii="Palatino Linotype" w:hAnsi="Palatino Linotype" w:cs="Tahoma"/>
          <w:bCs/>
          <w:iCs/>
        </w:rPr>
      </w:pPr>
    </w:p>
    <w:p w:rsidR="005B5F6D" w:rsidRPr="00D83E92" w:rsidRDefault="00DF0D09">
      <w:pPr>
        <w:numPr>
          <w:ilvl w:val="0"/>
          <w:numId w:val="1"/>
        </w:numPr>
        <w:spacing w:line="360" w:lineRule="auto"/>
        <w:ind w:left="0" w:firstLine="0"/>
        <w:jc w:val="both"/>
        <w:rPr>
          <w:rFonts w:ascii="Palatino Linotype" w:hAnsi="Palatino Linotype" w:cs="Tahoma"/>
          <w:bCs/>
          <w:iCs/>
        </w:rPr>
      </w:pPr>
      <w:r w:rsidRPr="00D83E92">
        <w:rPr>
          <w:rFonts w:ascii="Palatino Linotype" w:hAnsi="Palatino Linotype"/>
          <w:color w:val="000000" w:themeColor="text1"/>
        </w:rPr>
        <w:t>Para el despacho, estudio y planeación de los diversos asuntos de la administración municipal, el ayuntamiento contará por lo menos con las siguientes Dependencias</w:t>
      </w:r>
      <w:r w:rsidRPr="00D83E92">
        <w:rPr>
          <w:rStyle w:val="Refdenotaalpie"/>
          <w:rFonts w:ascii="Palatino Linotype" w:hAnsi="Palatino Linotype"/>
          <w:color w:val="000000" w:themeColor="text1"/>
        </w:rPr>
        <w:footnoteReference w:id="2"/>
      </w:r>
      <w:r w:rsidRPr="00D83E92">
        <w:rPr>
          <w:rFonts w:ascii="Palatino Linotype" w:hAnsi="Palatino Linotype"/>
          <w:color w:val="000000" w:themeColor="text1"/>
        </w:rPr>
        <w:t>:</w:t>
      </w:r>
    </w:p>
    <w:p w:rsidR="005B5F6D" w:rsidRPr="00D83E92" w:rsidRDefault="00DF0D09">
      <w:pPr>
        <w:pStyle w:val="Prrafodelista"/>
        <w:numPr>
          <w:ilvl w:val="1"/>
          <w:numId w:val="4"/>
        </w:numPr>
        <w:tabs>
          <w:tab w:val="left" w:pos="426"/>
        </w:tabs>
        <w:spacing w:before="240" w:after="240" w:line="360" w:lineRule="auto"/>
        <w:ind w:left="1134" w:right="900"/>
        <w:jc w:val="both"/>
        <w:rPr>
          <w:rFonts w:ascii="Palatino Linotype" w:hAnsi="Palatino Linotype" w:cs="Tahoma"/>
          <w:bCs/>
          <w:iCs/>
          <w:sz w:val="22"/>
          <w:szCs w:val="22"/>
        </w:rPr>
      </w:pPr>
      <w:r w:rsidRPr="00D83E92">
        <w:rPr>
          <w:rFonts w:ascii="Palatino Linotype" w:hAnsi="Palatino Linotype"/>
          <w:color w:val="000000" w:themeColor="text1"/>
          <w:sz w:val="22"/>
          <w:szCs w:val="22"/>
        </w:rPr>
        <w:t>La Secretaría del Ayuntamiento;</w:t>
      </w:r>
    </w:p>
    <w:p w:rsidR="005B5F6D" w:rsidRPr="00D83E92" w:rsidRDefault="00DF0D09">
      <w:pPr>
        <w:pStyle w:val="Prrafodelista"/>
        <w:numPr>
          <w:ilvl w:val="1"/>
          <w:numId w:val="4"/>
        </w:numPr>
        <w:tabs>
          <w:tab w:val="left" w:pos="426"/>
        </w:tabs>
        <w:spacing w:before="240" w:after="240" w:line="360" w:lineRule="auto"/>
        <w:ind w:left="1134" w:right="900"/>
        <w:jc w:val="both"/>
        <w:rPr>
          <w:rFonts w:ascii="Palatino Linotype" w:hAnsi="Palatino Linotype" w:cs="Tahoma"/>
          <w:bCs/>
          <w:iCs/>
          <w:sz w:val="22"/>
          <w:szCs w:val="22"/>
        </w:rPr>
      </w:pPr>
      <w:r w:rsidRPr="00D83E92">
        <w:rPr>
          <w:rFonts w:ascii="Palatino Linotype" w:hAnsi="Palatino Linotype"/>
          <w:bCs/>
          <w:color w:val="000000" w:themeColor="text1"/>
          <w:sz w:val="22"/>
          <w:szCs w:val="22"/>
        </w:rPr>
        <w:t xml:space="preserve">La Tesorería Municipal; </w:t>
      </w:r>
    </w:p>
    <w:p w:rsidR="005B5F6D" w:rsidRPr="00D83E92" w:rsidRDefault="00DF0D09">
      <w:pPr>
        <w:pStyle w:val="Prrafodelista"/>
        <w:numPr>
          <w:ilvl w:val="1"/>
          <w:numId w:val="4"/>
        </w:numPr>
        <w:tabs>
          <w:tab w:val="left" w:pos="426"/>
        </w:tabs>
        <w:spacing w:before="240" w:after="240" w:line="360" w:lineRule="auto"/>
        <w:ind w:left="1134" w:right="900"/>
        <w:jc w:val="both"/>
        <w:rPr>
          <w:rFonts w:ascii="Palatino Linotype" w:hAnsi="Palatino Linotype" w:cs="Tahoma"/>
          <w:bCs/>
          <w:iCs/>
          <w:sz w:val="22"/>
          <w:szCs w:val="22"/>
        </w:rPr>
      </w:pPr>
      <w:r w:rsidRPr="00D83E92">
        <w:rPr>
          <w:rFonts w:ascii="Palatino Linotype" w:hAnsi="Palatino Linotype"/>
          <w:color w:val="000000" w:themeColor="text1"/>
          <w:sz w:val="22"/>
          <w:szCs w:val="22"/>
        </w:rPr>
        <w:t>La Dirección de Obras Públicas o equivalente;</w:t>
      </w:r>
    </w:p>
    <w:p w:rsidR="005B5F6D" w:rsidRPr="00D83E92" w:rsidRDefault="00DF0D09">
      <w:pPr>
        <w:pStyle w:val="Prrafodelista"/>
        <w:numPr>
          <w:ilvl w:val="1"/>
          <w:numId w:val="4"/>
        </w:numPr>
        <w:tabs>
          <w:tab w:val="left" w:pos="426"/>
        </w:tabs>
        <w:spacing w:before="240" w:after="240" w:line="360" w:lineRule="auto"/>
        <w:ind w:left="1134" w:right="900"/>
        <w:jc w:val="both"/>
        <w:rPr>
          <w:rFonts w:ascii="Palatino Linotype" w:hAnsi="Palatino Linotype" w:cs="Tahoma"/>
          <w:bCs/>
          <w:iCs/>
          <w:sz w:val="22"/>
          <w:szCs w:val="22"/>
        </w:rPr>
      </w:pPr>
      <w:r w:rsidRPr="00D83E92">
        <w:rPr>
          <w:rFonts w:ascii="Palatino Linotype" w:hAnsi="Palatino Linotype"/>
          <w:color w:val="000000" w:themeColor="text1"/>
          <w:sz w:val="22"/>
          <w:szCs w:val="22"/>
        </w:rPr>
        <w:t>La Dirección de Desarrollo Económico o equivalente;</w:t>
      </w:r>
    </w:p>
    <w:p w:rsidR="005B5F6D" w:rsidRPr="00D83E92" w:rsidRDefault="00DF0D09">
      <w:pPr>
        <w:pStyle w:val="Prrafodelista"/>
        <w:numPr>
          <w:ilvl w:val="1"/>
          <w:numId w:val="4"/>
        </w:numPr>
        <w:tabs>
          <w:tab w:val="left" w:pos="426"/>
        </w:tabs>
        <w:spacing w:before="240" w:after="240" w:line="360" w:lineRule="auto"/>
        <w:ind w:left="1134" w:right="900"/>
        <w:jc w:val="both"/>
        <w:rPr>
          <w:rFonts w:ascii="Palatino Linotype" w:hAnsi="Palatino Linotype" w:cs="Tahoma"/>
          <w:bCs/>
          <w:iCs/>
          <w:sz w:val="22"/>
          <w:szCs w:val="22"/>
        </w:rPr>
      </w:pPr>
      <w:r w:rsidRPr="00D83E92">
        <w:rPr>
          <w:rFonts w:ascii="Palatino Linotype" w:hAnsi="Palatino Linotype"/>
          <w:color w:val="000000" w:themeColor="text1"/>
          <w:sz w:val="22"/>
          <w:szCs w:val="22"/>
        </w:rPr>
        <w:t xml:space="preserve">La Dirección de Desarrollo Urbano o equivalente; </w:t>
      </w:r>
    </w:p>
    <w:p w:rsidR="005B5F6D" w:rsidRPr="00D83E92" w:rsidRDefault="00DF0D09">
      <w:pPr>
        <w:pStyle w:val="Prrafodelista"/>
        <w:numPr>
          <w:ilvl w:val="1"/>
          <w:numId w:val="4"/>
        </w:numPr>
        <w:tabs>
          <w:tab w:val="left" w:pos="426"/>
        </w:tabs>
        <w:spacing w:before="240" w:after="240" w:line="360" w:lineRule="auto"/>
        <w:ind w:left="1134" w:right="900"/>
        <w:jc w:val="both"/>
        <w:rPr>
          <w:rFonts w:ascii="Palatino Linotype" w:hAnsi="Palatino Linotype" w:cs="Tahoma"/>
          <w:bCs/>
          <w:iCs/>
          <w:sz w:val="22"/>
          <w:szCs w:val="22"/>
        </w:rPr>
      </w:pPr>
      <w:r w:rsidRPr="00D83E92">
        <w:rPr>
          <w:rFonts w:ascii="Palatino Linotype" w:hAnsi="Palatino Linotype"/>
          <w:color w:val="000000" w:themeColor="text1"/>
          <w:sz w:val="22"/>
          <w:szCs w:val="22"/>
        </w:rPr>
        <w:t>La Dirección de Ecología o equivalente;</w:t>
      </w:r>
    </w:p>
    <w:p w:rsidR="005B5F6D" w:rsidRPr="00D83E92" w:rsidRDefault="00DF0D09">
      <w:pPr>
        <w:pStyle w:val="Prrafodelista"/>
        <w:numPr>
          <w:ilvl w:val="1"/>
          <w:numId w:val="4"/>
        </w:numPr>
        <w:tabs>
          <w:tab w:val="left" w:pos="426"/>
        </w:tabs>
        <w:spacing w:before="240" w:after="240" w:line="360" w:lineRule="auto"/>
        <w:ind w:left="1134" w:right="900"/>
        <w:jc w:val="both"/>
        <w:rPr>
          <w:rFonts w:ascii="Palatino Linotype" w:hAnsi="Palatino Linotype" w:cs="Tahoma"/>
          <w:bCs/>
          <w:iCs/>
          <w:sz w:val="22"/>
          <w:szCs w:val="22"/>
        </w:rPr>
      </w:pPr>
      <w:r w:rsidRPr="00D83E92">
        <w:rPr>
          <w:rFonts w:ascii="Palatino Linotype" w:hAnsi="Palatino Linotype"/>
          <w:color w:val="000000" w:themeColor="text1"/>
          <w:sz w:val="22"/>
          <w:szCs w:val="22"/>
        </w:rPr>
        <w:t>La Dirección de Desarrollo Social o equivalente;</w:t>
      </w:r>
    </w:p>
    <w:p w:rsidR="005B5F6D" w:rsidRPr="00D83E92" w:rsidRDefault="00DF0D09">
      <w:pPr>
        <w:pStyle w:val="Prrafodelista"/>
        <w:numPr>
          <w:ilvl w:val="1"/>
          <w:numId w:val="4"/>
        </w:numPr>
        <w:tabs>
          <w:tab w:val="left" w:pos="426"/>
        </w:tabs>
        <w:spacing w:before="240" w:after="240" w:line="360" w:lineRule="auto"/>
        <w:ind w:left="1134" w:right="900"/>
        <w:jc w:val="both"/>
        <w:rPr>
          <w:rFonts w:ascii="Palatino Linotype" w:hAnsi="Palatino Linotype" w:cs="Tahoma"/>
          <w:bCs/>
          <w:iCs/>
          <w:sz w:val="22"/>
          <w:szCs w:val="22"/>
        </w:rPr>
      </w:pPr>
      <w:r w:rsidRPr="00D83E92">
        <w:rPr>
          <w:rFonts w:ascii="Palatino Linotype" w:hAnsi="Palatino Linotype"/>
          <w:color w:val="000000" w:themeColor="text1"/>
          <w:sz w:val="22"/>
          <w:szCs w:val="22"/>
        </w:rPr>
        <w:t>La Coordinación Municipal de Protección Civil o equivalente; y</w:t>
      </w:r>
    </w:p>
    <w:p w:rsidR="005B5F6D" w:rsidRPr="00D83E92" w:rsidRDefault="00DF0D09">
      <w:pPr>
        <w:pStyle w:val="Prrafodelista"/>
        <w:numPr>
          <w:ilvl w:val="1"/>
          <w:numId w:val="4"/>
        </w:numPr>
        <w:tabs>
          <w:tab w:val="left" w:pos="426"/>
        </w:tabs>
        <w:spacing w:before="240" w:after="240" w:line="360" w:lineRule="auto"/>
        <w:ind w:left="1134" w:right="900"/>
        <w:jc w:val="both"/>
        <w:rPr>
          <w:rFonts w:ascii="Palatino Linotype" w:hAnsi="Palatino Linotype" w:cs="Tahoma"/>
          <w:bCs/>
          <w:iCs/>
          <w:sz w:val="22"/>
          <w:szCs w:val="22"/>
        </w:rPr>
      </w:pPr>
      <w:r w:rsidRPr="00D83E92">
        <w:rPr>
          <w:rFonts w:ascii="Palatino Linotype" w:hAnsi="Palatino Linotype"/>
          <w:color w:val="000000" w:themeColor="text1"/>
          <w:sz w:val="22"/>
          <w:szCs w:val="22"/>
        </w:rPr>
        <w:t>La Dirección de las Mujeres o equivalente.</w:t>
      </w:r>
    </w:p>
    <w:p w:rsidR="005B5F6D" w:rsidRPr="00D83E92" w:rsidRDefault="00DF0D09">
      <w:pPr>
        <w:pStyle w:val="Prrafodelista"/>
        <w:numPr>
          <w:ilvl w:val="1"/>
          <w:numId w:val="4"/>
        </w:numPr>
        <w:tabs>
          <w:tab w:val="left" w:pos="426"/>
        </w:tabs>
        <w:spacing w:before="240" w:after="240" w:line="360" w:lineRule="auto"/>
        <w:ind w:left="1134" w:right="900"/>
        <w:jc w:val="both"/>
        <w:rPr>
          <w:rFonts w:ascii="Palatino Linotype" w:hAnsi="Palatino Linotype"/>
          <w:color w:val="000000" w:themeColor="text1"/>
          <w:sz w:val="22"/>
          <w:szCs w:val="22"/>
        </w:rPr>
      </w:pPr>
      <w:r w:rsidRPr="00D83E92">
        <w:rPr>
          <w:rFonts w:ascii="Palatino Linotype" w:hAnsi="Palatino Linotype"/>
          <w:color w:val="000000" w:themeColor="text1"/>
          <w:sz w:val="22"/>
          <w:szCs w:val="22"/>
        </w:rPr>
        <w:t xml:space="preserve">Dirección del Campo o equivalente, preferentemente en los municipios cuyas características geográficas, territoriales, sociales, culturales, </w:t>
      </w:r>
      <w:r w:rsidRPr="00D83E92">
        <w:rPr>
          <w:rFonts w:ascii="Palatino Linotype" w:hAnsi="Palatino Linotype"/>
          <w:color w:val="000000" w:themeColor="text1"/>
          <w:sz w:val="22"/>
          <w:szCs w:val="22"/>
        </w:rPr>
        <w:lastRenderedPageBreak/>
        <w:t>políticas y económicas sean predominantemente inherentes al ámbito rural.</w:t>
      </w:r>
    </w:p>
    <w:p w:rsidR="005B5F6D" w:rsidRPr="00D83E92" w:rsidRDefault="005B5F6D">
      <w:pPr>
        <w:pStyle w:val="Prrafodelista"/>
        <w:tabs>
          <w:tab w:val="left" w:pos="426"/>
        </w:tabs>
        <w:ind w:left="1134" w:right="902"/>
        <w:jc w:val="both"/>
        <w:rPr>
          <w:rFonts w:ascii="Palatino Linotype" w:hAnsi="Palatino Linotype"/>
          <w:color w:val="000000" w:themeColor="text1"/>
          <w:sz w:val="22"/>
          <w:szCs w:val="22"/>
        </w:rPr>
      </w:pPr>
    </w:p>
    <w:p w:rsidR="005B5F6D" w:rsidRPr="00D83E92" w:rsidRDefault="00DF0D09">
      <w:pPr>
        <w:numPr>
          <w:ilvl w:val="0"/>
          <w:numId w:val="1"/>
        </w:numPr>
        <w:spacing w:line="360" w:lineRule="auto"/>
        <w:ind w:left="0" w:firstLine="0"/>
        <w:jc w:val="both"/>
        <w:rPr>
          <w:rFonts w:ascii="Palatino Linotype" w:hAnsi="Palatino Linotype"/>
          <w:color w:val="000000" w:themeColor="text1"/>
        </w:rPr>
      </w:pPr>
      <w:r w:rsidRPr="00D83E92">
        <w:rPr>
          <w:rFonts w:ascii="Palatino Linotype" w:hAnsi="Palatino Linotype" w:cs="Tahoma"/>
          <w:bCs/>
          <w:iCs/>
        </w:rPr>
        <w:t>Lo anterior es recuperado por el Bando Municipal de Cuautitlán Izcalli 2024, el cual establece que El Gobierno del Municipio está depositado en un cuerpo colegiado, denominado Ayuntamiento y la ejecución de sus acuerdos corresponderá a la persona titular de la Presidencia Municipal.</w:t>
      </w:r>
    </w:p>
    <w:p w:rsidR="005B5F6D" w:rsidRPr="00D83E92" w:rsidRDefault="005B5F6D">
      <w:pPr>
        <w:spacing w:line="360" w:lineRule="auto"/>
        <w:jc w:val="both"/>
        <w:rPr>
          <w:rFonts w:ascii="Palatino Linotype" w:hAnsi="Palatino Linotype"/>
          <w:color w:val="000000" w:themeColor="text1"/>
        </w:rPr>
      </w:pPr>
    </w:p>
    <w:p w:rsidR="005B5F6D" w:rsidRPr="00D83E92" w:rsidRDefault="00DF0D09">
      <w:pPr>
        <w:numPr>
          <w:ilvl w:val="0"/>
          <w:numId w:val="1"/>
        </w:numPr>
        <w:spacing w:line="360" w:lineRule="auto"/>
        <w:ind w:left="0" w:firstLine="0"/>
        <w:jc w:val="both"/>
        <w:rPr>
          <w:rFonts w:ascii="Palatino Linotype" w:hAnsi="Palatino Linotype"/>
          <w:color w:val="000000" w:themeColor="text1"/>
        </w:rPr>
      </w:pPr>
      <w:r w:rsidRPr="00D83E92">
        <w:rPr>
          <w:rFonts w:ascii="Palatino Linotype" w:hAnsi="Palatino Linotype" w:cs="Tahoma"/>
          <w:bCs/>
          <w:iCs/>
        </w:rPr>
        <w:t>Correlativo a lo anterior, el numeral 27 del Bando Municipal de Cuautitlán Izcalli 2024, establece la estructura orgánica principal con la que se integrará el ayuntamiento, a saber:</w:t>
      </w:r>
    </w:p>
    <w:p w:rsidR="005B5F6D" w:rsidRPr="00D83E92" w:rsidRDefault="005B5F6D">
      <w:pPr>
        <w:pStyle w:val="Prrafodelista"/>
        <w:tabs>
          <w:tab w:val="left" w:pos="426"/>
        </w:tabs>
        <w:ind w:left="0" w:right="51"/>
        <w:jc w:val="both"/>
        <w:rPr>
          <w:rFonts w:ascii="Palatino Linotype" w:hAnsi="Palatino Linotype"/>
          <w:color w:val="000000" w:themeColor="text1"/>
        </w:rPr>
      </w:pPr>
    </w:p>
    <w:p w:rsidR="005B5F6D" w:rsidRPr="00D83E92" w:rsidRDefault="00DF0D09">
      <w:pPr>
        <w:pStyle w:val="Prrafodelista"/>
        <w:tabs>
          <w:tab w:val="left" w:pos="426"/>
        </w:tabs>
        <w:spacing w:before="240" w:after="240"/>
        <w:ind w:left="1134" w:right="902"/>
        <w:jc w:val="both"/>
        <w:rPr>
          <w:rFonts w:ascii="Palatino Linotype" w:hAnsi="Palatino Linotype"/>
          <w:i/>
          <w:color w:val="000000" w:themeColor="text1"/>
          <w:sz w:val="22"/>
        </w:rPr>
      </w:pPr>
      <w:r w:rsidRPr="00D83E92">
        <w:rPr>
          <w:rFonts w:ascii="Palatino Linotype" w:hAnsi="Palatino Linotype"/>
          <w:b/>
          <w:i/>
          <w:color w:val="000000" w:themeColor="text1"/>
          <w:sz w:val="22"/>
        </w:rPr>
        <w:t>Artículo 27</w:t>
      </w:r>
      <w:r w:rsidRPr="00D83E92">
        <w:rPr>
          <w:rFonts w:ascii="Palatino Linotype" w:hAnsi="Palatino Linotype"/>
          <w:i/>
          <w:color w:val="000000" w:themeColor="text1"/>
          <w:sz w:val="22"/>
        </w:rPr>
        <w:t xml:space="preserve">. Para el despacho, estudio y planeación de los diversos asuntos, la administración pública municipal, contara con las siguientes dependencias: I. Oficina de la Presidencia; </w:t>
      </w:r>
    </w:p>
    <w:p w:rsidR="005B5F6D" w:rsidRPr="00D83E92" w:rsidRDefault="00DF0D09">
      <w:pPr>
        <w:pStyle w:val="Prrafodelista"/>
        <w:tabs>
          <w:tab w:val="left" w:pos="426"/>
        </w:tabs>
        <w:spacing w:before="240" w:after="240"/>
        <w:ind w:left="1134" w:right="902"/>
        <w:jc w:val="both"/>
        <w:rPr>
          <w:rFonts w:ascii="Palatino Linotype" w:hAnsi="Palatino Linotype"/>
          <w:i/>
          <w:color w:val="000000" w:themeColor="text1"/>
          <w:sz w:val="22"/>
        </w:rPr>
      </w:pPr>
      <w:r w:rsidRPr="00D83E92">
        <w:rPr>
          <w:rFonts w:ascii="Palatino Linotype" w:hAnsi="Palatino Linotype"/>
          <w:i/>
          <w:color w:val="000000" w:themeColor="text1"/>
          <w:sz w:val="22"/>
        </w:rPr>
        <w:t xml:space="preserve">II. Secretaría del Ayuntamiento; </w:t>
      </w:r>
    </w:p>
    <w:p w:rsidR="005B5F6D" w:rsidRPr="00D83E92" w:rsidRDefault="00DF0D09">
      <w:pPr>
        <w:pStyle w:val="Prrafodelista"/>
        <w:tabs>
          <w:tab w:val="left" w:pos="426"/>
        </w:tabs>
        <w:spacing w:before="240" w:after="240"/>
        <w:ind w:left="1134" w:right="902"/>
        <w:jc w:val="both"/>
        <w:rPr>
          <w:rFonts w:ascii="Palatino Linotype" w:hAnsi="Palatino Linotype"/>
          <w:i/>
          <w:color w:val="000000" w:themeColor="text1"/>
          <w:sz w:val="22"/>
        </w:rPr>
      </w:pPr>
      <w:r w:rsidRPr="00D83E92">
        <w:rPr>
          <w:rFonts w:ascii="Palatino Linotype" w:hAnsi="Palatino Linotype"/>
          <w:i/>
          <w:color w:val="000000" w:themeColor="text1"/>
          <w:sz w:val="22"/>
        </w:rPr>
        <w:t xml:space="preserve">III. Tesorería Municipal; </w:t>
      </w:r>
    </w:p>
    <w:p w:rsidR="005B5F6D" w:rsidRPr="00D83E92" w:rsidRDefault="00DF0D09">
      <w:pPr>
        <w:pStyle w:val="Prrafodelista"/>
        <w:tabs>
          <w:tab w:val="left" w:pos="426"/>
        </w:tabs>
        <w:spacing w:before="240" w:after="240"/>
        <w:ind w:left="1134" w:right="902"/>
        <w:jc w:val="both"/>
        <w:rPr>
          <w:rFonts w:ascii="Palatino Linotype" w:hAnsi="Palatino Linotype"/>
          <w:i/>
          <w:color w:val="000000" w:themeColor="text1"/>
          <w:sz w:val="22"/>
        </w:rPr>
      </w:pPr>
      <w:r w:rsidRPr="00D83E92">
        <w:rPr>
          <w:rFonts w:ascii="Palatino Linotype" w:hAnsi="Palatino Linotype"/>
          <w:i/>
          <w:color w:val="000000" w:themeColor="text1"/>
          <w:sz w:val="22"/>
        </w:rPr>
        <w:t xml:space="preserve">IV. Contraloría Municipal; </w:t>
      </w:r>
    </w:p>
    <w:p w:rsidR="005B5F6D" w:rsidRPr="00D83E92" w:rsidRDefault="00DF0D09">
      <w:pPr>
        <w:pStyle w:val="Prrafodelista"/>
        <w:tabs>
          <w:tab w:val="left" w:pos="426"/>
        </w:tabs>
        <w:spacing w:before="240" w:after="240"/>
        <w:ind w:left="1134" w:right="902"/>
        <w:jc w:val="both"/>
        <w:rPr>
          <w:rFonts w:ascii="Palatino Linotype" w:hAnsi="Palatino Linotype"/>
          <w:i/>
          <w:color w:val="000000" w:themeColor="text1"/>
          <w:sz w:val="22"/>
        </w:rPr>
      </w:pPr>
      <w:r w:rsidRPr="00D83E92">
        <w:rPr>
          <w:rFonts w:ascii="Palatino Linotype" w:hAnsi="Palatino Linotype"/>
          <w:i/>
          <w:color w:val="000000" w:themeColor="text1"/>
          <w:sz w:val="22"/>
        </w:rPr>
        <w:t xml:space="preserve">V. Comisaría General de Seguridad Ciudadana; </w:t>
      </w:r>
    </w:p>
    <w:p w:rsidR="005B5F6D" w:rsidRPr="00D83E92" w:rsidRDefault="00DF0D09">
      <w:pPr>
        <w:pStyle w:val="Prrafodelista"/>
        <w:tabs>
          <w:tab w:val="left" w:pos="426"/>
        </w:tabs>
        <w:spacing w:before="240" w:after="240"/>
        <w:ind w:left="1134" w:right="902"/>
        <w:jc w:val="both"/>
        <w:rPr>
          <w:rFonts w:ascii="Palatino Linotype" w:hAnsi="Palatino Linotype"/>
          <w:i/>
          <w:color w:val="000000" w:themeColor="text1"/>
          <w:sz w:val="22"/>
        </w:rPr>
      </w:pPr>
      <w:r w:rsidRPr="00D83E92">
        <w:rPr>
          <w:rFonts w:ascii="Palatino Linotype" w:hAnsi="Palatino Linotype"/>
          <w:i/>
          <w:color w:val="000000" w:themeColor="text1"/>
          <w:sz w:val="22"/>
        </w:rPr>
        <w:t xml:space="preserve">VI. Dirección de Desarrollo Urbano; </w:t>
      </w:r>
    </w:p>
    <w:p w:rsidR="005B5F6D" w:rsidRPr="00D83E92" w:rsidRDefault="00DF0D09">
      <w:pPr>
        <w:pStyle w:val="Prrafodelista"/>
        <w:tabs>
          <w:tab w:val="left" w:pos="426"/>
        </w:tabs>
        <w:spacing w:before="240" w:after="240"/>
        <w:ind w:left="1134" w:right="902"/>
        <w:jc w:val="both"/>
        <w:rPr>
          <w:rFonts w:ascii="Palatino Linotype" w:hAnsi="Palatino Linotype"/>
          <w:i/>
          <w:color w:val="000000" w:themeColor="text1"/>
          <w:sz w:val="22"/>
        </w:rPr>
      </w:pPr>
      <w:r w:rsidRPr="00D83E92">
        <w:rPr>
          <w:rFonts w:ascii="Palatino Linotype" w:hAnsi="Palatino Linotype"/>
          <w:i/>
          <w:color w:val="000000" w:themeColor="text1"/>
          <w:sz w:val="22"/>
        </w:rPr>
        <w:t xml:space="preserve">VII. Dirección de Desarrollo Social; </w:t>
      </w:r>
    </w:p>
    <w:p w:rsidR="005B5F6D" w:rsidRPr="00D83E92" w:rsidRDefault="00DF0D09">
      <w:pPr>
        <w:pStyle w:val="Prrafodelista"/>
        <w:tabs>
          <w:tab w:val="left" w:pos="426"/>
        </w:tabs>
        <w:spacing w:before="240" w:after="240"/>
        <w:ind w:left="1134" w:right="902"/>
        <w:jc w:val="both"/>
        <w:rPr>
          <w:rFonts w:ascii="Palatino Linotype" w:hAnsi="Palatino Linotype"/>
          <w:i/>
          <w:color w:val="000000" w:themeColor="text1"/>
          <w:sz w:val="22"/>
        </w:rPr>
      </w:pPr>
      <w:r w:rsidRPr="00D83E92">
        <w:rPr>
          <w:rFonts w:ascii="Palatino Linotype" w:hAnsi="Palatino Linotype"/>
          <w:i/>
          <w:color w:val="000000" w:themeColor="text1"/>
          <w:sz w:val="22"/>
        </w:rPr>
        <w:t xml:space="preserve">VIII. Dirección de Desarrollo Económico; </w:t>
      </w:r>
    </w:p>
    <w:p w:rsidR="005B5F6D" w:rsidRPr="00D83E92" w:rsidRDefault="00DF0D09">
      <w:pPr>
        <w:pStyle w:val="Prrafodelista"/>
        <w:tabs>
          <w:tab w:val="left" w:pos="426"/>
        </w:tabs>
        <w:spacing w:before="240" w:after="240"/>
        <w:ind w:left="1134" w:right="902"/>
        <w:jc w:val="both"/>
        <w:rPr>
          <w:rFonts w:ascii="Palatino Linotype" w:hAnsi="Palatino Linotype"/>
          <w:i/>
          <w:color w:val="000000" w:themeColor="text1"/>
          <w:sz w:val="22"/>
        </w:rPr>
      </w:pPr>
      <w:r w:rsidRPr="00D83E92">
        <w:rPr>
          <w:rFonts w:ascii="Palatino Linotype" w:hAnsi="Palatino Linotype"/>
          <w:i/>
          <w:color w:val="000000" w:themeColor="text1"/>
          <w:sz w:val="22"/>
        </w:rPr>
        <w:t xml:space="preserve">IX. Dirección de Servicios Públicos; </w:t>
      </w:r>
    </w:p>
    <w:p w:rsidR="005B5F6D" w:rsidRPr="00D83E92" w:rsidRDefault="00DF0D09">
      <w:pPr>
        <w:pStyle w:val="Prrafodelista"/>
        <w:tabs>
          <w:tab w:val="left" w:pos="426"/>
        </w:tabs>
        <w:spacing w:before="240" w:after="240"/>
        <w:ind w:left="1134" w:right="902"/>
        <w:jc w:val="both"/>
        <w:rPr>
          <w:rFonts w:ascii="Palatino Linotype" w:hAnsi="Palatino Linotype"/>
          <w:i/>
          <w:color w:val="000000" w:themeColor="text1"/>
          <w:sz w:val="22"/>
        </w:rPr>
      </w:pPr>
      <w:r w:rsidRPr="00D83E92">
        <w:rPr>
          <w:rFonts w:ascii="Palatino Linotype" w:hAnsi="Palatino Linotype"/>
          <w:i/>
          <w:color w:val="000000" w:themeColor="text1"/>
          <w:sz w:val="22"/>
        </w:rPr>
        <w:t xml:space="preserve">X. Dirección de Administración; </w:t>
      </w:r>
    </w:p>
    <w:p w:rsidR="005B5F6D" w:rsidRPr="00D83E92" w:rsidRDefault="00DF0D09">
      <w:pPr>
        <w:pStyle w:val="Prrafodelista"/>
        <w:tabs>
          <w:tab w:val="left" w:pos="426"/>
        </w:tabs>
        <w:spacing w:before="240" w:after="240"/>
        <w:ind w:left="1134" w:right="902"/>
        <w:jc w:val="both"/>
        <w:rPr>
          <w:rFonts w:ascii="Palatino Linotype" w:hAnsi="Palatino Linotype"/>
          <w:i/>
          <w:color w:val="000000" w:themeColor="text1"/>
          <w:sz w:val="22"/>
        </w:rPr>
      </w:pPr>
      <w:r w:rsidRPr="00D83E92">
        <w:rPr>
          <w:rFonts w:ascii="Palatino Linotype" w:hAnsi="Palatino Linotype"/>
          <w:i/>
          <w:color w:val="000000" w:themeColor="text1"/>
          <w:sz w:val="22"/>
        </w:rPr>
        <w:t xml:space="preserve">XI. Dirección Jurídica; </w:t>
      </w:r>
    </w:p>
    <w:p w:rsidR="005B5F6D" w:rsidRPr="00D83E92" w:rsidRDefault="00DF0D09">
      <w:pPr>
        <w:pStyle w:val="Prrafodelista"/>
        <w:tabs>
          <w:tab w:val="left" w:pos="426"/>
        </w:tabs>
        <w:spacing w:before="240" w:after="240"/>
        <w:ind w:left="1134" w:right="902"/>
        <w:jc w:val="both"/>
        <w:rPr>
          <w:rFonts w:ascii="Palatino Linotype" w:hAnsi="Palatino Linotype"/>
          <w:i/>
          <w:color w:val="000000" w:themeColor="text1"/>
          <w:sz w:val="22"/>
        </w:rPr>
      </w:pPr>
      <w:r w:rsidRPr="00D83E92">
        <w:rPr>
          <w:rFonts w:ascii="Palatino Linotype" w:hAnsi="Palatino Linotype"/>
          <w:i/>
          <w:color w:val="000000" w:themeColor="text1"/>
          <w:sz w:val="22"/>
        </w:rPr>
        <w:t xml:space="preserve">XII. Dirección de Obras Públicas; y </w:t>
      </w:r>
    </w:p>
    <w:p w:rsidR="005B5F6D" w:rsidRPr="00D83E92" w:rsidRDefault="00DF0D09">
      <w:pPr>
        <w:pStyle w:val="Prrafodelista"/>
        <w:tabs>
          <w:tab w:val="left" w:pos="426"/>
        </w:tabs>
        <w:spacing w:before="240" w:after="240"/>
        <w:ind w:left="1134" w:right="902"/>
        <w:jc w:val="both"/>
        <w:rPr>
          <w:rFonts w:ascii="Palatino Linotype" w:hAnsi="Palatino Linotype"/>
          <w:i/>
          <w:color w:val="000000" w:themeColor="text1"/>
          <w:sz w:val="22"/>
        </w:rPr>
      </w:pPr>
      <w:r w:rsidRPr="00D83E92">
        <w:rPr>
          <w:rFonts w:ascii="Palatino Linotype" w:hAnsi="Palatino Linotype"/>
          <w:i/>
          <w:color w:val="000000" w:themeColor="text1"/>
          <w:sz w:val="22"/>
        </w:rPr>
        <w:t>XIII. Dirección de Sustentabilidad y Medio Ambiente.</w:t>
      </w:r>
    </w:p>
    <w:p w:rsidR="005B5F6D" w:rsidRPr="00D83E92" w:rsidRDefault="005B5F6D">
      <w:pPr>
        <w:pStyle w:val="Prrafodelista"/>
        <w:tabs>
          <w:tab w:val="left" w:pos="426"/>
        </w:tabs>
        <w:spacing w:line="360" w:lineRule="auto"/>
        <w:ind w:left="0" w:right="51"/>
        <w:jc w:val="both"/>
        <w:rPr>
          <w:rFonts w:ascii="Palatino Linotype" w:hAnsi="Palatino Linotype"/>
          <w:color w:val="000000" w:themeColor="text1"/>
        </w:rPr>
      </w:pPr>
    </w:p>
    <w:p w:rsidR="005B5F6D" w:rsidRPr="00D83E92" w:rsidRDefault="00DF0D09">
      <w:pPr>
        <w:numPr>
          <w:ilvl w:val="0"/>
          <w:numId w:val="1"/>
        </w:numPr>
        <w:spacing w:line="360" w:lineRule="auto"/>
        <w:ind w:left="0" w:firstLine="0"/>
        <w:jc w:val="both"/>
        <w:rPr>
          <w:rFonts w:ascii="Palatino Linotype" w:hAnsi="Palatino Linotype"/>
          <w:color w:val="000000" w:themeColor="text1"/>
        </w:rPr>
      </w:pPr>
      <w:r w:rsidRPr="00D83E92">
        <w:rPr>
          <w:rFonts w:ascii="Palatino Linotype" w:hAnsi="Palatino Linotype" w:cs="Arial"/>
          <w:color w:val="000000"/>
        </w:rPr>
        <w:t xml:space="preserve">La </w:t>
      </w:r>
      <w:r w:rsidRPr="00D83E92">
        <w:rPr>
          <w:rFonts w:ascii="Palatino Linotype" w:hAnsi="Palatino Linotype" w:cs="Arial"/>
          <w:b/>
          <w:color w:val="000000"/>
        </w:rPr>
        <w:t>Dirección de Desarrollo Urbano</w:t>
      </w:r>
      <w:r w:rsidRPr="00D83E92">
        <w:rPr>
          <w:rFonts w:ascii="Palatino Linotype" w:hAnsi="Palatino Linotype" w:cs="Arial"/>
          <w:color w:val="000000"/>
        </w:rPr>
        <w:t xml:space="preserve"> de conformidad con lo dispuesto por el artículo 38 del Reglamento de Organización Interna de la Administración Pública del Municipio de Cuautitlán Izcalli, Estado de México, contará entre otras, con las siguientes facultades:</w:t>
      </w: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lastRenderedPageBreak/>
        <w:t>…</w:t>
      </w: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 xml:space="preserve">VII. Expedir las órdenes de pago que se requieran por concepto de trámites y servicios prestados por la Dirección de Desarrollo Urbano; </w:t>
      </w: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VIII. Expedir las órdenes de pago que se requieran por concepto de multas, sanciones administrativas y copias certificadas de los asuntos en materia de ordenamiento territorial de los asentamientos humanos y desarrollo urbano;</w:t>
      </w: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w:t>
      </w: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XI. Difundir los requisitos y trámites para obtener las licencias, permisos, autorizaciones, cédulas y constancias en materia de ordenamiento territorial de los asentamientos humanos, desarrollo urbano y construcciones;</w:t>
      </w: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w:t>
      </w: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XV. Expedir, autorizar y llevar el registro de las licencias, permisos, autorizaciones, cédulas y constancias en materia de ordenamiento territorial de los asentamientos humanos, desarrollo urbano y construcciones;</w:t>
      </w: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XVI. Emitir autorizaciones de cambio de uso de suelo, densidad, coeficiente de ocupación, coeficiente de utilización, altura de edificaciones e intensidad de aprovechamiento del suelo y ordenar su publicación en el periódico oficial Gaceta del Gobierno del Estado de México;</w:t>
      </w: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w:t>
      </w: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XXV. Expedir, autorizar y registrar los permisos y licencias de obra para la instalación de anuncios publicitarios que requieran y no de elementos estructurales, así como la colocación de stands publicitarios, carpas, lonas, degustación, volanteo, valla móvil, pendones en la vía pública y propiedad privada en cumplimiento a las disposiciones legales y reglamentarias aplicables;</w:t>
      </w:r>
    </w:p>
    <w:p w:rsidR="005B5F6D" w:rsidRPr="00D83E92" w:rsidRDefault="005B5F6D">
      <w:pPr>
        <w:pStyle w:val="Prrafodelista"/>
        <w:tabs>
          <w:tab w:val="left" w:pos="426"/>
        </w:tabs>
        <w:spacing w:line="360" w:lineRule="auto"/>
        <w:ind w:left="0" w:right="51"/>
        <w:jc w:val="both"/>
        <w:rPr>
          <w:rFonts w:ascii="Palatino Linotype" w:hAnsi="Palatino Linotype"/>
          <w:color w:val="000000" w:themeColor="text1"/>
        </w:rPr>
      </w:pPr>
    </w:p>
    <w:p w:rsidR="005B5F6D" w:rsidRPr="00D83E92" w:rsidRDefault="00DF0D09">
      <w:pPr>
        <w:numPr>
          <w:ilvl w:val="0"/>
          <w:numId w:val="1"/>
        </w:numPr>
        <w:spacing w:line="360" w:lineRule="auto"/>
        <w:ind w:left="0" w:firstLine="0"/>
        <w:jc w:val="both"/>
        <w:rPr>
          <w:rFonts w:ascii="Palatino Linotype" w:hAnsi="Palatino Linotype"/>
          <w:color w:val="000000" w:themeColor="text1"/>
        </w:rPr>
      </w:pPr>
      <w:r w:rsidRPr="00D83E92">
        <w:rPr>
          <w:rFonts w:ascii="Palatino Linotype" w:hAnsi="Palatino Linotype" w:cs="Arial"/>
          <w:color w:val="000000"/>
        </w:rPr>
        <w:t xml:space="preserve">La </w:t>
      </w:r>
      <w:r w:rsidRPr="00D83E92">
        <w:rPr>
          <w:rFonts w:ascii="Palatino Linotype" w:hAnsi="Palatino Linotype" w:cs="Arial"/>
          <w:b/>
          <w:color w:val="000000"/>
        </w:rPr>
        <w:t>Dirección de Desarrollo Económico</w:t>
      </w:r>
      <w:r w:rsidRPr="00D83E92">
        <w:rPr>
          <w:rFonts w:ascii="Palatino Linotype" w:hAnsi="Palatino Linotype" w:cs="Arial"/>
          <w:color w:val="000000"/>
        </w:rPr>
        <w:t xml:space="preserve"> de conformidad con lo dispuesto por el artículo 42 del Reglamento de Organización Interna de la Administración Pública del Municipio de Cuautitlán Izcalli, Estado de México, contará entre otras, con las siguientes facultades:</w:t>
      </w: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w:t>
      </w: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 xml:space="preserve">III. Proponer y coordinar la ejecución de los programas y proyectos para el desarrollo económico y el fomento de las actividades industriales, comerciales y de prestación de servicios; </w:t>
      </w: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IV. Impulsar mecanismos de financiamiento para la ejecución de proyectos productivos orientados al fomento de las actividades industriales, comerciales y de prestación de servicios;</w:t>
      </w: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w:t>
      </w: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lastRenderedPageBreak/>
        <w:t xml:space="preserve">IX. Otorgar asesoría a los sectores sociales y privado en el establecimiento de nuevas empresas, en la elaboración de planes de negocios y en la vinculación para la obtención de recursos; </w:t>
      </w:r>
    </w:p>
    <w:p w:rsidR="005B5F6D" w:rsidRPr="00D83E92" w:rsidRDefault="005B5F6D">
      <w:pPr>
        <w:tabs>
          <w:tab w:val="left" w:pos="426"/>
        </w:tabs>
        <w:ind w:left="1134" w:right="900"/>
        <w:jc w:val="both"/>
        <w:rPr>
          <w:rFonts w:ascii="Palatino Linotype" w:hAnsi="Palatino Linotype"/>
          <w:i/>
          <w:color w:val="000000" w:themeColor="text1"/>
          <w:sz w:val="22"/>
          <w:szCs w:val="22"/>
        </w:rPr>
      </w:pP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 xml:space="preserve">X. Operar la Ventanilla Única, así como, el Sistema de Apertura Rápida de Empresas y atender e informar a los particulares, de forma gratuita, los trámites que se realizan para el inicio de operaciones de las empresas, así como, mediante el Sistema de Apertura Rápida de Empresas; </w:t>
      </w:r>
    </w:p>
    <w:p w:rsidR="005B5F6D" w:rsidRPr="00D83E92" w:rsidRDefault="005B5F6D">
      <w:pPr>
        <w:tabs>
          <w:tab w:val="left" w:pos="426"/>
        </w:tabs>
        <w:ind w:left="1134" w:right="900"/>
        <w:jc w:val="both"/>
        <w:rPr>
          <w:rFonts w:ascii="Palatino Linotype" w:hAnsi="Palatino Linotype"/>
          <w:i/>
          <w:color w:val="000000" w:themeColor="text1"/>
          <w:sz w:val="22"/>
          <w:szCs w:val="22"/>
        </w:rPr>
      </w:pP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 xml:space="preserve">XI. Previo el procedimiento correspondiente, revocar, rescindir, anular, cancelar o suspender los convenios y licencias de funcionamiento, en su caso, autorizar los cambios de giro, titulares, beneficiarios, dimensiones o cesiones de derecho de las Áreas Económicas, previamente autorizadas; </w:t>
      </w:r>
    </w:p>
    <w:p w:rsidR="005B5F6D" w:rsidRPr="00D83E92" w:rsidRDefault="005B5F6D">
      <w:pPr>
        <w:tabs>
          <w:tab w:val="left" w:pos="426"/>
        </w:tabs>
        <w:ind w:left="1134" w:right="900"/>
        <w:jc w:val="both"/>
        <w:rPr>
          <w:rFonts w:ascii="Palatino Linotype" w:hAnsi="Palatino Linotype"/>
          <w:i/>
          <w:color w:val="000000" w:themeColor="text1"/>
          <w:sz w:val="22"/>
          <w:szCs w:val="22"/>
        </w:rPr>
      </w:pP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XII. Expedir Licencias, Permisos y Cédulas de Funcionamiento a las unidades económicas que cumplan con los requisitos legales y reglamentarios, así como su revocación cuando no dependa de otra autoridad; asimismo, podrá expedir la Licencia Provisional de Funcionamiento o Permiso de Funcionamiento en los términos que señalan las disposiciones legales y reglamentarias respectivas, llevar un registro de ello, así como proponer campañas para la regularización de Licencias de Funcionamiento, previo cumplimiento de las disposiciones legales y reglamentarias aplicables;</w:t>
      </w: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w:t>
      </w: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XXVIII. Brindar atención personalizada para facilitar la gestión de trámite y servicios para la instalación, apertura, operación y ampliación de empresas;</w:t>
      </w: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w:t>
      </w: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XXXII. Otorgar la placa de dictamen de giro a los establecimientos que la requieran y cumplan con las disposiciones relativas y llevar registro de las mismas, de conformidad con la ley de la materia;</w:t>
      </w: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w:t>
      </w: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XXXIX. Convenir, cuando así proceda, con los titulares, permisionarios y/o responsables de las Unidades Económicas; con la finalidad de subsanar las irregularidades o faltas administrativas cometidas y que hayan dado origen al Procedimiento Administrativo común, previo el pago de la multa y/o sanción, que en derecho proceda; en términos de lo establecido en el Código de Procedimientos Administrativos del Estado de México;</w:t>
      </w: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w:t>
      </w: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XLI. Crear y mantener actualizado el registro municipal de las unidades económicas que cuenten con el dictamen de giro, en los términos de la legislación de la materia;</w:t>
      </w:r>
    </w:p>
    <w:p w:rsidR="005B5F6D" w:rsidRPr="00D83E92" w:rsidRDefault="005B5F6D">
      <w:pPr>
        <w:pStyle w:val="Prrafodelista"/>
        <w:tabs>
          <w:tab w:val="left" w:pos="426"/>
        </w:tabs>
        <w:spacing w:line="360" w:lineRule="auto"/>
        <w:ind w:left="0" w:right="51"/>
        <w:jc w:val="both"/>
        <w:rPr>
          <w:rFonts w:ascii="Palatino Linotype" w:hAnsi="Palatino Linotype"/>
          <w:color w:val="000000" w:themeColor="text1"/>
        </w:rPr>
      </w:pPr>
    </w:p>
    <w:p w:rsidR="005B5F6D" w:rsidRPr="00D83E92" w:rsidRDefault="00DF0D09">
      <w:pPr>
        <w:numPr>
          <w:ilvl w:val="0"/>
          <w:numId w:val="1"/>
        </w:numPr>
        <w:spacing w:line="360" w:lineRule="auto"/>
        <w:ind w:left="0" w:firstLine="0"/>
        <w:jc w:val="both"/>
        <w:rPr>
          <w:rFonts w:ascii="Palatino Linotype" w:hAnsi="Palatino Linotype"/>
          <w:color w:val="000000" w:themeColor="text1"/>
        </w:rPr>
      </w:pPr>
      <w:r w:rsidRPr="00D83E92">
        <w:rPr>
          <w:rFonts w:ascii="Palatino Linotype" w:hAnsi="Palatino Linotype" w:cs="Arial"/>
          <w:color w:val="000000"/>
        </w:rPr>
        <w:lastRenderedPageBreak/>
        <w:t xml:space="preserve">La </w:t>
      </w:r>
      <w:r w:rsidRPr="00D83E92">
        <w:rPr>
          <w:rFonts w:ascii="Palatino Linotype" w:hAnsi="Palatino Linotype" w:cs="Arial"/>
          <w:b/>
          <w:color w:val="000000"/>
        </w:rPr>
        <w:t>Dirección de Servicios Públicos</w:t>
      </w:r>
      <w:r w:rsidRPr="00D83E92">
        <w:rPr>
          <w:rFonts w:ascii="Palatino Linotype" w:hAnsi="Palatino Linotype" w:cs="Arial"/>
          <w:color w:val="000000"/>
        </w:rPr>
        <w:t xml:space="preserve"> de conformidad con lo dispuesto por el artículo 45 del Reglamento de Organización Interna de la Administración Pública del Municipio de Cuautitlán Izcalli, Estado de México, contará entre otras, con las siguientes facultades:</w:t>
      </w: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I. Prestar, administrar, operar y supervisar los servicios públicos municipales de alumbrado público, limpia y disposición de desechos sólidos urbanos no peligrosos, panteones y crematorios municipales, calles, parques, jardines, áreas verdes y recreativas, embellecimiento y conservación de los poblados, centros urbanos y obras de interés social;</w:t>
      </w:r>
    </w:p>
    <w:p w:rsidR="005B5F6D" w:rsidRPr="00D83E92" w:rsidRDefault="005B5F6D">
      <w:pPr>
        <w:tabs>
          <w:tab w:val="left" w:pos="426"/>
        </w:tabs>
        <w:ind w:right="900"/>
        <w:jc w:val="both"/>
        <w:rPr>
          <w:rFonts w:ascii="Palatino Linotype" w:hAnsi="Palatino Linotype"/>
          <w:color w:val="000000" w:themeColor="text1"/>
          <w:sz w:val="22"/>
          <w:szCs w:val="22"/>
        </w:rPr>
      </w:pPr>
    </w:p>
    <w:p w:rsidR="005B5F6D" w:rsidRPr="00D83E92" w:rsidRDefault="00DF0D09">
      <w:pPr>
        <w:numPr>
          <w:ilvl w:val="0"/>
          <w:numId w:val="1"/>
        </w:numPr>
        <w:spacing w:line="360" w:lineRule="auto"/>
        <w:ind w:left="0" w:firstLine="0"/>
        <w:jc w:val="both"/>
        <w:rPr>
          <w:rFonts w:ascii="Palatino Linotype" w:hAnsi="Palatino Linotype"/>
          <w:color w:val="000000" w:themeColor="text1"/>
        </w:rPr>
      </w:pPr>
      <w:r w:rsidRPr="00D83E92">
        <w:rPr>
          <w:rFonts w:ascii="Palatino Linotype" w:hAnsi="Palatino Linotype" w:cs="Arial"/>
          <w:color w:val="000000"/>
        </w:rPr>
        <w:t xml:space="preserve">La </w:t>
      </w:r>
      <w:r w:rsidRPr="00D83E92">
        <w:rPr>
          <w:rFonts w:ascii="Palatino Linotype" w:hAnsi="Palatino Linotype" w:cs="Arial"/>
          <w:b/>
          <w:color w:val="000000"/>
        </w:rPr>
        <w:t>Dirección de Obras Públicas</w:t>
      </w:r>
      <w:r w:rsidRPr="00D83E92">
        <w:rPr>
          <w:rFonts w:ascii="Palatino Linotype" w:hAnsi="Palatino Linotype" w:cs="Arial"/>
          <w:color w:val="000000"/>
        </w:rPr>
        <w:t xml:space="preserve"> de conformidad con lo dispuesto por el artículo 40 del Reglamento de Organización Interna de la Administración Pública del Municipio de Cuautitlán Izcalli, Estado de México, contará entre otras, con las siguientes facultades:</w:t>
      </w: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III. Verificar que las obras incluidas en el Programa Anual de Obra Pública cuenten con la acreditación de la propiedad de los inmuebles donde será propuesta su realización; así como que cuenten con las autorizaciones, permisos o licencias ante las autoridades competentes;</w:t>
      </w: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w:t>
      </w: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VII. Coordinar los programas tendientes a la asistencia y desarrollo de los centros de población, con maquinaria, equipo y materiales básicos para la construcción de obras de mejoramiento de vialidades y edificios públicos;</w:t>
      </w:r>
    </w:p>
    <w:p w:rsidR="005B5F6D" w:rsidRPr="00D83E92" w:rsidRDefault="005B5F6D">
      <w:pPr>
        <w:pStyle w:val="Prrafodelista"/>
        <w:tabs>
          <w:tab w:val="left" w:pos="426"/>
        </w:tabs>
        <w:spacing w:line="360" w:lineRule="auto"/>
        <w:ind w:left="0" w:right="51"/>
        <w:jc w:val="both"/>
        <w:rPr>
          <w:rFonts w:ascii="Palatino Linotype" w:hAnsi="Palatino Linotype"/>
          <w:color w:val="000000" w:themeColor="text1"/>
        </w:rPr>
      </w:pPr>
    </w:p>
    <w:p w:rsidR="005B5F6D" w:rsidRPr="00D83E92" w:rsidRDefault="00DF0D09">
      <w:pPr>
        <w:numPr>
          <w:ilvl w:val="0"/>
          <w:numId w:val="1"/>
        </w:numPr>
        <w:spacing w:line="360" w:lineRule="auto"/>
        <w:ind w:left="0" w:firstLine="0"/>
        <w:jc w:val="both"/>
        <w:rPr>
          <w:rFonts w:ascii="Palatino Linotype" w:hAnsi="Palatino Linotype"/>
          <w:color w:val="000000" w:themeColor="text1"/>
        </w:rPr>
      </w:pPr>
      <w:r w:rsidRPr="00D83E92">
        <w:rPr>
          <w:rFonts w:ascii="Palatino Linotype" w:hAnsi="Palatino Linotype" w:cs="Arial"/>
          <w:color w:val="000000"/>
        </w:rPr>
        <w:t xml:space="preserve">La </w:t>
      </w:r>
      <w:r w:rsidRPr="00D83E92">
        <w:rPr>
          <w:rFonts w:ascii="Palatino Linotype" w:hAnsi="Palatino Linotype" w:cs="Arial"/>
          <w:b/>
          <w:color w:val="000000"/>
        </w:rPr>
        <w:t>Tesorería Municipal</w:t>
      </w:r>
      <w:r w:rsidRPr="00D83E92">
        <w:rPr>
          <w:rFonts w:ascii="Palatino Linotype" w:hAnsi="Palatino Linotype" w:cs="Arial"/>
          <w:color w:val="000000"/>
        </w:rPr>
        <w:t xml:space="preserve"> será el órgano encargado de la recaudación de los ingresos municipales, así como de la administración de la hacienda municipal y responsable de realizar las erogaciones que realice el Gobierno Municipal. Razón de lo anterior, y de conformidad con lo dispuesto por el artículo 32 del Reglamento de Organización Interna de la Administración Pública del Municipio de Cuautitlán Izcalli, Estado de México, la dependencia contará, entre otras, con las siguientes facultades:</w:t>
      </w:r>
    </w:p>
    <w:p w:rsidR="005B5F6D" w:rsidRPr="00D83E92" w:rsidRDefault="00DF0D09">
      <w:pPr>
        <w:tabs>
          <w:tab w:val="left" w:pos="426"/>
        </w:tabs>
        <w:ind w:left="1134" w:right="51"/>
        <w:jc w:val="both"/>
        <w:rPr>
          <w:rFonts w:ascii="Palatino Linotype" w:hAnsi="Palatino Linotype"/>
          <w:i/>
          <w:color w:val="000000" w:themeColor="text1"/>
        </w:rPr>
      </w:pPr>
      <w:r w:rsidRPr="00D83E92">
        <w:rPr>
          <w:rFonts w:ascii="Palatino Linotype" w:hAnsi="Palatino Linotype"/>
          <w:i/>
          <w:color w:val="000000" w:themeColor="text1"/>
        </w:rPr>
        <w:t>…</w:t>
      </w: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lastRenderedPageBreak/>
        <w:t>VIII. Suscribir y hacer cumplir los convenios que se celebren con los contribuyentes para el cumplimiento diferido de obligaciones fiscales;</w:t>
      </w: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w:t>
      </w: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XXIV. Requerir de las dependencias correspondientes la información necesaria para determinar las obligaciones fiscales por el uso de infraestructura vial y espacios públicos para la prestación de servicios de transmisión de energía eléctrica, telefónicos, de imágenes, voz y datos y de cualquier otro que utilice bienes del dominio público municipal con o sin licencia, contrato, permiso, concesión o autorización;</w:t>
      </w: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w:t>
      </w: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 xml:space="preserve">XXXIII. Gestionar, resolver y otorgar las solicitudes de devolución, compensación, prórroga, condonación, exenciones y subsidios; </w:t>
      </w:r>
    </w:p>
    <w:p w:rsidR="005B5F6D" w:rsidRPr="00D83E92" w:rsidRDefault="005B5F6D">
      <w:pPr>
        <w:tabs>
          <w:tab w:val="left" w:pos="426"/>
        </w:tabs>
        <w:ind w:left="1134" w:right="900"/>
        <w:jc w:val="both"/>
        <w:rPr>
          <w:rFonts w:ascii="Palatino Linotype" w:hAnsi="Palatino Linotype"/>
          <w:i/>
          <w:color w:val="000000" w:themeColor="text1"/>
          <w:sz w:val="22"/>
          <w:szCs w:val="22"/>
        </w:rPr>
      </w:pP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XXXIV. Vigilar el correcto funcionamiento del sistema para la tramitación y pago del impuesto sobre adquisición de inmuebles y otras operaciones traslativas de dominio, que se realicen vía internet;</w:t>
      </w: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w:t>
      </w: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XXXVII. Resolver las consultas que en materia de catastro, impuestos o derechos realicen los contribuyentes;</w:t>
      </w:r>
    </w:p>
    <w:p w:rsidR="005B5F6D" w:rsidRPr="00D83E92" w:rsidRDefault="005B5F6D">
      <w:pPr>
        <w:tabs>
          <w:tab w:val="left" w:pos="426"/>
        </w:tabs>
        <w:ind w:left="1134" w:right="900"/>
        <w:jc w:val="both"/>
        <w:rPr>
          <w:rFonts w:ascii="Palatino Linotype" w:hAnsi="Palatino Linotype"/>
          <w:i/>
          <w:color w:val="000000" w:themeColor="text1"/>
          <w:sz w:val="22"/>
          <w:szCs w:val="22"/>
        </w:rPr>
      </w:pP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XL. Otorgar, previa autorización del Ayuntamiento, descuentos en multas, recargos y accesorios derivados de créditos fiscales con la finalidad de incentivar la disminución del rezago hacendario;</w:t>
      </w:r>
    </w:p>
    <w:p w:rsidR="005B5F6D" w:rsidRPr="00D83E92" w:rsidRDefault="005B5F6D">
      <w:pPr>
        <w:tabs>
          <w:tab w:val="left" w:pos="426"/>
        </w:tabs>
        <w:spacing w:line="360" w:lineRule="auto"/>
        <w:ind w:right="49"/>
        <w:contextualSpacing/>
        <w:jc w:val="both"/>
        <w:rPr>
          <w:rFonts w:ascii="Palatino Linotype" w:hAnsi="Palatino Linotype"/>
          <w:color w:val="000000" w:themeColor="text1"/>
        </w:rPr>
      </w:pPr>
    </w:p>
    <w:p w:rsidR="005B5F6D" w:rsidRPr="00D83E92" w:rsidRDefault="00DF0D09">
      <w:pPr>
        <w:numPr>
          <w:ilvl w:val="0"/>
          <w:numId w:val="1"/>
        </w:numPr>
        <w:spacing w:line="360" w:lineRule="auto"/>
        <w:ind w:left="0" w:firstLine="0"/>
        <w:jc w:val="both"/>
        <w:rPr>
          <w:rFonts w:ascii="Palatino Linotype" w:hAnsi="Palatino Linotype"/>
          <w:color w:val="000000" w:themeColor="text1"/>
        </w:rPr>
      </w:pPr>
      <w:r w:rsidRPr="00D83E92">
        <w:rPr>
          <w:rFonts w:ascii="Palatino Linotype" w:hAnsi="Palatino Linotype"/>
          <w:color w:val="000000" w:themeColor="text1"/>
        </w:rPr>
        <w:t>Ahora bien, como se pudo observar existe un sin número de facultades de cada una de las dependencias de la Administración Pública Municipal que puede ofrecer igual número de trámites y servicios a disposición de la ciudadanía, y conforme a lo solicitado por el particular hace referencia a soportes documentales relacionados a trámites y solicitudes sin especificar uno o una en particular.</w:t>
      </w:r>
    </w:p>
    <w:p w:rsidR="005B5F6D" w:rsidRPr="00D83E92" w:rsidRDefault="005B5F6D">
      <w:pPr>
        <w:spacing w:line="360" w:lineRule="auto"/>
        <w:jc w:val="both"/>
        <w:rPr>
          <w:rFonts w:ascii="Palatino Linotype" w:hAnsi="Palatino Linotype"/>
          <w:color w:val="000000" w:themeColor="text1"/>
        </w:rPr>
      </w:pPr>
    </w:p>
    <w:p w:rsidR="005B5F6D" w:rsidRPr="00D83E92" w:rsidRDefault="00DF0D09">
      <w:pPr>
        <w:numPr>
          <w:ilvl w:val="0"/>
          <w:numId w:val="1"/>
        </w:numPr>
        <w:spacing w:line="360" w:lineRule="auto"/>
        <w:ind w:left="0" w:firstLine="0"/>
        <w:jc w:val="both"/>
        <w:rPr>
          <w:rFonts w:ascii="Palatino Linotype" w:hAnsi="Palatino Linotype"/>
          <w:color w:val="000000" w:themeColor="text1"/>
        </w:rPr>
      </w:pPr>
      <w:r w:rsidRPr="00D83E92">
        <w:rPr>
          <w:rFonts w:ascii="Palatino Linotype" w:eastAsia="Palatino Linotype" w:hAnsi="Palatino Linotype" w:cs="Palatino Linotype"/>
        </w:rPr>
        <w:t>No se omite mencionar que, existe una plataforma de acceso público en la que está inscrito en el catálogo de trámites, servicios, plazos y cargas tributarias de las dependencias estatales denominado “</w:t>
      </w:r>
      <w:r w:rsidRPr="00D83E92">
        <w:rPr>
          <w:rFonts w:ascii="Palatino Linotype" w:eastAsia="Palatino Linotype" w:hAnsi="Palatino Linotype" w:cs="Palatino Linotype"/>
          <w:i/>
        </w:rPr>
        <w:t>Registro Estatal de Traites y Servicios</w:t>
      </w:r>
      <w:r w:rsidRPr="00D83E92">
        <w:rPr>
          <w:rFonts w:ascii="Palatino Linotype" w:eastAsia="Palatino Linotype" w:hAnsi="Palatino Linotype" w:cs="Palatino Linotype"/>
        </w:rPr>
        <w:t xml:space="preserve">”, referido en </w:t>
      </w:r>
      <w:r w:rsidRPr="00D83E92">
        <w:rPr>
          <w:rFonts w:ascii="Palatino Linotype" w:eastAsia="Palatino Linotype" w:hAnsi="Palatino Linotype" w:cs="Palatino Linotype"/>
        </w:rPr>
        <w:lastRenderedPageBreak/>
        <w:t>el artículo 54 de la Ley para la Mejora Regulatoria del Estado de México, el cual contempla la información relativa a cada tramite y/o servicio.</w:t>
      </w:r>
    </w:p>
    <w:p w:rsidR="005B5F6D" w:rsidRPr="00D83E92" w:rsidRDefault="005B5F6D">
      <w:pPr>
        <w:spacing w:line="360" w:lineRule="auto"/>
        <w:jc w:val="both"/>
        <w:rPr>
          <w:rFonts w:ascii="Palatino Linotype" w:hAnsi="Palatino Linotype"/>
          <w:color w:val="000000" w:themeColor="text1"/>
        </w:rPr>
      </w:pPr>
    </w:p>
    <w:p w:rsidR="005B5F6D" w:rsidRPr="00D83E92" w:rsidRDefault="00DF0D09">
      <w:pPr>
        <w:numPr>
          <w:ilvl w:val="0"/>
          <w:numId w:val="1"/>
        </w:numPr>
        <w:spacing w:line="360" w:lineRule="auto"/>
        <w:ind w:left="0" w:firstLine="0"/>
        <w:jc w:val="both"/>
        <w:rPr>
          <w:rFonts w:ascii="Palatino Linotype" w:eastAsia="Palatino Linotype" w:hAnsi="Palatino Linotype" w:cs="Palatino Linotype"/>
        </w:rPr>
      </w:pPr>
      <w:r w:rsidRPr="00D83E92">
        <w:rPr>
          <w:rFonts w:ascii="Palatino Linotype" w:eastAsia="Palatino Linotype" w:hAnsi="Palatino Linotype" w:cs="Palatino Linotype"/>
        </w:rPr>
        <w:t xml:space="preserve">Asimismo, para los municipios existe el denominado </w:t>
      </w:r>
      <w:r w:rsidRPr="00D83E92">
        <w:rPr>
          <w:rFonts w:ascii="Palatino Linotype" w:eastAsia="Palatino Linotype" w:hAnsi="Palatino Linotype" w:cs="Palatino Linotype"/>
          <w:i/>
        </w:rPr>
        <w:t xml:space="preserve">“Registro Municipal de Transmites y Servicios” </w:t>
      </w:r>
      <w:r w:rsidRPr="00D83E92">
        <w:rPr>
          <w:rFonts w:ascii="Palatino Linotype" w:eastAsia="Palatino Linotype" w:hAnsi="Palatino Linotype" w:cs="Palatino Linotype"/>
        </w:rPr>
        <w:t xml:space="preserve">equivalente al Registro Estatal, en el cual se observaran los mismos requisitos y formalidades establecidas para el Registro Estatal, en ese contexto, es conveniente citar lo que se establece en los artículos 4, fracción XXIV, y 57 de la </w:t>
      </w:r>
      <w:r w:rsidRPr="00D83E92">
        <w:rPr>
          <w:rFonts w:ascii="Palatino Linotype" w:eastAsia="Palatino Linotype" w:hAnsi="Palatino Linotype" w:cs="Palatino Linotype"/>
          <w:i/>
        </w:rPr>
        <w:t xml:space="preserve">supra </w:t>
      </w:r>
      <w:r w:rsidRPr="00D83E92">
        <w:rPr>
          <w:rFonts w:ascii="Palatino Linotype" w:eastAsia="Palatino Linotype" w:hAnsi="Palatino Linotype" w:cs="Palatino Linotype"/>
        </w:rPr>
        <w:t xml:space="preserve">citada ley. </w:t>
      </w:r>
    </w:p>
    <w:p w:rsidR="005B5F6D" w:rsidRPr="00D83E92" w:rsidRDefault="005B5F6D">
      <w:pPr>
        <w:pStyle w:val="Prrafodelista"/>
        <w:rPr>
          <w:rFonts w:ascii="Palatino Linotype" w:eastAsia="Palatino Linotype" w:hAnsi="Palatino Linotype" w:cs="Palatino Linotype"/>
        </w:rPr>
      </w:pPr>
    </w:p>
    <w:p w:rsidR="005B5F6D" w:rsidRPr="00D83E92" w:rsidRDefault="00DF0D09">
      <w:pPr>
        <w:ind w:left="1134" w:right="1127"/>
        <w:jc w:val="both"/>
        <w:rPr>
          <w:rFonts w:ascii="Palatino Linotype" w:eastAsia="Palatino Linotype" w:hAnsi="Palatino Linotype" w:cs="Palatino Linotype"/>
          <w:b/>
          <w:i/>
          <w:sz w:val="22"/>
          <w:szCs w:val="22"/>
        </w:rPr>
      </w:pPr>
      <w:r w:rsidRPr="00D83E92">
        <w:rPr>
          <w:rFonts w:ascii="Palatino Linotype" w:eastAsia="Palatino Linotype" w:hAnsi="Palatino Linotype" w:cs="Palatino Linotype"/>
          <w:b/>
          <w:i/>
          <w:sz w:val="22"/>
          <w:szCs w:val="22"/>
        </w:rPr>
        <w:t>“Artículo 4.- Para los efectos de esta Ley, se entiende por:</w:t>
      </w:r>
    </w:p>
    <w:p w:rsidR="005B5F6D" w:rsidRPr="00D83E92" w:rsidRDefault="00DF0D09">
      <w:pPr>
        <w:ind w:left="1134" w:right="1127"/>
        <w:jc w:val="both"/>
        <w:rPr>
          <w:rFonts w:ascii="Palatino Linotype" w:eastAsia="Palatino Linotype" w:hAnsi="Palatino Linotype" w:cs="Palatino Linotype"/>
          <w:b/>
          <w:i/>
          <w:sz w:val="22"/>
          <w:szCs w:val="22"/>
        </w:rPr>
      </w:pPr>
      <w:r w:rsidRPr="00D83E92">
        <w:rPr>
          <w:rFonts w:ascii="Palatino Linotype" w:eastAsia="Palatino Linotype" w:hAnsi="Palatino Linotype" w:cs="Palatino Linotype"/>
          <w:b/>
          <w:i/>
          <w:sz w:val="22"/>
          <w:szCs w:val="22"/>
        </w:rPr>
        <w:t>..</w:t>
      </w:r>
    </w:p>
    <w:p w:rsidR="005B5F6D" w:rsidRPr="00D83E92" w:rsidRDefault="00DF0D09">
      <w:pPr>
        <w:ind w:left="1134" w:right="1127"/>
        <w:jc w:val="both"/>
        <w:rPr>
          <w:rFonts w:ascii="Palatino Linotype" w:eastAsia="Palatino Linotype" w:hAnsi="Palatino Linotype" w:cs="Palatino Linotype"/>
          <w:b/>
          <w:i/>
          <w:sz w:val="22"/>
          <w:szCs w:val="22"/>
        </w:rPr>
      </w:pPr>
      <w:r w:rsidRPr="00D83E92">
        <w:rPr>
          <w:rFonts w:ascii="Palatino Linotype" w:eastAsia="Palatino Linotype" w:hAnsi="Palatino Linotype" w:cs="Palatino Linotype"/>
          <w:b/>
          <w:i/>
          <w:sz w:val="22"/>
          <w:szCs w:val="22"/>
        </w:rPr>
        <w:t>XXIV. Registro Municipal: Al Registro Municipal de Trámites y Servicios que corresponda;</w:t>
      </w:r>
    </w:p>
    <w:p w:rsidR="005B5F6D" w:rsidRPr="00D83E92" w:rsidRDefault="00DF0D09">
      <w:pPr>
        <w:ind w:left="1134" w:right="1127"/>
        <w:jc w:val="both"/>
        <w:rPr>
          <w:rFonts w:ascii="Palatino Linotype" w:eastAsia="Palatino Linotype" w:hAnsi="Palatino Linotype" w:cs="Palatino Linotype"/>
          <w:b/>
          <w:i/>
          <w:sz w:val="22"/>
          <w:szCs w:val="22"/>
        </w:rPr>
      </w:pPr>
      <w:r w:rsidRPr="00D83E92">
        <w:rPr>
          <w:rFonts w:ascii="Palatino Linotype" w:eastAsia="Palatino Linotype" w:hAnsi="Palatino Linotype" w:cs="Palatino Linotype"/>
          <w:b/>
          <w:i/>
          <w:sz w:val="22"/>
          <w:szCs w:val="22"/>
        </w:rPr>
        <w:t>…</w:t>
      </w:r>
    </w:p>
    <w:p w:rsidR="005B5F6D" w:rsidRPr="00D83E92" w:rsidRDefault="00DF0D09">
      <w:pPr>
        <w:ind w:left="1134" w:right="1127"/>
        <w:jc w:val="both"/>
        <w:rPr>
          <w:rFonts w:ascii="Palatino Linotype" w:eastAsia="Palatino Linotype" w:hAnsi="Palatino Linotype" w:cs="Palatino Linotype"/>
          <w:i/>
          <w:sz w:val="22"/>
          <w:szCs w:val="22"/>
        </w:rPr>
      </w:pPr>
      <w:r w:rsidRPr="00D83E92">
        <w:rPr>
          <w:rFonts w:ascii="Palatino Linotype" w:eastAsia="Palatino Linotype" w:hAnsi="Palatino Linotype" w:cs="Palatino Linotype"/>
          <w:i/>
          <w:sz w:val="22"/>
          <w:szCs w:val="22"/>
        </w:rPr>
        <w:t>Artículo 57.- Los Ayuntamientos crearán un Registro Municipal de Trámites y Servicios equivalente al Registro Estatal, en el que se inscribirá el catálogo de trámites, servicios, requisitos, plazos y monto de los derechos o aprovechamientos aplicables de las dependencias municipales, debiendo observarse los requisitos y formalidades a que se refiere el artículo 54.”</w:t>
      </w:r>
    </w:p>
    <w:p w:rsidR="005B5F6D" w:rsidRPr="00D83E92" w:rsidRDefault="005B5F6D">
      <w:pPr>
        <w:ind w:left="426" w:right="474"/>
        <w:jc w:val="both"/>
        <w:rPr>
          <w:rFonts w:ascii="Palatino Linotype" w:eastAsia="Palatino Linotype" w:hAnsi="Palatino Linotype" w:cs="Palatino Linotype"/>
          <w:b/>
          <w:i/>
        </w:rPr>
      </w:pPr>
    </w:p>
    <w:p w:rsidR="005B5F6D" w:rsidRPr="00D83E92" w:rsidRDefault="00DF0D09">
      <w:pPr>
        <w:numPr>
          <w:ilvl w:val="0"/>
          <w:numId w:val="1"/>
        </w:numPr>
        <w:spacing w:line="360" w:lineRule="auto"/>
        <w:ind w:left="0" w:firstLine="0"/>
        <w:jc w:val="both"/>
        <w:rPr>
          <w:rFonts w:ascii="Palatino Linotype" w:eastAsia="Palatino Linotype" w:hAnsi="Palatino Linotype" w:cs="Palatino Linotype"/>
        </w:rPr>
      </w:pPr>
      <w:r w:rsidRPr="00D83E92">
        <w:rPr>
          <w:rFonts w:ascii="Palatino Linotype" w:eastAsia="Palatino Linotype" w:hAnsi="Palatino Linotype" w:cs="Palatino Linotype"/>
        </w:rPr>
        <w:t>Por otra parte, el artículo 92 fracción XXIV de la Ley de Transparencia y Acceso a la información Pública del Estado de México y Municipios, establece que:</w:t>
      </w:r>
    </w:p>
    <w:p w:rsidR="005B5F6D" w:rsidRPr="00D83E92" w:rsidRDefault="00DF0D09">
      <w:pPr>
        <w:ind w:left="1134" w:right="1127"/>
        <w:jc w:val="both"/>
        <w:rPr>
          <w:rFonts w:ascii="Palatino Linotype" w:eastAsia="Palatino Linotype" w:hAnsi="Palatino Linotype" w:cs="Palatino Linotype"/>
          <w:i/>
          <w:sz w:val="22"/>
          <w:szCs w:val="22"/>
        </w:rPr>
      </w:pPr>
      <w:r w:rsidRPr="00D83E92">
        <w:rPr>
          <w:rFonts w:ascii="Palatino Linotype" w:eastAsia="Palatino Linotype" w:hAnsi="Palatino Linotype" w:cs="Palatino Linotype"/>
          <w:i/>
          <w:sz w:val="22"/>
          <w:szCs w:val="22"/>
        </w:rPr>
        <w:t>“</w:t>
      </w:r>
      <w:r w:rsidRPr="00D83E92">
        <w:rPr>
          <w:rFonts w:ascii="Palatino Linotype" w:eastAsia="Palatino Linotype" w:hAnsi="Palatino Linotype" w:cs="Palatino Linotype"/>
          <w:b/>
          <w:i/>
          <w:sz w:val="22"/>
          <w:szCs w:val="22"/>
        </w:rPr>
        <w:t>Artículo 92</w:t>
      </w:r>
      <w:r w:rsidRPr="00D83E92">
        <w:rPr>
          <w:rFonts w:ascii="Palatino Linotype" w:eastAsia="Palatino Linotype" w:hAnsi="Palatino Linotype" w:cs="Palatino Linotype"/>
          <w:i/>
          <w:sz w:val="22"/>
          <w:szCs w:val="22"/>
        </w:rPr>
        <w:t xml:space="preserve">. Los sujetos obligados deberán poner a disposición del público de manera </w:t>
      </w:r>
      <w:r w:rsidRPr="00D83E92">
        <w:rPr>
          <w:rFonts w:ascii="Palatino Linotype" w:eastAsia="Palatino Linotype" w:hAnsi="Palatino Linotype" w:cs="Palatino Linotype"/>
          <w:b/>
          <w:i/>
        </w:rPr>
        <w:t>permanente</w:t>
      </w:r>
      <w:r w:rsidRPr="00D83E92">
        <w:rPr>
          <w:rFonts w:ascii="Palatino Linotype" w:eastAsia="Palatino Linotype" w:hAnsi="Palatino Linotype" w:cs="Palatino Linotype"/>
          <w:i/>
          <w:sz w:val="22"/>
          <w:szCs w:val="22"/>
        </w:rPr>
        <w:t xml:space="preserv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5B5F6D" w:rsidRPr="00D83E92" w:rsidRDefault="00DF0D09">
      <w:pPr>
        <w:ind w:left="1134" w:right="1127"/>
        <w:jc w:val="both"/>
        <w:rPr>
          <w:rFonts w:ascii="Palatino Linotype" w:eastAsia="Palatino Linotype" w:hAnsi="Palatino Linotype" w:cs="Palatino Linotype"/>
          <w:i/>
          <w:sz w:val="22"/>
          <w:szCs w:val="22"/>
        </w:rPr>
      </w:pPr>
      <w:r w:rsidRPr="00D83E92">
        <w:rPr>
          <w:rFonts w:ascii="Palatino Linotype" w:eastAsia="Palatino Linotype" w:hAnsi="Palatino Linotype" w:cs="Palatino Linotype"/>
          <w:i/>
          <w:sz w:val="22"/>
          <w:szCs w:val="22"/>
        </w:rPr>
        <w:t>…</w:t>
      </w:r>
    </w:p>
    <w:p w:rsidR="005B5F6D" w:rsidRPr="00D83E92" w:rsidRDefault="00DF0D09">
      <w:pPr>
        <w:ind w:left="1134" w:right="1127"/>
        <w:jc w:val="both"/>
        <w:rPr>
          <w:rFonts w:ascii="Palatino Linotype" w:eastAsia="Palatino Linotype" w:hAnsi="Palatino Linotype" w:cs="Palatino Linotype"/>
          <w:i/>
          <w:sz w:val="22"/>
          <w:szCs w:val="22"/>
        </w:rPr>
      </w:pPr>
      <w:r w:rsidRPr="00D83E92">
        <w:rPr>
          <w:rFonts w:ascii="Palatino Linotype" w:eastAsia="Palatino Linotype" w:hAnsi="Palatino Linotype" w:cs="Palatino Linotype"/>
          <w:b/>
          <w:i/>
          <w:sz w:val="22"/>
          <w:szCs w:val="22"/>
        </w:rPr>
        <w:t>XXIV.</w:t>
      </w:r>
      <w:r w:rsidRPr="00D83E92">
        <w:rPr>
          <w:rFonts w:ascii="Palatino Linotype" w:eastAsia="Palatino Linotype" w:hAnsi="Palatino Linotype" w:cs="Palatino Linotype"/>
          <w:i/>
          <w:sz w:val="22"/>
          <w:szCs w:val="22"/>
        </w:rPr>
        <w:t xml:space="preserve"> Los trámites, requisitos y formatos que ofrecen, así como los tiempos de respuesta;…”</w:t>
      </w:r>
    </w:p>
    <w:p w:rsidR="005B5F6D" w:rsidRPr="00D83E92" w:rsidRDefault="005B5F6D">
      <w:pPr>
        <w:spacing w:line="360" w:lineRule="auto"/>
        <w:ind w:left="425" w:right="476"/>
        <w:jc w:val="both"/>
        <w:rPr>
          <w:rFonts w:ascii="Palatino Linotype" w:eastAsia="Palatino Linotype" w:hAnsi="Palatino Linotype" w:cs="Palatino Linotype"/>
          <w:i/>
          <w:sz w:val="22"/>
          <w:szCs w:val="22"/>
        </w:rPr>
      </w:pPr>
    </w:p>
    <w:p w:rsidR="005B5F6D" w:rsidRPr="00D83E92" w:rsidRDefault="00DF0D09">
      <w:pPr>
        <w:numPr>
          <w:ilvl w:val="0"/>
          <w:numId w:val="1"/>
        </w:numPr>
        <w:spacing w:line="360" w:lineRule="auto"/>
        <w:ind w:left="0" w:firstLine="0"/>
        <w:jc w:val="both"/>
        <w:rPr>
          <w:rFonts w:ascii="Palatino Linotype" w:hAnsi="Palatino Linotype"/>
          <w:color w:val="000000" w:themeColor="text1"/>
        </w:rPr>
      </w:pPr>
      <w:r w:rsidRPr="00D83E92">
        <w:rPr>
          <w:rFonts w:ascii="Palatino Linotype" w:eastAsia="Palatino Linotype" w:hAnsi="Palatino Linotype" w:cs="Palatino Linotype"/>
        </w:rPr>
        <w:t xml:space="preserve">De lo anterior en la página web </w:t>
      </w:r>
      <w:hyperlink r:id="rId11" w:history="1">
        <w:r w:rsidRPr="00D83E92">
          <w:rPr>
            <w:rStyle w:val="Hipervnculo"/>
            <w:rFonts w:ascii="Palatino Linotype" w:eastAsia="Palatino Linotype" w:hAnsi="Palatino Linotype" w:cs="Palatino Linotype"/>
          </w:rPr>
          <w:t>https://gobiernocizcalli.com.mx/VUEL/index.php</w:t>
        </w:r>
      </w:hyperlink>
      <w:r w:rsidRPr="00D83E92">
        <w:rPr>
          <w:rFonts w:ascii="Palatino Linotype" w:eastAsia="Palatino Linotype" w:hAnsi="Palatino Linotype" w:cs="Palatino Linotype"/>
        </w:rPr>
        <w:t xml:space="preserve"> , en el apartado de Ventanilla Única </w:t>
      </w:r>
      <w:r w:rsidRPr="00D83E92">
        <w:rPr>
          <w:rFonts w:ascii="Palatino Linotype" w:eastAsia="Palatino Linotype" w:hAnsi="Palatino Linotype" w:cs="Palatino Linotype"/>
        </w:rPr>
        <w:lastRenderedPageBreak/>
        <w:t>Electrónica, en lo relativo a Trámites Y Servicios (REMTYS), se puede observar del Sujeto Obligado, el Registro Municipal de Trámites y Servicios, en que se encuentra catálogo de trámites servicios, requisitos, plazos y cargas tributarias de las dependencias municipales.</w:t>
      </w:r>
    </w:p>
    <w:p w:rsidR="005B5F6D" w:rsidRPr="00D83E92" w:rsidRDefault="005B5F6D">
      <w:pPr>
        <w:pStyle w:val="Prrafodelista"/>
        <w:tabs>
          <w:tab w:val="left" w:pos="426"/>
        </w:tabs>
        <w:spacing w:line="360" w:lineRule="auto"/>
        <w:ind w:left="0" w:right="51"/>
        <w:jc w:val="both"/>
        <w:rPr>
          <w:rFonts w:ascii="Palatino Linotype" w:hAnsi="Palatino Linotype"/>
          <w:color w:val="000000" w:themeColor="text1"/>
        </w:rPr>
      </w:pPr>
    </w:p>
    <w:p w:rsidR="005B5F6D" w:rsidRPr="00D83E92" w:rsidRDefault="00DF0D09">
      <w:pPr>
        <w:numPr>
          <w:ilvl w:val="0"/>
          <w:numId w:val="1"/>
        </w:numPr>
        <w:spacing w:line="360" w:lineRule="auto"/>
        <w:ind w:left="0" w:firstLine="0"/>
        <w:jc w:val="both"/>
        <w:rPr>
          <w:rFonts w:ascii="Palatino Linotype" w:hAnsi="Palatino Linotype"/>
          <w:color w:val="000000" w:themeColor="text1"/>
        </w:rPr>
      </w:pPr>
      <w:r w:rsidRPr="00D83E92">
        <w:rPr>
          <w:rFonts w:ascii="Palatino Linotype" w:eastAsia="MS Gothic" w:hAnsi="Palatino Linotype"/>
          <w:szCs w:val="26"/>
        </w:rPr>
        <w:t xml:space="preserve">Ahora bien, como </w:t>
      </w:r>
      <w:r w:rsidRPr="00D83E92">
        <w:rPr>
          <w:rFonts w:ascii="Palatino Linotype" w:hAnsi="Palatino Linotype" w:cs="Arial"/>
          <w:color w:val="000000"/>
        </w:rPr>
        <w:t xml:space="preserve">hemos visto en párrafos previos, la </w:t>
      </w:r>
      <w:r w:rsidRPr="00D83E92">
        <w:rPr>
          <w:rFonts w:ascii="Palatino Linotype" w:hAnsi="Palatino Linotype" w:cs="Arial"/>
          <w:b/>
          <w:color w:val="000000"/>
        </w:rPr>
        <w:t>Tesorería Municipal</w:t>
      </w:r>
      <w:r w:rsidRPr="00D83E92">
        <w:rPr>
          <w:rFonts w:ascii="Palatino Linotype" w:hAnsi="Palatino Linotype" w:cs="Arial"/>
          <w:color w:val="000000"/>
        </w:rPr>
        <w:t xml:space="preserve"> es el órgano encargado de la </w:t>
      </w:r>
      <w:r w:rsidRPr="00D83E92">
        <w:rPr>
          <w:rFonts w:ascii="Palatino Linotype" w:hAnsi="Palatino Linotype" w:cs="Arial"/>
          <w:b/>
          <w:color w:val="000000"/>
        </w:rPr>
        <w:t>recaudación</w:t>
      </w:r>
      <w:r w:rsidRPr="00D83E92">
        <w:rPr>
          <w:rFonts w:ascii="Palatino Linotype" w:hAnsi="Palatino Linotype" w:cs="Arial"/>
          <w:color w:val="000000"/>
        </w:rPr>
        <w:t xml:space="preserve"> de los ingresos municipales y responsable de realizar las erogaciones que haga el ayuntamiento</w:t>
      </w:r>
      <w:r w:rsidRPr="00D83E92">
        <w:rPr>
          <w:rStyle w:val="Refdenotaalpie"/>
          <w:rFonts w:ascii="Palatino Linotype" w:hAnsi="Palatino Linotype" w:cs="Arial"/>
          <w:color w:val="000000"/>
        </w:rPr>
        <w:footnoteReference w:id="3"/>
      </w:r>
      <w:r w:rsidRPr="00D83E92">
        <w:rPr>
          <w:rFonts w:ascii="Palatino Linotype" w:hAnsi="Palatino Linotype" w:cs="Arial"/>
          <w:color w:val="000000"/>
        </w:rPr>
        <w:t>.</w:t>
      </w:r>
    </w:p>
    <w:p w:rsidR="005B5F6D" w:rsidRPr="00D83E92" w:rsidRDefault="005B5F6D">
      <w:pPr>
        <w:spacing w:line="360" w:lineRule="auto"/>
        <w:jc w:val="both"/>
        <w:rPr>
          <w:rFonts w:ascii="Palatino Linotype" w:hAnsi="Palatino Linotype"/>
          <w:color w:val="000000" w:themeColor="text1"/>
        </w:rPr>
      </w:pPr>
    </w:p>
    <w:p w:rsidR="005B5F6D" w:rsidRPr="00D83E92" w:rsidRDefault="00DF0D09">
      <w:pPr>
        <w:numPr>
          <w:ilvl w:val="0"/>
          <w:numId w:val="1"/>
        </w:numPr>
        <w:spacing w:line="360" w:lineRule="auto"/>
        <w:ind w:left="0" w:firstLine="0"/>
        <w:jc w:val="both"/>
        <w:rPr>
          <w:rFonts w:ascii="Palatino Linotype" w:hAnsi="Palatino Linotype"/>
          <w:color w:val="000000" w:themeColor="text1"/>
        </w:rPr>
      </w:pPr>
      <w:r w:rsidRPr="00D83E92">
        <w:rPr>
          <w:rFonts w:ascii="Palatino Linotype" w:hAnsi="Palatino Linotype" w:cs="Arial"/>
          <w:color w:val="000000"/>
        </w:rPr>
        <w:t>Lo anterior se robustece conforme a lo dispuesto por el artículo 95 de la Ley Orgánica Municipal del Estado de México, dentro del cual, se reconoce que la Tesorería Municipal contará con las siguientes atribuciones:</w:t>
      </w:r>
    </w:p>
    <w:p w:rsidR="005B5F6D" w:rsidRPr="00D83E92" w:rsidRDefault="005B5F6D">
      <w:pPr>
        <w:jc w:val="both"/>
        <w:rPr>
          <w:rFonts w:ascii="Palatino Linotype" w:hAnsi="Palatino Linotype"/>
          <w:color w:val="000000" w:themeColor="text1"/>
        </w:rPr>
      </w:pPr>
    </w:p>
    <w:p w:rsidR="005B5F6D" w:rsidRPr="00D83E92" w:rsidRDefault="00DF0D09">
      <w:pPr>
        <w:pStyle w:val="Prrafodelista"/>
        <w:tabs>
          <w:tab w:val="left" w:pos="426"/>
        </w:tabs>
        <w:ind w:left="567" w:right="567"/>
        <w:jc w:val="both"/>
        <w:rPr>
          <w:rFonts w:ascii="Palatino Linotype" w:hAnsi="Palatino Linotype"/>
          <w:i/>
          <w:color w:val="000000" w:themeColor="text1"/>
          <w:sz w:val="22"/>
        </w:rPr>
      </w:pPr>
      <w:r w:rsidRPr="00D83E92">
        <w:rPr>
          <w:rFonts w:ascii="Palatino Linotype" w:hAnsi="Palatino Linotype"/>
          <w:i/>
          <w:color w:val="000000" w:themeColor="text1"/>
          <w:sz w:val="22"/>
        </w:rPr>
        <w:t>“</w:t>
      </w:r>
      <w:r w:rsidRPr="00D83E92">
        <w:rPr>
          <w:rFonts w:ascii="Palatino Linotype" w:hAnsi="Palatino Linotype"/>
          <w:b/>
          <w:i/>
          <w:color w:val="000000" w:themeColor="text1"/>
          <w:sz w:val="22"/>
        </w:rPr>
        <w:t>Artículo 95.-</w:t>
      </w:r>
      <w:r w:rsidRPr="00D83E92">
        <w:rPr>
          <w:rFonts w:ascii="Palatino Linotype" w:hAnsi="Palatino Linotype"/>
          <w:i/>
          <w:color w:val="000000" w:themeColor="text1"/>
          <w:sz w:val="22"/>
        </w:rPr>
        <w:t xml:space="preserve"> Son atribuciones del tesorero municipal:</w:t>
      </w:r>
    </w:p>
    <w:p w:rsidR="005B5F6D" w:rsidRPr="00D83E92" w:rsidRDefault="00DF0D09">
      <w:pPr>
        <w:pStyle w:val="Prrafodelista"/>
        <w:tabs>
          <w:tab w:val="left" w:pos="426"/>
        </w:tabs>
        <w:ind w:left="567" w:right="567"/>
        <w:jc w:val="both"/>
        <w:rPr>
          <w:rFonts w:ascii="Palatino Linotype" w:hAnsi="Palatino Linotype"/>
          <w:i/>
          <w:color w:val="000000" w:themeColor="text1"/>
          <w:sz w:val="22"/>
        </w:rPr>
      </w:pPr>
      <w:r w:rsidRPr="00D83E92">
        <w:rPr>
          <w:rFonts w:ascii="Palatino Linotype" w:hAnsi="Palatino Linotype"/>
          <w:i/>
          <w:color w:val="000000" w:themeColor="text1"/>
          <w:sz w:val="22"/>
        </w:rPr>
        <w:t>(…)</w:t>
      </w:r>
    </w:p>
    <w:p w:rsidR="005B5F6D" w:rsidRPr="00D83E92" w:rsidRDefault="00DF0D09">
      <w:pPr>
        <w:pStyle w:val="Prrafodelista"/>
        <w:tabs>
          <w:tab w:val="left" w:pos="426"/>
        </w:tabs>
        <w:ind w:left="567" w:right="567"/>
        <w:jc w:val="both"/>
        <w:rPr>
          <w:rFonts w:ascii="Palatino Linotype" w:hAnsi="Palatino Linotype"/>
          <w:i/>
          <w:color w:val="000000" w:themeColor="text1"/>
          <w:sz w:val="22"/>
        </w:rPr>
      </w:pPr>
      <w:r w:rsidRPr="00D83E92">
        <w:rPr>
          <w:rFonts w:ascii="Palatino Linotype" w:hAnsi="Palatino Linotype"/>
          <w:b/>
          <w:i/>
          <w:color w:val="000000" w:themeColor="text1"/>
          <w:sz w:val="22"/>
        </w:rPr>
        <w:t>II.</w:t>
      </w:r>
      <w:r w:rsidRPr="00D83E92">
        <w:rPr>
          <w:rFonts w:ascii="Palatino Linotype" w:hAnsi="Palatino Linotype"/>
          <w:i/>
          <w:color w:val="000000" w:themeColor="text1"/>
          <w:sz w:val="22"/>
        </w:rPr>
        <w:t xml:space="preserve"> </w:t>
      </w:r>
      <w:r w:rsidRPr="00D83E92">
        <w:rPr>
          <w:rFonts w:ascii="Palatino Linotype" w:hAnsi="Palatino Linotype"/>
          <w:b/>
          <w:i/>
          <w:color w:val="000000" w:themeColor="text1"/>
          <w:sz w:val="22"/>
        </w:rPr>
        <w:t>Determinar</w:t>
      </w:r>
      <w:r w:rsidRPr="00D83E92">
        <w:rPr>
          <w:rFonts w:ascii="Palatino Linotype" w:hAnsi="Palatino Linotype"/>
          <w:i/>
          <w:color w:val="000000" w:themeColor="text1"/>
          <w:sz w:val="22"/>
        </w:rPr>
        <w:t xml:space="preserve">, liquidar, </w:t>
      </w:r>
      <w:r w:rsidRPr="00D83E92">
        <w:rPr>
          <w:rFonts w:ascii="Palatino Linotype" w:hAnsi="Palatino Linotype"/>
          <w:b/>
          <w:i/>
          <w:color w:val="000000" w:themeColor="text1"/>
          <w:sz w:val="22"/>
        </w:rPr>
        <w:t>recaudar</w:t>
      </w:r>
      <w:r w:rsidRPr="00D83E92">
        <w:rPr>
          <w:rFonts w:ascii="Palatino Linotype" w:hAnsi="Palatino Linotype"/>
          <w:i/>
          <w:color w:val="000000" w:themeColor="text1"/>
          <w:sz w:val="22"/>
        </w:rPr>
        <w:t xml:space="preserve">, fiscalizar y administrar </w:t>
      </w:r>
      <w:r w:rsidRPr="00D83E92">
        <w:rPr>
          <w:rFonts w:ascii="Palatino Linotype" w:hAnsi="Palatino Linotype"/>
          <w:b/>
          <w:i/>
          <w:color w:val="000000" w:themeColor="text1"/>
          <w:sz w:val="22"/>
        </w:rPr>
        <w:t>las contribuciones</w:t>
      </w:r>
      <w:r w:rsidRPr="00D83E92">
        <w:rPr>
          <w:rFonts w:ascii="Palatino Linotype" w:hAnsi="Palatino Linotype"/>
          <w:i/>
          <w:color w:val="000000" w:themeColor="text1"/>
          <w:sz w:val="22"/>
        </w:rPr>
        <w:t xml:space="preserve"> en los términos de los ordenamientos jurídicos aplicables y, en su caso, aplicar el procedimiento administrativo de ejecución en términos de las disposiciones aplicables;</w:t>
      </w:r>
    </w:p>
    <w:p w:rsidR="005B5F6D" w:rsidRPr="00D83E92" w:rsidRDefault="00DF0D09">
      <w:pPr>
        <w:pStyle w:val="Prrafodelista"/>
        <w:tabs>
          <w:tab w:val="left" w:pos="426"/>
        </w:tabs>
        <w:ind w:left="567" w:right="567"/>
        <w:jc w:val="both"/>
        <w:rPr>
          <w:rFonts w:ascii="Palatino Linotype" w:hAnsi="Palatino Linotype"/>
          <w:i/>
          <w:color w:val="000000" w:themeColor="text1"/>
          <w:sz w:val="22"/>
        </w:rPr>
      </w:pPr>
      <w:r w:rsidRPr="00D83E92">
        <w:rPr>
          <w:rFonts w:ascii="Palatino Linotype" w:hAnsi="Palatino Linotype"/>
          <w:i/>
          <w:color w:val="000000" w:themeColor="text1"/>
          <w:sz w:val="22"/>
        </w:rPr>
        <w:t>(…)</w:t>
      </w:r>
    </w:p>
    <w:p w:rsidR="005B5F6D" w:rsidRPr="00D83E92" w:rsidRDefault="00DF0D09">
      <w:pPr>
        <w:pStyle w:val="Prrafodelista"/>
        <w:tabs>
          <w:tab w:val="left" w:pos="426"/>
        </w:tabs>
        <w:ind w:left="567" w:right="567"/>
        <w:jc w:val="both"/>
        <w:rPr>
          <w:rFonts w:ascii="Palatino Linotype" w:hAnsi="Palatino Linotype"/>
          <w:i/>
          <w:color w:val="000000" w:themeColor="text1"/>
          <w:sz w:val="22"/>
        </w:rPr>
      </w:pPr>
      <w:r w:rsidRPr="00D83E92">
        <w:rPr>
          <w:rFonts w:ascii="Palatino Linotype" w:hAnsi="Palatino Linotype"/>
          <w:b/>
          <w:i/>
          <w:color w:val="000000" w:themeColor="text1"/>
          <w:sz w:val="22"/>
        </w:rPr>
        <w:t>XIII.</w:t>
      </w:r>
      <w:r w:rsidRPr="00D83E92">
        <w:rPr>
          <w:rFonts w:ascii="Palatino Linotype" w:hAnsi="Palatino Linotype"/>
          <w:i/>
          <w:color w:val="000000" w:themeColor="text1"/>
          <w:sz w:val="22"/>
        </w:rPr>
        <w:t xml:space="preserve"> Elaborar y mantener actualizado el Padrón de Contribuyentes;</w:t>
      </w:r>
    </w:p>
    <w:p w:rsidR="005B5F6D" w:rsidRPr="00D83E92" w:rsidRDefault="00DF0D09">
      <w:pPr>
        <w:pStyle w:val="Prrafodelista"/>
        <w:tabs>
          <w:tab w:val="left" w:pos="426"/>
        </w:tabs>
        <w:ind w:left="567" w:right="567"/>
        <w:jc w:val="both"/>
        <w:rPr>
          <w:rFonts w:ascii="Palatino Linotype" w:hAnsi="Palatino Linotype"/>
          <w:i/>
          <w:color w:val="000000" w:themeColor="text1"/>
          <w:sz w:val="22"/>
        </w:rPr>
      </w:pPr>
      <w:r w:rsidRPr="00D83E92">
        <w:rPr>
          <w:rFonts w:ascii="Palatino Linotype" w:hAnsi="Palatino Linotype"/>
          <w:b/>
          <w:i/>
          <w:color w:val="000000" w:themeColor="text1"/>
          <w:sz w:val="22"/>
        </w:rPr>
        <w:t>(…</w:t>
      </w:r>
      <w:r w:rsidRPr="00D83E92">
        <w:rPr>
          <w:rFonts w:ascii="Palatino Linotype" w:hAnsi="Palatino Linotype"/>
          <w:i/>
          <w:color w:val="000000" w:themeColor="text1"/>
          <w:sz w:val="22"/>
        </w:rPr>
        <w:t>)”</w:t>
      </w:r>
    </w:p>
    <w:p w:rsidR="005B5F6D" w:rsidRPr="00D83E92" w:rsidRDefault="005B5F6D">
      <w:pPr>
        <w:pStyle w:val="Prrafodelista"/>
        <w:tabs>
          <w:tab w:val="left" w:pos="426"/>
        </w:tabs>
        <w:spacing w:line="360" w:lineRule="auto"/>
        <w:ind w:left="0" w:right="51"/>
        <w:jc w:val="both"/>
        <w:rPr>
          <w:rFonts w:ascii="Palatino Linotype" w:hAnsi="Palatino Linotype"/>
          <w:color w:val="000000" w:themeColor="text1"/>
        </w:rPr>
      </w:pPr>
    </w:p>
    <w:p w:rsidR="005B5F6D" w:rsidRPr="00D83E92" w:rsidRDefault="00DF0D09">
      <w:pPr>
        <w:numPr>
          <w:ilvl w:val="0"/>
          <w:numId w:val="1"/>
        </w:numPr>
        <w:spacing w:line="360" w:lineRule="auto"/>
        <w:ind w:left="0" w:firstLine="0"/>
        <w:jc w:val="both"/>
        <w:rPr>
          <w:rFonts w:ascii="Palatino Linotype" w:hAnsi="Palatino Linotype"/>
          <w:color w:val="000000" w:themeColor="text1"/>
        </w:rPr>
      </w:pPr>
      <w:r w:rsidRPr="00D83E92">
        <w:rPr>
          <w:rFonts w:ascii="Palatino Linotype" w:hAnsi="Palatino Linotype" w:cs="Arial"/>
          <w:color w:val="000000"/>
        </w:rPr>
        <w:t>Asimismo, respecto del pago de impuestos y de derechos, al respecto, el Código Financiero del Estado de México y Municipios, en su Título Cuarto, de los ingresos de los municipios, en su Capítulo Primero, De los Impuestos, y Capítulo Segundo, De los Derechos, establece los impuestos y derechos siguientes:</w:t>
      </w:r>
    </w:p>
    <w:p w:rsidR="005B5F6D" w:rsidRPr="00D83E92" w:rsidRDefault="005B5F6D">
      <w:pPr>
        <w:tabs>
          <w:tab w:val="left" w:pos="426"/>
        </w:tabs>
        <w:ind w:left="1134" w:right="900"/>
        <w:jc w:val="center"/>
        <w:rPr>
          <w:rFonts w:ascii="Palatino Linotype" w:hAnsi="Palatino Linotype"/>
          <w:b/>
          <w:i/>
          <w:color w:val="000000" w:themeColor="text1"/>
          <w:sz w:val="22"/>
          <w:szCs w:val="22"/>
        </w:rPr>
      </w:pPr>
    </w:p>
    <w:p w:rsidR="005B5F6D" w:rsidRPr="00D83E92" w:rsidRDefault="005B5F6D">
      <w:pPr>
        <w:tabs>
          <w:tab w:val="left" w:pos="426"/>
        </w:tabs>
        <w:ind w:left="1134" w:right="900"/>
        <w:jc w:val="center"/>
        <w:rPr>
          <w:rFonts w:ascii="Palatino Linotype" w:hAnsi="Palatino Linotype"/>
          <w:b/>
          <w:i/>
          <w:color w:val="000000" w:themeColor="text1"/>
          <w:sz w:val="22"/>
          <w:szCs w:val="22"/>
        </w:rPr>
      </w:pPr>
    </w:p>
    <w:p w:rsidR="005B5F6D" w:rsidRPr="00D83E92" w:rsidRDefault="00DF0D09">
      <w:pPr>
        <w:tabs>
          <w:tab w:val="left" w:pos="426"/>
        </w:tabs>
        <w:ind w:left="1134" w:right="900"/>
        <w:jc w:val="center"/>
        <w:rPr>
          <w:rFonts w:ascii="Palatino Linotype" w:hAnsi="Palatino Linotype"/>
          <w:b/>
          <w:i/>
          <w:color w:val="000000" w:themeColor="text1"/>
          <w:sz w:val="22"/>
          <w:szCs w:val="22"/>
        </w:rPr>
      </w:pPr>
      <w:r w:rsidRPr="00D83E92">
        <w:rPr>
          <w:rFonts w:ascii="Palatino Linotype" w:hAnsi="Palatino Linotype"/>
          <w:b/>
          <w:i/>
          <w:color w:val="000000" w:themeColor="text1"/>
          <w:sz w:val="22"/>
          <w:szCs w:val="22"/>
        </w:rPr>
        <w:lastRenderedPageBreak/>
        <w:t>CAPITULO PRIMERO</w:t>
      </w:r>
    </w:p>
    <w:p w:rsidR="005B5F6D" w:rsidRPr="00D83E92" w:rsidRDefault="00DF0D09">
      <w:pPr>
        <w:tabs>
          <w:tab w:val="left" w:pos="426"/>
        </w:tabs>
        <w:ind w:left="1134" w:right="900"/>
        <w:jc w:val="center"/>
        <w:rPr>
          <w:rFonts w:ascii="Palatino Linotype" w:hAnsi="Palatino Linotype"/>
          <w:b/>
          <w:i/>
          <w:color w:val="000000" w:themeColor="text1"/>
          <w:sz w:val="22"/>
          <w:szCs w:val="22"/>
        </w:rPr>
      </w:pPr>
      <w:r w:rsidRPr="00D83E92">
        <w:rPr>
          <w:rFonts w:ascii="Palatino Linotype" w:hAnsi="Palatino Linotype"/>
          <w:b/>
          <w:i/>
          <w:color w:val="000000" w:themeColor="text1"/>
          <w:sz w:val="22"/>
          <w:szCs w:val="22"/>
        </w:rPr>
        <w:t>DE LOS IMPUESTOS</w:t>
      </w:r>
    </w:p>
    <w:p w:rsidR="005B5F6D" w:rsidRPr="00D83E92" w:rsidRDefault="005B5F6D">
      <w:pPr>
        <w:tabs>
          <w:tab w:val="left" w:pos="426"/>
        </w:tabs>
        <w:ind w:left="1134" w:right="900"/>
        <w:jc w:val="both"/>
        <w:rPr>
          <w:rFonts w:ascii="Palatino Linotype" w:hAnsi="Palatino Linotype"/>
          <w:i/>
          <w:color w:val="000000" w:themeColor="text1"/>
          <w:sz w:val="22"/>
          <w:szCs w:val="22"/>
        </w:rPr>
      </w:pPr>
    </w:p>
    <w:p w:rsidR="005B5F6D" w:rsidRPr="00D83E92" w:rsidRDefault="00DF0D09">
      <w:pPr>
        <w:tabs>
          <w:tab w:val="left" w:pos="426"/>
        </w:tabs>
        <w:ind w:left="1134" w:right="900"/>
        <w:jc w:val="both"/>
        <w:rPr>
          <w:rFonts w:ascii="Palatino Linotype" w:hAnsi="Palatino Linotype"/>
          <w:b/>
          <w:i/>
          <w:color w:val="000000" w:themeColor="text1"/>
          <w:sz w:val="22"/>
          <w:szCs w:val="22"/>
        </w:rPr>
      </w:pPr>
      <w:r w:rsidRPr="00D83E92">
        <w:rPr>
          <w:rFonts w:ascii="Palatino Linotype" w:hAnsi="Palatino Linotype"/>
          <w:b/>
          <w:i/>
          <w:color w:val="000000" w:themeColor="text1"/>
          <w:sz w:val="22"/>
          <w:szCs w:val="22"/>
        </w:rPr>
        <w:t>DEL IMPUESTO PREDIAL</w:t>
      </w: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Artículo 107.- Están obligadas al pago del Impuesto Predial las personas físicas y jurídicas colectivas que sean propietarias o poseedoras, según se trate, de inmuebles en el Estado.</w:t>
      </w:r>
    </w:p>
    <w:p w:rsidR="005B5F6D" w:rsidRPr="00D83E92" w:rsidRDefault="005B5F6D">
      <w:pPr>
        <w:tabs>
          <w:tab w:val="left" w:pos="426"/>
        </w:tabs>
        <w:ind w:left="1134" w:right="900"/>
        <w:jc w:val="both"/>
        <w:rPr>
          <w:rFonts w:ascii="Palatino Linotype" w:hAnsi="Palatino Linotype"/>
          <w:i/>
          <w:color w:val="000000" w:themeColor="text1"/>
          <w:sz w:val="22"/>
          <w:szCs w:val="22"/>
        </w:rPr>
      </w:pPr>
    </w:p>
    <w:p w:rsidR="005B5F6D" w:rsidRPr="00D83E92" w:rsidRDefault="00DF0D09">
      <w:pPr>
        <w:tabs>
          <w:tab w:val="left" w:pos="426"/>
        </w:tabs>
        <w:ind w:left="1134" w:right="900"/>
        <w:jc w:val="both"/>
        <w:rPr>
          <w:rFonts w:ascii="Palatino Linotype" w:hAnsi="Palatino Linotype"/>
          <w:b/>
          <w:i/>
          <w:color w:val="000000" w:themeColor="text1"/>
          <w:sz w:val="22"/>
          <w:szCs w:val="22"/>
        </w:rPr>
      </w:pPr>
      <w:r w:rsidRPr="00D83E92">
        <w:rPr>
          <w:rFonts w:ascii="Palatino Linotype" w:hAnsi="Palatino Linotype"/>
          <w:b/>
          <w:i/>
          <w:color w:val="000000" w:themeColor="text1"/>
          <w:sz w:val="22"/>
          <w:szCs w:val="22"/>
        </w:rPr>
        <w:t>DEL IMPUESTO SOBRE ADQUISICION DE INMUEBLES Y OTRAS OPERACIONES TRASLATIVAS DE DOMINIO DE INMUEBLES.</w:t>
      </w: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Artículo 113.- Están obligadas al pago de este impuesto las personas físicas y jurídicas colectivas que adquieran inmuebles ubicados en el Estado, así como los derechos relacionados con los mismos.</w:t>
      </w:r>
    </w:p>
    <w:p w:rsidR="005B5F6D" w:rsidRPr="00D83E92" w:rsidRDefault="005B5F6D">
      <w:pPr>
        <w:tabs>
          <w:tab w:val="left" w:pos="426"/>
        </w:tabs>
        <w:ind w:left="1134" w:right="900"/>
        <w:jc w:val="both"/>
        <w:rPr>
          <w:rFonts w:ascii="Palatino Linotype" w:hAnsi="Palatino Linotype"/>
          <w:i/>
          <w:color w:val="000000" w:themeColor="text1"/>
          <w:sz w:val="22"/>
          <w:szCs w:val="22"/>
        </w:rPr>
      </w:pPr>
    </w:p>
    <w:p w:rsidR="005B5F6D" w:rsidRPr="00D83E92" w:rsidRDefault="00DF0D09">
      <w:pPr>
        <w:tabs>
          <w:tab w:val="left" w:pos="426"/>
        </w:tabs>
        <w:ind w:left="1134" w:right="900"/>
        <w:jc w:val="both"/>
        <w:rPr>
          <w:rFonts w:ascii="Palatino Linotype" w:hAnsi="Palatino Linotype"/>
          <w:b/>
          <w:i/>
          <w:color w:val="000000" w:themeColor="text1"/>
          <w:sz w:val="22"/>
          <w:szCs w:val="22"/>
        </w:rPr>
      </w:pPr>
      <w:r w:rsidRPr="00D83E92">
        <w:rPr>
          <w:rFonts w:ascii="Palatino Linotype" w:hAnsi="Palatino Linotype"/>
          <w:b/>
          <w:i/>
          <w:color w:val="000000" w:themeColor="text1"/>
          <w:sz w:val="22"/>
          <w:szCs w:val="22"/>
        </w:rPr>
        <w:t xml:space="preserve">DEL IMPUESTO SOBRE CONJUNTOS URBANOS </w:t>
      </w: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Artículo 118.- Están obligados al pago de este impuesto las personas físicas y jurídicas colectivas que desarrollen conjuntos urbanos, subdividan, modifiquen el tipo de conjunto urbano autorizado, incluyendo el tipo y número de viviendas previstas, conforme a lo que señala el Código Administrativo del Estado de México.</w:t>
      </w:r>
    </w:p>
    <w:p w:rsidR="005B5F6D" w:rsidRPr="00D83E92" w:rsidRDefault="005B5F6D">
      <w:pPr>
        <w:tabs>
          <w:tab w:val="left" w:pos="426"/>
        </w:tabs>
        <w:ind w:left="1134" w:right="900"/>
        <w:jc w:val="both"/>
        <w:rPr>
          <w:rFonts w:ascii="Palatino Linotype" w:hAnsi="Palatino Linotype"/>
          <w:i/>
          <w:color w:val="000000" w:themeColor="text1"/>
          <w:sz w:val="22"/>
          <w:szCs w:val="22"/>
        </w:rPr>
      </w:pPr>
    </w:p>
    <w:p w:rsidR="005B5F6D" w:rsidRPr="00D83E92" w:rsidRDefault="00DF0D09">
      <w:pPr>
        <w:tabs>
          <w:tab w:val="left" w:pos="426"/>
        </w:tabs>
        <w:ind w:left="1134" w:right="900"/>
        <w:jc w:val="both"/>
        <w:rPr>
          <w:rFonts w:ascii="Palatino Linotype" w:hAnsi="Palatino Linotype"/>
          <w:b/>
          <w:i/>
          <w:color w:val="000000" w:themeColor="text1"/>
          <w:sz w:val="22"/>
          <w:szCs w:val="22"/>
        </w:rPr>
      </w:pPr>
      <w:r w:rsidRPr="00D83E92">
        <w:rPr>
          <w:rFonts w:ascii="Palatino Linotype" w:hAnsi="Palatino Linotype"/>
          <w:b/>
          <w:i/>
          <w:color w:val="000000" w:themeColor="text1"/>
          <w:sz w:val="22"/>
          <w:szCs w:val="22"/>
        </w:rPr>
        <w:t xml:space="preserve">DEL IMPUESTO SOBRE ANUNCIOS PUBLICITARIOS </w:t>
      </w: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Artículo 120.- Están obligadas al pago de este impuesto las personas físicas o jurídicas colectivas que se anuncien en bienes del dominio público o privado, mediante anuncios publicitarios susceptibles de ser observados desde la vía pública o lugares de uso común, así como la distribución de publicidad impresa, sonorización y perifoneo, en la vía pública, que anuncien o promuevan la venta de bienes o servicios. Lo anterior, observando las disposiciones aplicables en la materia, incluyendo las emitidas por la autoridad municipal de que se trate.</w:t>
      </w:r>
    </w:p>
    <w:p w:rsidR="005B5F6D" w:rsidRPr="00D83E92" w:rsidRDefault="005B5F6D">
      <w:pPr>
        <w:tabs>
          <w:tab w:val="left" w:pos="426"/>
        </w:tabs>
        <w:ind w:left="1134" w:right="900"/>
        <w:jc w:val="both"/>
        <w:rPr>
          <w:rFonts w:ascii="Palatino Linotype" w:hAnsi="Palatino Linotype"/>
          <w:i/>
          <w:color w:val="000000" w:themeColor="text1"/>
          <w:sz w:val="22"/>
          <w:szCs w:val="22"/>
        </w:rPr>
      </w:pPr>
    </w:p>
    <w:p w:rsidR="005B5F6D" w:rsidRPr="00D83E92" w:rsidRDefault="00DF0D09">
      <w:pPr>
        <w:tabs>
          <w:tab w:val="left" w:pos="426"/>
        </w:tabs>
        <w:ind w:left="1134" w:right="900"/>
        <w:jc w:val="both"/>
        <w:rPr>
          <w:rFonts w:ascii="Palatino Linotype" w:hAnsi="Palatino Linotype"/>
          <w:b/>
          <w:i/>
          <w:color w:val="000000" w:themeColor="text1"/>
          <w:sz w:val="22"/>
          <w:szCs w:val="22"/>
        </w:rPr>
      </w:pPr>
      <w:r w:rsidRPr="00D83E92">
        <w:rPr>
          <w:rFonts w:ascii="Palatino Linotype" w:hAnsi="Palatino Linotype"/>
          <w:b/>
          <w:i/>
          <w:color w:val="000000" w:themeColor="text1"/>
          <w:sz w:val="22"/>
          <w:szCs w:val="22"/>
        </w:rPr>
        <w:t>DEL IMPUESTO SOBRE DIVERSIONES, JUEGOS Y ESPECTACULOS PUBLICOS</w:t>
      </w: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Artículo 122.- Están obligadas al pago de este impuesto las personas físicas o jurídicas colectivas que obtengan ingresos por la explotación de juegos y espectáculos públicos.</w:t>
      </w:r>
    </w:p>
    <w:p w:rsidR="005B5F6D" w:rsidRPr="00D83E92" w:rsidRDefault="005B5F6D">
      <w:pPr>
        <w:tabs>
          <w:tab w:val="left" w:pos="426"/>
        </w:tabs>
        <w:ind w:left="1134" w:right="900"/>
        <w:jc w:val="both"/>
        <w:rPr>
          <w:rFonts w:ascii="Palatino Linotype" w:hAnsi="Palatino Linotype"/>
          <w:i/>
          <w:color w:val="000000" w:themeColor="text1"/>
          <w:sz w:val="22"/>
          <w:szCs w:val="22"/>
        </w:rPr>
      </w:pPr>
    </w:p>
    <w:p w:rsidR="005B5F6D" w:rsidRPr="00D83E92" w:rsidRDefault="005B5F6D">
      <w:pPr>
        <w:tabs>
          <w:tab w:val="left" w:pos="426"/>
        </w:tabs>
        <w:ind w:left="1134" w:right="900"/>
        <w:jc w:val="center"/>
        <w:rPr>
          <w:rFonts w:ascii="Palatino Linotype" w:hAnsi="Palatino Linotype"/>
          <w:b/>
          <w:i/>
          <w:color w:val="000000" w:themeColor="text1"/>
          <w:sz w:val="22"/>
          <w:szCs w:val="22"/>
        </w:rPr>
      </w:pPr>
    </w:p>
    <w:p w:rsidR="005B5F6D" w:rsidRPr="00D83E92" w:rsidRDefault="005B5F6D">
      <w:pPr>
        <w:tabs>
          <w:tab w:val="left" w:pos="426"/>
        </w:tabs>
        <w:ind w:left="1134" w:right="900"/>
        <w:jc w:val="center"/>
        <w:rPr>
          <w:rFonts w:ascii="Palatino Linotype" w:hAnsi="Palatino Linotype"/>
          <w:b/>
          <w:i/>
          <w:color w:val="000000" w:themeColor="text1"/>
          <w:sz w:val="22"/>
          <w:szCs w:val="22"/>
        </w:rPr>
      </w:pPr>
    </w:p>
    <w:p w:rsidR="005B5F6D" w:rsidRPr="00D83E92" w:rsidRDefault="005B5F6D">
      <w:pPr>
        <w:tabs>
          <w:tab w:val="left" w:pos="426"/>
        </w:tabs>
        <w:ind w:left="1134" w:right="900"/>
        <w:jc w:val="center"/>
        <w:rPr>
          <w:rFonts w:ascii="Palatino Linotype" w:hAnsi="Palatino Linotype"/>
          <w:b/>
          <w:i/>
          <w:color w:val="000000" w:themeColor="text1"/>
          <w:sz w:val="22"/>
          <w:szCs w:val="22"/>
        </w:rPr>
      </w:pPr>
    </w:p>
    <w:p w:rsidR="005B5F6D" w:rsidRPr="00D83E92" w:rsidRDefault="005B5F6D">
      <w:pPr>
        <w:tabs>
          <w:tab w:val="left" w:pos="426"/>
        </w:tabs>
        <w:ind w:left="1134" w:right="900"/>
        <w:jc w:val="center"/>
        <w:rPr>
          <w:rFonts w:ascii="Palatino Linotype" w:hAnsi="Palatino Linotype"/>
          <w:b/>
          <w:i/>
          <w:color w:val="000000" w:themeColor="text1"/>
          <w:sz w:val="22"/>
          <w:szCs w:val="22"/>
        </w:rPr>
      </w:pPr>
    </w:p>
    <w:p w:rsidR="005B5F6D" w:rsidRPr="00D83E92" w:rsidRDefault="005B5F6D">
      <w:pPr>
        <w:tabs>
          <w:tab w:val="left" w:pos="426"/>
        </w:tabs>
        <w:ind w:left="1134" w:right="900"/>
        <w:jc w:val="center"/>
        <w:rPr>
          <w:rFonts w:ascii="Palatino Linotype" w:hAnsi="Palatino Linotype"/>
          <w:b/>
          <w:i/>
          <w:color w:val="000000" w:themeColor="text1"/>
          <w:sz w:val="22"/>
          <w:szCs w:val="22"/>
        </w:rPr>
      </w:pPr>
    </w:p>
    <w:p w:rsidR="005B5F6D" w:rsidRPr="00D83E92" w:rsidRDefault="00DF0D09">
      <w:pPr>
        <w:tabs>
          <w:tab w:val="left" w:pos="426"/>
        </w:tabs>
        <w:ind w:left="1134" w:right="900"/>
        <w:jc w:val="center"/>
        <w:rPr>
          <w:rFonts w:ascii="Palatino Linotype" w:hAnsi="Palatino Linotype"/>
          <w:b/>
          <w:i/>
          <w:color w:val="000000" w:themeColor="text1"/>
          <w:sz w:val="22"/>
          <w:szCs w:val="22"/>
        </w:rPr>
      </w:pPr>
      <w:r w:rsidRPr="00D83E92">
        <w:rPr>
          <w:rFonts w:ascii="Palatino Linotype" w:hAnsi="Palatino Linotype"/>
          <w:b/>
          <w:i/>
          <w:color w:val="000000" w:themeColor="text1"/>
          <w:sz w:val="22"/>
          <w:szCs w:val="22"/>
        </w:rPr>
        <w:lastRenderedPageBreak/>
        <w:t xml:space="preserve">CAPITULO SEGUNDO </w:t>
      </w:r>
    </w:p>
    <w:p w:rsidR="005B5F6D" w:rsidRPr="00D83E92" w:rsidRDefault="00DF0D09">
      <w:pPr>
        <w:tabs>
          <w:tab w:val="left" w:pos="426"/>
        </w:tabs>
        <w:ind w:left="1134" w:right="900"/>
        <w:jc w:val="center"/>
        <w:rPr>
          <w:rFonts w:ascii="Palatino Linotype" w:hAnsi="Palatino Linotype"/>
          <w:b/>
          <w:i/>
          <w:color w:val="000000" w:themeColor="text1"/>
          <w:sz w:val="22"/>
          <w:szCs w:val="22"/>
        </w:rPr>
      </w:pPr>
      <w:r w:rsidRPr="00D83E92">
        <w:rPr>
          <w:rFonts w:ascii="Palatino Linotype" w:hAnsi="Palatino Linotype"/>
          <w:b/>
          <w:i/>
          <w:color w:val="000000" w:themeColor="text1"/>
          <w:sz w:val="22"/>
          <w:szCs w:val="22"/>
        </w:rPr>
        <w:t>DE LOS DERECHOS</w:t>
      </w:r>
    </w:p>
    <w:p w:rsidR="005B5F6D" w:rsidRPr="00D83E92" w:rsidRDefault="005B5F6D">
      <w:pPr>
        <w:tabs>
          <w:tab w:val="left" w:pos="426"/>
        </w:tabs>
        <w:ind w:left="1134" w:right="900"/>
        <w:jc w:val="center"/>
        <w:rPr>
          <w:rFonts w:ascii="Palatino Linotype" w:hAnsi="Palatino Linotype"/>
          <w:b/>
          <w:i/>
          <w:color w:val="000000" w:themeColor="text1"/>
          <w:sz w:val="22"/>
          <w:szCs w:val="22"/>
        </w:rPr>
      </w:pP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DE LOS DERECHOS POR LOS SERVICIOS DE SUMINISTRO DE AGUA POTABLE, DRENAJE, ALCANTARILLADO Y RECEPCIÓN DE LOS CAUDALES DE AGUAS RESIDUALES PARA SU TRATAMIENTO</w:t>
      </w:r>
    </w:p>
    <w:p w:rsidR="005B5F6D" w:rsidRPr="00D83E92" w:rsidRDefault="005B5F6D">
      <w:pPr>
        <w:tabs>
          <w:tab w:val="left" w:pos="426"/>
        </w:tabs>
        <w:ind w:left="1134" w:right="900"/>
        <w:jc w:val="both"/>
        <w:rPr>
          <w:rFonts w:ascii="Palatino Linotype" w:hAnsi="Palatino Linotype"/>
          <w:i/>
          <w:color w:val="000000" w:themeColor="text1"/>
          <w:sz w:val="22"/>
          <w:szCs w:val="22"/>
        </w:rPr>
      </w:pP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DE LOS DERECHOS DEL REGISTRO CIVIL</w:t>
      </w:r>
    </w:p>
    <w:p w:rsidR="005B5F6D" w:rsidRPr="00D83E92" w:rsidRDefault="005B5F6D">
      <w:pPr>
        <w:tabs>
          <w:tab w:val="left" w:pos="426"/>
        </w:tabs>
        <w:ind w:left="1134" w:right="900"/>
        <w:jc w:val="both"/>
        <w:rPr>
          <w:rFonts w:ascii="Palatino Linotype" w:hAnsi="Palatino Linotype"/>
          <w:i/>
          <w:color w:val="000000" w:themeColor="text1"/>
          <w:sz w:val="22"/>
          <w:szCs w:val="22"/>
        </w:rPr>
      </w:pP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DE LOS DERECHOS DE DESARROLLO URBANO Y OBRAS PUBLICAS</w:t>
      </w:r>
    </w:p>
    <w:p w:rsidR="005B5F6D" w:rsidRPr="00D83E92" w:rsidRDefault="005B5F6D">
      <w:pPr>
        <w:tabs>
          <w:tab w:val="left" w:pos="426"/>
        </w:tabs>
        <w:ind w:left="1134" w:right="900"/>
        <w:jc w:val="both"/>
        <w:rPr>
          <w:rFonts w:ascii="Palatino Linotype" w:hAnsi="Palatino Linotype"/>
          <w:i/>
          <w:color w:val="000000" w:themeColor="text1"/>
          <w:sz w:val="22"/>
          <w:szCs w:val="22"/>
        </w:rPr>
      </w:pP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DE LOS DERECHOS POR SERVICIOS PRESTADOS POR AUTORIDADES FISCALES, ADMINISTRATIVAS Y DE ACCESO A LA INFORMACIÓN PÚBLICA</w:t>
      </w:r>
    </w:p>
    <w:p w:rsidR="005B5F6D" w:rsidRPr="00D83E92" w:rsidRDefault="005B5F6D">
      <w:pPr>
        <w:tabs>
          <w:tab w:val="left" w:pos="426"/>
        </w:tabs>
        <w:ind w:left="1134" w:right="900"/>
        <w:jc w:val="both"/>
        <w:rPr>
          <w:rFonts w:ascii="Palatino Linotype" w:hAnsi="Palatino Linotype"/>
          <w:i/>
          <w:color w:val="000000" w:themeColor="text1"/>
          <w:sz w:val="22"/>
          <w:szCs w:val="22"/>
        </w:rPr>
      </w:pP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DE LOS DERECHOS POR SERVICIOS DE RASTROS</w:t>
      </w:r>
    </w:p>
    <w:p w:rsidR="005B5F6D" w:rsidRPr="00D83E92" w:rsidRDefault="005B5F6D">
      <w:pPr>
        <w:tabs>
          <w:tab w:val="left" w:pos="426"/>
        </w:tabs>
        <w:ind w:left="1134" w:right="900"/>
        <w:jc w:val="both"/>
        <w:rPr>
          <w:rFonts w:ascii="Palatino Linotype" w:hAnsi="Palatino Linotype"/>
          <w:i/>
          <w:color w:val="000000" w:themeColor="text1"/>
          <w:sz w:val="22"/>
          <w:szCs w:val="22"/>
        </w:rPr>
      </w:pP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DE LOS DERECHOS POR CORRAL DE CONCEJO, E IDENTIFICACION DE SEÑALES DE SANGRE, TATUAJES, ELEMENTOS ELECTROMAGNETICOS Y FIERROS PARA MARCAR GANADO Y MAGUEYES</w:t>
      </w:r>
    </w:p>
    <w:p w:rsidR="005B5F6D" w:rsidRPr="00D83E92" w:rsidRDefault="005B5F6D">
      <w:pPr>
        <w:tabs>
          <w:tab w:val="left" w:pos="426"/>
        </w:tabs>
        <w:ind w:left="1134" w:right="900"/>
        <w:jc w:val="both"/>
        <w:rPr>
          <w:rFonts w:ascii="Palatino Linotype" w:hAnsi="Palatino Linotype"/>
          <w:i/>
          <w:color w:val="000000" w:themeColor="text1"/>
          <w:sz w:val="22"/>
          <w:szCs w:val="22"/>
        </w:rPr>
      </w:pP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DE LOS DERECHOS POR USO DE VIAS Y AREAS PUBLICAS PARA EL EJERCICIO DE ACTIVIDADES COMERCIALES O DE SERVICIOS</w:t>
      </w: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DE LOS DERECHOS POR SERVICIOS DE PANTEONES</w:t>
      </w:r>
    </w:p>
    <w:p w:rsidR="005B5F6D" w:rsidRPr="00D83E92" w:rsidRDefault="005B5F6D">
      <w:pPr>
        <w:tabs>
          <w:tab w:val="left" w:pos="426"/>
        </w:tabs>
        <w:ind w:left="1134" w:right="900"/>
        <w:jc w:val="both"/>
        <w:rPr>
          <w:rFonts w:ascii="Palatino Linotype" w:hAnsi="Palatino Linotype"/>
          <w:i/>
          <w:color w:val="000000" w:themeColor="text1"/>
          <w:sz w:val="22"/>
          <w:szCs w:val="22"/>
        </w:rPr>
      </w:pP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DE LOS DERECHOS DE ESTACIONAMIENTO EN LA VIA PUBLICA Y DE SERVICIO PUBLICO</w:t>
      </w:r>
    </w:p>
    <w:p w:rsidR="005B5F6D" w:rsidRPr="00D83E92" w:rsidRDefault="005B5F6D">
      <w:pPr>
        <w:tabs>
          <w:tab w:val="left" w:pos="426"/>
        </w:tabs>
        <w:ind w:left="1134" w:right="900"/>
        <w:jc w:val="both"/>
        <w:rPr>
          <w:rFonts w:ascii="Palatino Linotype" w:hAnsi="Palatino Linotype"/>
          <w:i/>
          <w:color w:val="000000" w:themeColor="text1"/>
          <w:sz w:val="22"/>
          <w:szCs w:val="22"/>
        </w:rPr>
      </w:pP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DE LOS DERECHOS POR LA EXPEDICION O REFRENDO ANUAL DE LICENCIAS PARA LA VENTA DE BEBIDAS ALCOHOLICAS AL PUBLICO</w:t>
      </w:r>
    </w:p>
    <w:p w:rsidR="005B5F6D" w:rsidRPr="00D83E92" w:rsidRDefault="005B5F6D">
      <w:pPr>
        <w:tabs>
          <w:tab w:val="left" w:pos="426"/>
        </w:tabs>
        <w:ind w:left="1134" w:right="900"/>
        <w:jc w:val="both"/>
        <w:rPr>
          <w:rFonts w:ascii="Palatino Linotype" w:hAnsi="Palatino Linotype"/>
          <w:i/>
          <w:color w:val="000000" w:themeColor="text1"/>
          <w:sz w:val="22"/>
          <w:szCs w:val="22"/>
        </w:rPr>
      </w:pP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DE LOS DERECHOS POR SERVICIOS PRESTADOS POR AUTORIDADES DE SEGURIDAD PUBLICA</w:t>
      </w:r>
    </w:p>
    <w:p w:rsidR="005B5F6D" w:rsidRPr="00D83E92" w:rsidRDefault="005B5F6D">
      <w:pPr>
        <w:tabs>
          <w:tab w:val="left" w:pos="426"/>
        </w:tabs>
        <w:ind w:left="1134" w:right="900"/>
        <w:jc w:val="both"/>
        <w:rPr>
          <w:rFonts w:ascii="Palatino Linotype" w:hAnsi="Palatino Linotype"/>
          <w:i/>
          <w:color w:val="000000" w:themeColor="text1"/>
          <w:sz w:val="22"/>
          <w:szCs w:val="22"/>
        </w:rPr>
      </w:pP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t>DE LOS DERECHOS POR SERVICIOS DE ALUMBRADO PÚBLICO DE LOS DERECHOS POR SERVICIOS DE LIMPIEZA DE LOTES BALDIOS, RECOLECCION, TRASLADO Y DISPOSICION FINAL DE RESIDUOS SOLIDOS INDUSTRIALES Y COMERCIALES</w:t>
      </w:r>
    </w:p>
    <w:p w:rsidR="005B5F6D" w:rsidRPr="00D83E92" w:rsidRDefault="005B5F6D">
      <w:pPr>
        <w:tabs>
          <w:tab w:val="left" w:pos="426"/>
        </w:tabs>
        <w:ind w:left="1134" w:right="900"/>
        <w:jc w:val="both"/>
        <w:rPr>
          <w:rFonts w:ascii="Palatino Linotype" w:hAnsi="Palatino Linotype"/>
          <w:i/>
          <w:color w:val="000000" w:themeColor="text1"/>
          <w:sz w:val="22"/>
          <w:szCs w:val="22"/>
        </w:rPr>
      </w:pPr>
    </w:p>
    <w:p w:rsidR="005B5F6D" w:rsidRPr="00D83E92" w:rsidRDefault="00DF0D09">
      <w:pPr>
        <w:tabs>
          <w:tab w:val="left" w:pos="426"/>
        </w:tabs>
        <w:ind w:left="1134" w:right="900"/>
        <w:jc w:val="both"/>
        <w:rPr>
          <w:rFonts w:ascii="Palatino Linotype" w:hAnsi="Palatino Linotype"/>
          <w:i/>
          <w:color w:val="000000" w:themeColor="text1"/>
          <w:sz w:val="22"/>
          <w:szCs w:val="22"/>
        </w:rPr>
      </w:pPr>
      <w:r w:rsidRPr="00D83E92">
        <w:rPr>
          <w:rFonts w:ascii="Palatino Linotype" w:hAnsi="Palatino Linotype"/>
          <w:i/>
          <w:color w:val="000000" w:themeColor="text1"/>
          <w:sz w:val="22"/>
          <w:szCs w:val="22"/>
        </w:rPr>
        <w:lastRenderedPageBreak/>
        <w:t>DE LOS DERECHOS POR LOS SERVICIOS PRESTADOS POR LAS AUTORIDADES DE CATASTRO</w:t>
      </w:r>
    </w:p>
    <w:p w:rsidR="005B5F6D" w:rsidRPr="00D83E92" w:rsidRDefault="005B5F6D">
      <w:pPr>
        <w:pStyle w:val="Prrafodelista"/>
        <w:tabs>
          <w:tab w:val="left" w:pos="426"/>
        </w:tabs>
        <w:spacing w:line="360" w:lineRule="auto"/>
        <w:ind w:left="0" w:right="51"/>
        <w:jc w:val="both"/>
        <w:rPr>
          <w:rFonts w:ascii="Palatino Linotype" w:hAnsi="Palatino Linotype"/>
          <w:color w:val="000000" w:themeColor="text1"/>
        </w:rPr>
      </w:pPr>
    </w:p>
    <w:p w:rsidR="005B5F6D" w:rsidRPr="00D83E92" w:rsidRDefault="00DF0D09">
      <w:pPr>
        <w:numPr>
          <w:ilvl w:val="0"/>
          <w:numId w:val="1"/>
        </w:numPr>
        <w:spacing w:line="360" w:lineRule="auto"/>
        <w:ind w:left="0" w:firstLine="0"/>
        <w:jc w:val="both"/>
        <w:rPr>
          <w:rFonts w:ascii="Palatino Linotype" w:hAnsi="Palatino Linotype" w:cs="Tahoma"/>
          <w:bCs/>
          <w:iCs/>
        </w:rPr>
      </w:pPr>
      <w:r w:rsidRPr="00D83E92">
        <w:rPr>
          <w:rFonts w:ascii="Palatino Linotype" w:hAnsi="Palatino Linotype" w:cs="Tahoma"/>
          <w:bCs/>
          <w:iCs/>
        </w:rPr>
        <w:t xml:space="preserve">De lo anterior se puede determinar que existe un gran número de trámites y servicios ofertados por la Administración Pública Municipal, así como un número importante de pagos de impuestos y derechos como obligación a las personas físicas y jurídico colectivas, de acuerdo a valores, adquisición de inmuebles, desarrollo de conjuntos urbanos, anuncios, ingresos por explotación de juegos y espectáculos; suministros de agua potable, servicios del registro civil, servicios en materia de desarrollo urbano, obras públicas o servicios públicos, por mencionar algunos. </w:t>
      </w:r>
    </w:p>
    <w:p w:rsidR="005B5F6D" w:rsidRPr="00D83E92" w:rsidRDefault="005B5F6D">
      <w:pPr>
        <w:spacing w:line="360" w:lineRule="auto"/>
        <w:jc w:val="both"/>
        <w:rPr>
          <w:rFonts w:ascii="Palatino Linotype" w:hAnsi="Palatino Linotype" w:cs="Tahoma"/>
          <w:bCs/>
          <w:iCs/>
        </w:rPr>
      </w:pPr>
    </w:p>
    <w:p w:rsidR="005B5F6D" w:rsidRPr="00D83E92" w:rsidRDefault="00DF0D09">
      <w:pPr>
        <w:numPr>
          <w:ilvl w:val="0"/>
          <w:numId w:val="1"/>
        </w:numPr>
        <w:spacing w:line="360" w:lineRule="auto"/>
        <w:ind w:left="0" w:firstLine="0"/>
        <w:jc w:val="both"/>
        <w:rPr>
          <w:rFonts w:ascii="Palatino Linotype" w:hAnsi="Palatino Linotype" w:cs="Tahoma"/>
          <w:bCs/>
          <w:iCs/>
        </w:rPr>
      </w:pPr>
      <w:r w:rsidRPr="00D83E92">
        <w:rPr>
          <w:rFonts w:ascii="Palatino Linotype" w:hAnsi="Palatino Linotype" w:cs="Arial"/>
          <w:color w:val="000000"/>
        </w:rPr>
        <w:t xml:space="preserve">Cabe </w:t>
      </w:r>
      <w:r w:rsidRPr="00D83E92">
        <w:rPr>
          <w:rFonts w:ascii="Palatino Linotype" w:eastAsia="Calibri" w:hAnsi="Palatino Linotype" w:cs="Arial"/>
          <w:bCs/>
          <w:lang w:eastAsia="en-US"/>
        </w:rPr>
        <w:t xml:space="preserve">precisar que en el cumplimiento de los principios que rigen la función pública, la Constitución Política del Estado Libre y Soberano de México en su artículo 129 señala que los recursos económicos del Estado, de los Municipios, así como de los Organismos Autónomos, se administrarán con eficiencia, eficacia y honradez, para cumplir con los objetivos y programas a los que estén destinados. Asimismo, señala que </w:t>
      </w:r>
      <w:r w:rsidRPr="00D83E92">
        <w:rPr>
          <w:rFonts w:ascii="Palatino Linotype" w:eastAsia="Calibri" w:hAnsi="Palatino Linotype" w:cs="Arial"/>
          <w:b/>
          <w:lang w:eastAsia="en-US"/>
        </w:rPr>
        <w:t>todos los pagos se harán mediante orden escrita en la que se expresará la partida del presupuesto a cargo de la cual se realizan</w:t>
      </w:r>
      <w:r w:rsidRPr="00D83E92">
        <w:rPr>
          <w:rFonts w:ascii="Palatino Linotype" w:eastAsia="Calibri" w:hAnsi="Palatino Linotype" w:cs="Arial"/>
          <w:bCs/>
          <w:lang w:eastAsia="en-US"/>
        </w:rPr>
        <w:t>.</w:t>
      </w:r>
    </w:p>
    <w:p w:rsidR="005B5F6D" w:rsidRPr="00D83E92" w:rsidRDefault="005B5F6D">
      <w:pPr>
        <w:spacing w:line="360" w:lineRule="auto"/>
        <w:jc w:val="both"/>
        <w:rPr>
          <w:rFonts w:ascii="Palatino Linotype" w:hAnsi="Palatino Linotype" w:cs="Tahoma"/>
          <w:bCs/>
          <w:iCs/>
        </w:rPr>
      </w:pPr>
    </w:p>
    <w:p w:rsidR="005B5F6D" w:rsidRPr="00D83E92" w:rsidRDefault="00DF0D09">
      <w:pPr>
        <w:numPr>
          <w:ilvl w:val="0"/>
          <w:numId w:val="1"/>
        </w:numPr>
        <w:spacing w:line="360" w:lineRule="auto"/>
        <w:ind w:left="0" w:firstLine="0"/>
        <w:jc w:val="both"/>
        <w:rPr>
          <w:rFonts w:ascii="Palatino Linotype" w:hAnsi="Palatino Linotype" w:cs="Tahoma"/>
          <w:bCs/>
          <w:iCs/>
        </w:rPr>
      </w:pPr>
      <w:r w:rsidRPr="00D83E92">
        <w:rPr>
          <w:rFonts w:ascii="Palatino Linotype" w:hAnsi="Palatino Linotype"/>
          <w:color w:val="000000" w:themeColor="text1"/>
        </w:rPr>
        <w:t xml:space="preserve">Como </w:t>
      </w:r>
      <w:r w:rsidRPr="00D83E92">
        <w:rPr>
          <w:rFonts w:ascii="Palatino Linotype" w:eastAsia="Calibri" w:hAnsi="Palatino Linotype" w:cs="Arial"/>
          <w:bCs/>
          <w:lang w:eastAsia="en-US"/>
        </w:rPr>
        <w:t>se ha dicho anteriormente, es atribución del Tesorero Municipal la de llevar los registros contables, financieros y administrativos de los ingresos, egresos e inventarios. En ese sentido, los artículos 342, 343, 344 y 345 del Código Financiero del Estado de México y Municipios disponen el sistema y las políticas que deben seguirse para llevar el registro contable y presupuestal de las operaciones financieras, en los siguientes términos:</w:t>
      </w:r>
    </w:p>
    <w:p w:rsidR="005B5F6D" w:rsidRPr="00D83E92" w:rsidRDefault="005B5F6D">
      <w:pPr>
        <w:pStyle w:val="Prrafodelista"/>
        <w:tabs>
          <w:tab w:val="left" w:pos="426"/>
        </w:tabs>
        <w:spacing w:before="240" w:after="240" w:line="360" w:lineRule="auto"/>
        <w:ind w:left="0" w:right="51"/>
        <w:jc w:val="both"/>
        <w:rPr>
          <w:rFonts w:ascii="Palatino Linotype" w:hAnsi="Palatino Linotype" w:cs="Tahoma"/>
          <w:bCs/>
          <w:iCs/>
        </w:rPr>
      </w:pPr>
    </w:p>
    <w:p w:rsidR="005B5F6D" w:rsidRPr="00D83E92" w:rsidRDefault="00DF0D09">
      <w:pPr>
        <w:pStyle w:val="Prrafodelista"/>
        <w:tabs>
          <w:tab w:val="left" w:pos="1134"/>
        </w:tabs>
        <w:spacing w:before="240" w:after="240" w:line="276" w:lineRule="auto"/>
        <w:ind w:left="1134" w:right="900"/>
        <w:jc w:val="both"/>
        <w:rPr>
          <w:rFonts w:ascii="Palatino Linotype" w:hAnsi="Palatino Linotype" w:cs="Tahoma"/>
          <w:bCs/>
          <w:i/>
          <w:iCs/>
          <w:sz w:val="22"/>
        </w:rPr>
      </w:pPr>
      <w:r w:rsidRPr="00D83E92">
        <w:rPr>
          <w:rFonts w:ascii="Palatino Linotype" w:hAnsi="Palatino Linotype" w:cs="Tahoma"/>
          <w:bCs/>
          <w:i/>
          <w:iCs/>
          <w:sz w:val="22"/>
        </w:rPr>
        <w:t>“</w:t>
      </w:r>
      <w:r w:rsidRPr="00D83E92">
        <w:rPr>
          <w:rFonts w:ascii="Palatino Linotype" w:hAnsi="Palatino Linotype" w:cs="Tahoma"/>
          <w:b/>
          <w:bCs/>
          <w:i/>
          <w:iCs/>
          <w:sz w:val="22"/>
        </w:rPr>
        <w:t>Artículo 342.-</w:t>
      </w:r>
      <w:r w:rsidRPr="00D83E92">
        <w:rPr>
          <w:rFonts w:ascii="Palatino Linotype" w:hAnsi="Palatino Linotype" w:cs="Tahoma"/>
          <w:bCs/>
          <w:i/>
          <w:iCs/>
          <w:sz w:val="22"/>
        </w:rPr>
        <w:t xml:space="preserve"> El registro contable del efecto patrimonial y presupuestal de las operaciones financieras, se realizará conforme al sistema y a las disposiciones que se aprueben en materia de planeación, programación, </w:t>
      </w:r>
      <w:proofErr w:type="spellStart"/>
      <w:r w:rsidRPr="00D83E92">
        <w:rPr>
          <w:rFonts w:ascii="Palatino Linotype" w:hAnsi="Palatino Linotype" w:cs="Tahoma"/>
          <w:bCs/>
          <w:i/>
          <w:iCs/>
          <w:sz w:val="22"/>
        </w:rPr>
        <w:t>presupuestación</w:t>
      </w:r>
      <w:proofErr w:type="spellEnd"/>
      <w:r w:rsidRPr="00D83E92">
        <w:rPr>
          <w:rFonts w:ascii="Palatino Linotype" w:hAnsi="Palatino Linotype" w:cs="Tahoma"/>
          <w:bCs/>
          <w:i/>
          <w:iCs/>
          <w:sz w:val="22"/>
        </w:rPr>
        <w:t xml:space="preserve">, evaluación y contabilidad gubernamental. </w:t>
      </w:r>
    </w:p>
    <w:p w:rsidR="005B5F6D" w:rsidRPr="00D83E92" w:rsidRDefault="00DF0D09">
      <w:pPr>
        <w:pStyle w:val="Prrafodelista"/>
        <w:tabs>
          <w:tab w:val="left" w:pos="1134"/>
        </w:tabs>
        <w:spacing w:before="240" w:after="240" w:line="276" w:lineRule="auto"/>
        <w:ind w:left="1134" w:right="900"/>
        <w:jc w:val="both"/>
        <w:rPr>
          <w:rFonts w:ascii="Palatino Linotype" w:hAnsi="Palatino Linotype" w:cs="Tahoma"/>
          <w:bCs/>
          <w:i/>
          <w:iCs/>
          <w:sz w:val="22"/>
        </w:rPr>
      </w:pPr>
      <w:r w:rsidRPr="00D83E92">
        <w:rPr>
          <w:rFonts w:ascii="Palatino Linotype" w:hAnsi="Palatino Linotype" w:cs="Tahoma"/>
          <w:bCs/>
          <w:i/>
          <w:iCs/>
          <w:sz w:val="22"/>
        </w:rPr>
        <w:t>(…)”</w:t>
      </w:r>
    </w:p>
    <w:p w:rsidR="005B5F6D" w:rsidRPr="00D83E92" w:rsidRDefault="005B5F6D">
      <w:pPr>
        <w:pStyle w:val="Prrafodelista"/>
        <w:tabs>
          <w:tab w:val="left" w:pos="1134"/>
        </w:tabs>
        <w:spacing w:before="240" w:after="240" w:line="276" w:lineRule="auto"/>
        <w:ind w:left="1134" w:right="900"/>
        <w:jc w:val="both"/>
        <w:rPr>
          <w:rFonts w:ascii="Palatino Linotype" w:hAnsi="Palatino Linotype" w:cs="Tahoma"/>
          <w:bCs/>
          <w:i/>
          <w:iCs/>
          <w:sz w:val="22"/>
        </w:rPr>
      </w:pPr>
    </w:p>
    <w:p w:rsidR="005B5F6D" w:rsidRPr="00D83E92" w:rsidRDefault="00DF0D09">
      <w:pPr>
        <w:pStyle w:val="Prrafodelista"/>
        <w:tabs>
          <w:tab w:val="left" w:pos="1134"/>
        </w:tabs>
        <w:spacing w:before="240" w:after="240" w:line="276" w:lineRule="auto"/>
        <w:ind w:left="1134" w:right="900"/>
        <w:jc w:val="both"/>
        <w:rPr>
          <w:rFonts w:ascii="Palatino Linotype" w:hAnsi="Palatino Linotype" w:cs="Tahoma"/>
          <w:bCs/>
          <w:i/>
          <w:iCs/>
          <w:sz w:val="22"/>
        </w:rPr>
      </w:pPr>
      <w:r w:rsidRPr="00D83E92">
        <w:rPr>
          <w:rFonts w:ascii="Palatino Linotype" w:hAnsi="Palatino Linotype" w:cs="Tahoma"/>
          <w:b/>
          <w:bCs/>
          <w:i/>
          <w:iCs/>
          <w:sz w:val="22"/>
        </w:rPr>
        <w:t>“Artículo 343.-</w:t>
      </w:r>
      <w:r w:rsidRPr="00D83E92">
        <w:rPr>
          <w:rFonts w:ascii="Palatino Linotype" w:hAnsi="Palatino Linotype" w:cs="Tahoma"/>
          <w:bCs/>
          <w:i/>
          <w:iCs/>
          <w:sz w:val="22"/>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rsidR="005B5F6D" w:rsidRPr="00D83E92" w:rsidRDefault="00DF0D09">
      <w:pPr>
        <w:pStyle w:val="Prrafodelista"/>
        <w:tabs>
          <w:tab w:val="left" w:pos="1134"/>
        </w:tabs>
        <w:spacing w:before="240" w:after="240" w:line="276" w:lineRule="auto"/>
        <w:ind w:left="1134" w:right="900"/>
        <w:jc w:val="both"/>
        <w:rPr>
          <w:rFonts w:ascii="Palatino Linotype" w:hAnsi="Palatino Linotype" w:cs="Tahoma"/>
          <w:bCs/>
          <w:i/>
          <w:iCs/>
          <w:sz w:val="22"/>
        </w:rPr>
      </w:pPr>
      <w:r w:rsidRPr="00D83E92">
        <w:rPr>
          <w:rFonts w:ascii="Palatino Linotype" w:hAnsi="Palatino Linotype" w:cs="Tahoma"/>
          <w:bCs/>
          <w:i/>
          <w:iCs/>
          <w:sz w:val="22"/>
        </w:rPr>
        <w:t>El sistema de contabilidad sobre base acumulativa total se sustentará en los postulados básicos y el marco conceptual de la contabilidad gubernamental.”</w:t>
      </w:r>
    </w:p>
    <w:p w:rsidR="005B5F6D" w:rsidRPr="00D83E92" w:rsidRDefault="005B5F6D">
      <w:pPr>
        <w:pStyle w:val="Prrafodelista"/>
        <w:tabs>
          <w:tab w:val="left" w:pos="1134"/>
        </w:tabs>
        <w:spacing w:before="240" w:after="240" w:line="276" w:lineRule="auto"/>
        <w:ind w:left="1134" w:right="900"/>
        <w:jc w:val="both"/>
        <w:rPr>
          <w:rFonts w:ascii="Palatino Linotype" w:hAnsi="Palatino Linotype" w:cs="Tahoma"/>
          <w:bCs/>
          <w:i/>
          <w:iCs/>
          <w:sz w:val="22"/>
        </w:rPr>
      </w:pPr>
    </w:p>
    <w:p w:rsidR="005B5F6D" w:rsidRPr="00D83E92" w:rsidRDefault="00DF0D09">
      <w:pPr>
        <w:pStyle w:val="Prrafodelista"/>
        <w:tabs>
          <w:tab w:val="left" w:pos="1134"/>
        </w:tabs>
        <w:spacing w:before="240" w:after="240" w:line="276" w:lineRule="auto"/>
        <w:ind w:left="1134" w:right="900"/>
        <w:jc w:val="both"/>
        <w:rPr>
          <w:rFonts w:ascii="Palatino Linotype" w:hAnsi="Palatino Linotype" w:cs="Tahoma"/>
          <w:bCs/>
          <w:i/>
          <w:iCs/>
          <w:sz w:val="22"/>
        </w:rPr>
      </w:pPr>
      <w:r w:rsidRPr="00D83E92">
        <w:rPr>
          <w:rFonts w:ascii="Palatino Linotype" w:hAnsi="Palatino Linotype" w:cs="Tahoma"/>
          <w:bCs/>
          <w:i/>
          <w:iCs/>
          <w:sz w:val="22"/>
        </w:rPr>
        <w:t>“</w:t>
      </w:r>
      <w:r w:rsidRPr="00D83E92">
        <w:rPr>
          <w:rFonts w:ascii="Palatino Linotype" w:hAnsi="Palatino Linotype" w:cs="Tahoma"/>
          <w:b/>
          <w:bCs/>
          <w:i/>
          <w:iCs/>
          <w:sz w:val="22"/>
        </w:rPr>
        <w:t>Artículo 344.-</w:t>
      </w:r>
      <w:r w:rsidRPr="00D83E92">
        <w:rPr>
          <w:rFonts w:ascii="Palatino Linotype" w:hAnsi="Palatino Linotype" w:cs="Tahoma"/>
          <w:bCs/>
          <w:i/>
          <w:iCs/>
          <w:sz w:val="22"/>
        </w:rPr>
        <w:t xml:space="preserve"> Las Dependencias, Entidades Públicas y unidades administrativas registrarán contablemente el efecto patrimonial y presupuestal de las operaciones financieras que realicen, en el momento en que ocurran, con base en el sistema y políticas de registro establecidas, en el caso de los Municipios se hará por la Tesorería. </w:t>
      </w:r>
    </w:p>
    <w:p w:rsidR="005B5F6D" w:rsidRPr="00D83E92" w:rsidRDefault="00DF0D09">
      <w:pPr>
        <w:pStyle w:val="Prrafodelista"/>
        <w:tabs>
          <w:tab w:val="left" w:pos="1134"/>
        </w:tabs>
        <w:spacing w:before="240" w:after="240" w:line="276" w:lineRule="auto"/>
        <w:ind w:left="1134" w:right="900"/>
        <w:jc w:val="both"/>
        <w:rPr>
          <w:rFonts w:ascii="Palatino Linotype" w:hAnsi="Palatino Linotype" w:cs="Tahoma"/>
          <w:bCs/>
          <w:i/>
          <w:iCs/>
          <w:sz w:val="22"/>
        </w:rPr>
      </w:pPr>
      <w:r w:rsidRPr="00D83E92">
        <w:rPr>
          <w:rFonts w:ascii="Palatino Linotype" w:hAnsi="Palatino Linotype" w:cs="Tahoma"/>
          <w:bCs/>
          <w:i/>
          <w:iCs/>
          <w:sz w:val="22"/>
        </w:rPr>
        <w:t xml:space="preserve">Derogado. </w:t>
      </w:r>
    </w:p>
    <w:p w:rsidR="005B5F6D" w:rsidRPr="00D83E92" w:rsidRDefault="00DF0D09">
      <w:pPr>
        <w:pStyle w:val="Prrafodelista"/>
        <w:tabs>
          <w:tab w:val="left" w:pos="1134"/>
        </w:tabs>
        <w:spacing w:before="240" w:after="240" w:line="276" w:lineRule="auto"/>
        <w:ind w:left="1134" w:right="900"/>
        <w:jc w:val="both"/>
        <w:rPr>
          <w:rFonts w:ascii="Palatino Linotype" w:hAnsi="Palatino Linotype" w:cs="Tahoma"/>
          <w:bCs/>
          <w:i/>
          <w:iCs/>
          <w:sz w:val="22"/>
        </w:rPr>
      </w:pPr>
      <w:r w:rsidRPr="00D83E92">
        <w:rPr>
          <w:rFonts w:ascii="Palatino Linotype" w:hAnsi="Palatino Linotype" w:cs="Tahoma"/>
          <w:bCs/>
          <w:i/>
          <w:iCs/>
          <w:sz w:val="22"/>
        </w:rPr>
        <w:t xml:space="preserve">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 a partir del ejercicio presupuestal siguiente al que corresponda, en el caso de los municipios se hará por la Tesorería. </w:t>
      </w:r>
    </w:p>
    <w:p w:rsidR="005B5F6D" w:rsidRPr="00D83E92" w:rsidRDefault="00DF0D09">
      <w:pPr>
        <w:pStyle w:val="Prrafodelista"/>
        <w:tabs>
          <w:tab w:val="left" w:pos="1134"/>
        </w:tabs>
        <w:spacing w:before="240" w:after="240" w:line="276" w:lineRule="auto"/>
        <w:ind w:left="1134" w:right="900"/>
        <w:jc w:val="both"/>
        <w:rPr>
          <w:rFonts w:ascii="Palatino Linotype" w:hAnsi="Palatino Linotype" w:cs="Tahoma"/>
          <w:bCs/>
          <w:i/>
          <w:iCs/>
          <w:sz w:val="22"/>
        </w:rPr>
      </w:pPr>
      <w:r w:rsidRPr="00D83E92">
        <w:rPr>
          <w:rFonts w:ascii="Palatino Linotype" w:hAnsi="Palatino Linotype" w:cs="Tahoma"/>
          <w:bCs/>
          <w:i/>
          <w:iCs/>
          <w:sz w:val="22"/>
        </w:rPr>
        <w:t>(…)”</w:t>
      </w:r>
    </w:p>
    <w:p w:rsidR="005B5F6D" w:rsidRPr="00D83E92" w:rsidRDefault="005B5F6D">
      <w:pPr>
        <w:pStyle w:val="Prrafodelista"/>
        <w:tabs>
          <w:tab w:val="left" w:pos="1134"/>
        </w:tabs>
        <w:spacing w:before="240" w:after="240" w:line="276" w:lineRule="auto"/>
        <w:ind w:left="1134" w:right="900"/>
        <w:jc w:val="both"/>
        <w:rPr>
          <w:rFonts w:ascii="Palatino Linotype" w:hAnsi="Palatino Linotype" w:cs="Tahoma"/>
          <w:bCs/>
          <w:i/>
          <w:iCs/>
          <w:sz w:val="22"/>
        </w:rPr>
      </w:pPr>
    </w:p>
    <w:p w:rsidR="005B5F6D" w:rsidRPr="00D83E92" w:rsidRDefault="00DF0D09">
      <w:pPr>
        <w:pStyle w:val="Prrafodelista"/>
        <w:tabs>
          <w:tab w:val="left" w:pos="1134"/>
        </w:tabs>
        <w:spacing w:before="240" w:after="240" w:line="276" w:lineRule="auto"/>
        <w:ind w:left="1134" w:right="900"/>
        <w:jc w:val="both"/>
        <w:rPr>
          <w:rFonts w:ascii="Palatino Linotype" w:hAnsi="Palatino Linotype" w:cs="Tahoma"/>
          <w:bCs/>
          <w:i/>
          <w:iCs/>
          <w:sz w:val="22"/>
        </w:rPr>
      </w:pPr>
      <w:r w:rsidRPr="00D83E92">
        <w:rPr>
          <w:rFonts w:ascii="Palatino Linotype" w:hAnsi="Palatino Linotype" w:cs="Tahoma"/>
          <w:bCs/>
          <w:i/>
          <w:iCs/>
          <w:sz w:val="22"/>
        </w:rPr>
        <w:t>“</w:t>
      </w:r>
      <w:r w:rsidRPr="00D83E92">
        <w:rPr>
          <w:rFonts w:ascii="Palatino Linotype" w:hAnsi="Palatino Linotype" w:cs="Tahoma"/>
          <w:b/>
          <w:bCs/>
          <w:i/>
          <w:iCs/>
          <w:sz w:val="22"/>
        </w:rPr>
        <w:t>Artículo 345.-</w:t>
      </w:r>
      <w:r w:rsidRPr="00D83E92">
        <w:rPr>
          <w:rFonts w:ascii="Palatino Linotype" w:hAnsi="Palatino Linotype" w:cs="Tahoma"/>
          <w:bCs/>
          <w:i/>
          <w:iCs/>
          <w:sz w:val="22"/>
        </w:rPr>
        <w:t xml:space="preserve"> Las Dependencias, Entidades Públicas y unidades administrativas deberán conservar la documentación contable del año en curso y la de ejercicios anteriores cuyas cuentas públicas hayan sido revisadas y fiscalizadas por la Legislatura, la remitirán en un plazo que no excederá de seis meses al Archivo Contable Gubernamental. Tratándose de los comprobantes </w:t>
      </w:r>
      <w:r w:rsidRPr="00D83E92">
        <w:rPr>
          <w:rFonts w:ascii="Palatino Linotype" w:hAnsi="Palatino Linotype" w:cs="Tahoma"/>
          <w:bCs/>
          <w:i/>
          <w:iCs/>
          <w:sz w:val="22"/>
        </w:rPr>
        <w:lastRenderedPageBreak/>
        <w:t xml:space="preserve">fiscales digitales, estos deberán estar agregados en forma electrónica en cada póliza de registro contable. </w:t>
      </w:r>
    </w:p>
    <w:p w:rsidR="005B5F6D" w:rsidRPr="00D83E92" w:rsidRDefault="00DF0D09">
      <w:pPr>
        <w:pStyle w:val="Prrafodelista"/>
        <w:tabs>
          <w:tab w:val="left" w:pos="1134"/>
        </w:tabs>
        <w:spacing w:before="240" w:after="240" w:line="276" w:lineRule="auto"/>
        <w:ind w:left="1134" w:right="900"/>
        <w:jc w:val="both"/>
        <w:rPr>
          <w:rFonts w:ascii="Palatino Linotype" w:hAnsi="Palatino Linotype" w:cs="Tahoma"/>
          <w:bCs/>
          <w:i/>
          <w:iCs/>
          <w:sz w:val="22"/>
        </w:rPr>
      </w:pPr>
      <w:r w:rsidRPr="00D83E92">
        <w:rPr>
          <w:rFonts w:ascii="Palatino Linotype" w:hAnsi="Palatino Linotype" w:cs="Tahoma"/>
          <w:bCs/>
          <w:i/>
          <w:iCs/>
          <w:sz w:val="22"/>
        </w:rPr>
        <w:t>El plazo señalado en el párrafo anterior, empezará a contar a partir de la publicación en el Periódico Oficial, del decreto correspondiente. “</w:t>
      </w:r>
    </w:p>
    <w:p w:rsidR="005B5F6D" w:rsidRPr="00D83E92" w:rsidRDefault="005B5F6D">
      <w:pPr>
        <w:pStyle w:val="Prrafodelista"/>
        <w:tabs>
          <w:tab w:val="left" w:pos="426"/>
        </w:tabs>
        <w:spacing w:before="240" w:after="240" w:line="276" w:lineRule="auto"/>
        <w:ind w:left="567" w:right="567"/>
        <w:jc w:val="both"/>
        <w:rPr>
          <w:rFonts w:ascii="Palatino Linotype" w:hAnsi="Palatino Linotype" w:cs="Tahoma"/>
          <w:bCs/>
          <w:i/>
          <w:iCs/>
          <w:sz w:val="22"/>
        </w:rPr>
      </w:pPr>
    </w:p>
    <w:p w:rsidR="005B5F6D" w:rsidRPr="00D83E92" w:rsidRDefault="00DF0D09">
      <w:pPr>
        <w:numPr>
          <w:ilvl w:val="0"/>
          <w:numId w:val="1"/>
        </w:numPr>
        <w:spacing w:line="360" w:lineRule="auto"/>
        <w:ind w:left="0" w:firstLine="0"/>
        <w:jc w:val="both"/>
        <w:rPr>
          <w:rFonts w:ascii="Palatino Linotype" w:hAnsi="Palatino Linotype" w:cs="Tahoma"/>
          <w:bCs/>
          <w:iCs/>
        </w:rPr>
      </w:pPr>
      <w:r w:rsidRPr="00D83E92">
        <w:rPr>
          <w:rFonts w:ascii="Palatino Linotype" w:hAnsi="Palatino Linotype"/>
          <w:color w:val="000000" w:themeColor="text1"/>
        </w:rPr>
        <w:t xml:space="preserve">De </w:t>
      </w:r>
      <w:r w:rsidRPr="00D83E92">
        <w:rPr>
          <w:rFonts w:ascii="Palatino Linotype" w:eastAsia="Calibri" w:hAnsi="Palatino Linotype" w:cs="Arial"/>
          <w:bCs/>
          <w:lang w:eastAsia="en-US"/>
        </w:rPr>
        <w:t xml:space="preserve">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w:t>
      </w:r>
      <w:proofErr w:type="spellStart"/>
      <w:r w:rsidRPr="00D83E92">
        <w:rPr>
          <w:rFonts w:ascii="Palatino Linotype" w:eastAsia="Calibri" w:hAnsi="Palatino Linotype" w:cs="Arial"/>
          <w:bCs/>
          <w:lang w:eastAsia="en-US"/>
        </w:rPr>
        <w:t>presupuestación</w:t>
      </w:r>
      <w:proofErr w:type="spellEnd"/>
      <w:r w:rsidRPr="00D83E92">
        <w:rPr>
          <w:rFonts w:ascii="Palatino Linotype" w:eastAsia="Calibri" w:hAnsi="Palatino Linotype" w:cs="Arial"/>
          <w:bCs/>
          <w:lang w:eastAsia="en-US"/>
        </w:rPr>
        <w:t>, evaluación y contabilidad gubernamental.</w:t>
      </w:r>
    </w:p>
    <w:p w:rsidR="005B5F6D" w:rsidRPr="00D83E92" w:rsidRDefault="005B5F6D">
      <w:pPr>
        <w:spacing w:line="360" w:lineRule="auto"/>
        <w:jc w:val="both"/>
        <w:rPr>
          <w:rFonts w:ascii="Palatino Linotype" w:hAnsi="Palatino Linotype" w:cs="Tahoma"/>
          <w:bCs/>
          <w:iCs/>
        </w:rPr>
      </w:pPr>
    </w:p>
    <w:p w:rsidR="005B5F6D" w:rsidRPr="00D83E92" w:rsidRDefault="00DF0D09">
      <w:pPr>
        <w:numPr>
          <w:ilvl w:val="0"/>
          <w:numId w:val="1"/>
        </w:numPr>
        <w:spacing w:line="360" w:lineRule="auto"/>
        <w:ind w:left="0" w:firstLine="0"/>
        <w:jc w:val="both"/>
        <w:rPr>
          <w:rFonts w:ascii="Palatino Linotype" w:hAnsi="Palatino Linotype" w:cs="Tahoma"/>
          <w:bCs/>
          <w:iCs/>
        </w:rPr>
      </w:pPr>
      <w:r w:rsidRPr="00D83E92">
        <w:rPr>
          <w:rFonts w:ascii="Palatino Linotype" w:hAnsi="Palatino Linotype"/>
          <w:color w:val="000000" w:themeColor="text1"/>
        </w:rPr>
        <w:t xml:space="preserve">Al </w:t>
      </w:r>
      <w:r w:rsidRPr="00D83E92">
        <w:rPr>
          <w:rFonts w:ascii="Palatino Linotype" w:eastAsia="Calibri" w:hAnsi="Palatino Linotype" w:cs="Arial"/>
          <w:bCs/>
          <w:lang w:eastAsia="en-US"/>
        </w:rPr>
        <w:t xml:space="preserve">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w:t>
      </w:r>
      <w:proofErr w:type="spellStart"/>
      <w:r w:rsidRPr="00D83E92">
        <w:rPr>
          <w:rFonts w:ascii="Palatino Linotype" w:eastAsia="Calibri" w:hAnsi="Palatino Linotype" w:cs="Arial"/>
          <w:bCs/>
          <w:lang w:eastAsia="en-US"/>
        </w:rPr>
        <w:t>Presupuestación</w:t>
      </w:r>
      <w:proofErr w:type="spellEnd"/>
      <w:r w:rsidRPr="00D83E92">
        <w:rPr>
          <w:rFonts w:ascii="Palatino Linotype" w:eastAsia="Calibri" w:hAnsi="Palatino Linotype" w:cs="Arial"/>
          <w:bCs/>
          <w:lang w:eastAsia="en-US"/>
        </w:rPr>
        <w:t xml:space="preserve">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w:t>
      </w:r>
    </w:p>
    <w:p w:rsidR="005B5F6D" w:rsidRPr="00D83E92" w:rsidRDefault="00DF0D09">
      <w:pPr>
        <w:pStyle w:val="Prrafodelista"/>
        <w:tabs>
          <w:tab w:val="left" w:pos="993"/>
        </w:tabs>
        <w:spacing w:before="240" w:after="240" w:line="276" w:lineRule="auto"/>
        <w:ind w:left="1134" w:right="900"/>
        <w:jc w:val="both"/>
        <w:rPr>
          <w:rFonts w:ascii="Palatino Linotype" w:hAnsi="Palatino Linotype" w:cs="Tahoma"/>
          <w:b/>
          <w:bCs/>
          <w:i/>
          <w:iCs/>
          <w:sz w:val="22"/>
        </w:rPr>
      </w:pPr>
      <w:r w:rsidRPr="00D83E92">
        <w:rPr>
          <w:rFonts w:ascii="Palatino Linotype" w:hAnsi="Palatino Linotype" w:cs="Tahoma"/>
          <w:bCs/>
          <w:i/>
          <w:iCs/>
          <w:sz w:val="22"/>
        </w:rPr>
        <w:t>“</w:t>
      </w:r>
      <w:r w:rsidRPr="00D83E92">
        <w:rPr>
          <w:rFonts w:ascii="Palatino Linotype" w:hAnsi="Palatino Linotype" w:cs="Tahoma"/>
          <w:b/>
          <w:bCs/>
          <w:i/>
          <w:iCs/>
          <w:sz w:val="22"/>
        </w:rPr>
        <w:t>REGISTRO CONTABLE:</w:t>
      </w:r>
    </w:p>
    <w:p w:rsidR="005B5F6D" w:rsidRPr="00D83E92" w:rsidRDefault="00DF0D09">
      <w:pPr>
        <w:pStyle w:val="Prrafodelista"/>
        <w:tabs>
          <w:tab w:val="left" w:pos="993"/>
        </w:tabs>
        <w:spacing w:before="240" w:after="240" w:line="276" w:lineRule="auto"/>
        <w:ind w:left="1134" w:right="900"/>
        <w:jc w:val="both"/>
        <w:rPr>
          <w:rFonts w:ascii="Palatino Linotype" w:hAnsi="Palatino Linotype" w:cs="Tahoma"/>
          <w:bCs/>
          <w:i/>
          <w:iCs/>
          <w:sz w:val="22"/>
        </w:rPr>
      </w:pPr>
      <w:r w:rsidRPr="00D83E92">
        <w:rPr>
          <w:rFonts w:ascii="Palatino Linotype" w:hAnsi="Palatino Linotype" w:cs="Tahoma"/>
          <w:bCs/>
          <w:i/>
          <w:iCs/>
          <w:sz w:val="22"/>
        </w:rPr>
        <w:t xml:space="preserve">Asiento que se realiza en los libros de contabilidad de las actividades relacionadas con el ingreso y egresos de un ente económico.” </w:t>
      </w:r>
    </w:p>
    <w:p w:rsidR="005B5F6D" w:rsidRPr="00D83E92" w:rsidRDefault="005B5F6D">
      <w:pPr>
        <w:pStyle w:val="Prrafodelista"/>
        <w:tabs>
          <w:tab w:val="left" w:pos="993"/>
        </w:tabs>
        <w:spacing w:before="240" w:after="240" w:line="276" w:lineRule="auto"/>
        <w:ind w:left="1134" w:right="900"/>
        <w:jc w:val="both"/>
        <w:rPr>
          <w:rFonts w:ascii="Palatino Linotype" w:hAnsi="Palatino Linotype" w:cs="Tahoma"/>
          <w:bCs/>
          <w:i/>
          <w:iCs/>
          <w:sz w:val="22"/>
        </w:rPr>
      </w:pPr>
    </w:p>
    <w:p w:rsidR="005B5F6D" w:rsidRPr="00D83E92" w:rsidRDefault="005B5F6D">
      <w:pPr>
        <w:pStyle w:val="Prrafodelista"/>
        <w:tabs>
          <w:tab w:val="left" w:pos="993"/>
        </w:tabs>
        <w:spacing w:before="240" w:after="240" w:line="276" w:lineRule="auto"/>
        <w:ind w:left="1134" w:right="900"/>
        <w:jc w:val="both"/>
        <w:rPr>
          <w:rFonts w:ascii="Palatino Linotype" w:hAnsi="Palatino Linotype" w:cs="Tahoma"/>
          <w:bCs/>
          <w:i/>
          <w:iCs/>
          <w:sz w:val="22"/>
        </w:rPr>
      </w:pPr>
    </w:p>
    <w:p w:rsidR="005B5F6D" w:rsidRPr="00D83E92" w:rsidRDefault="00DF0D09">
      <w:pPr>
        <w:pStyle w:val="Prrafodelista"/>
        <w:tabs>
          <w:tab w:val="left" w:pos="993"/>
        </w:tabs>
        <w:spacing w:before="240" w:after="240" w:line="276" w:lineRule="auto"/>
        <w:ind w:left="1134" w:right="900"/>
        <w:jc w:val="both"/>
        <w:rPr>
          <w:rFonts w:ascii="Palatino Linotype" w:hAnsi="Palatino Linotype" w:cs="Tahoma"/>
          <w:b/>
          <w:bCs/>
          <w:i/>
          <w:iCs/>
          <w:sz w:val="22"/>
        </w:rPr>
      </w:pPr>
      <w:r w:rsidRPr="00D83E92">
        <w:rPr>
          <w:rFonts w:ascii="Palatino Linotype" w:hAnsi="Palatino Linotype" w:cs="Tahoma"/>
          <w:bCs/>
          <w:i/>
          <w:iCs/>
          <w:sz w:val="22"/>
        </w:rPr>
        <w:lastRenderedPageBreak/>
        <w:t>“</w:t>
      </w:r>
      <w:r w:rsidRPr="00D83E92">
        <w:rPr>
          <w:rFonts w:ascii="Palatino Linotype" w:hAnsi="Palatino Linotype" w:cs="Tahoma"/>
          <w:b/>
          <w:bCs/>
          <w:i/>
          <w:iCs/>
          <w:sz w:val="22"/>
        </w:rPr>
        <w:t>REGISTRO PRESUPUESTARIO:</w:t>
      </w:r>
    </w:p>
    <w:p w:rsidR="005B5F6D" w:rsidRPr="00D83E92" w:rsidRDefault="00DF0D09">
      <w:pPr>
        <w:pStyle w:val="Prrafodelista"/>
        <w:tabs>
          <w:tab w:val="left" w:pos="993"/>
        </w:tabs>
        <w:spacing w:before="240" w:after="240" w:line="276" w:lineRule="auto"/>
        <w:ind w:left="1134" w:right="900"/>
        <w:jc w:val="both"/>
        <w:rPr>
          <w:rFonts w:ascii="Palatino Linotype" w:hAnsi="Palatino Linotype" w:cs="Tahoma"/>
          <w:bCs/>
          <w:i/>
          <w:iCs/>
          <w:sz w:val="22"/>
        </w:rPr>
      </w:pPr>
      <w:r w:rsidRPr="00D83E92">
        <w:rPr>
          <w:rFonts w:ascii="Palatino Linotype" w:hAnsi="Palatino Linotype" w:cs="Tahoma"/>
          <w:bCs/>
          <w:i/>
          <w:iCs/>
          <w:sz w:val="22"/>
        </w:rPr>
        <w:t>Asiento contable de las erogaciones realizadas por las dependencias y entidades con relación a la asignación, modificación y ejercicio de los recursos presupuestarios que se les hayan autorizado.”</w:t>
      </w:r>
    </w:p>
    <w:p w:rsidR="005B5F6D" w:rsidRPr="00D83E92" w:rsidRDefault="005B5F6D">
      <w:pPr>
        <w:pStyle w:val="Prrafodelista"/>
        <w:tabs>
          <w:tab w:val="left" w:pos="993"/>
        </w:tabs>
        <w:spacing w:before="240" w:after="240" w:line="276" w:lineRule="auto"/>
        <w:ind w:left="1134" w:right="900"/>
        <w:jc w:val="both"/>
        <w:rPr>
          <w:rFonts w:ascii="Palatino Linotype" w:hAnsi="Palatino Linotype" w:cs="Tahoma"/>
          <w:bCs/>
          <w:i/>
          <w:iCs/>
          <w:sz w:val="22"/>
        </w:rPr>
      </w:pPr>
    </w:p>
    <w:p w:rsidR="005B5F6D" w:rsidRPr="00D83E92" w:rsidRDefault="00DF0D09">
      <w:pPr>
        <w:numPr>
          <w:ilvl w:val="0"/>
          <w:numId w:val="1"/>
        </w:numPr>
        <w:spacing w:line="360" w:lineRule="auto"/>
        <w:ind w:left="0" w:firstLine="0"/>
        <w:jc w:val="both"/>
        <w:rPr>
          <w:rFonts w:ascii="Palatino Linotype" w:hAnsi="Palatino Linotype" w:cs="Tahoma"/>
          <w:bCs/>
          <w:iCs/>
        </w:rPr>
      </w:pPr>
      <w:r w:rsidRPr="00D83E92">
        <w:rPr>
          <w:rFonts w:ascii="Palatino Linotype" w:hAnsi="Palatino Linotype"/>
          <w:color w:val="000000" w:themeColor="text1"/>
        </w:rPr>
        <w:t xml:space="preserve">Por </w:t>
      </w:r>
      <w:r w:rsidRPr="00D83E92">
        <w:rPr>
          <w:rFonts w:ascii="Palatino Linotype" w:eastAsia="Calibri" w:hAnsi="Palatino Linotype" w:cs="Arial"/>
          <w:bCs/>
          <w:lang w:eastAsia="en-US"/>
        </w:rPr>
        <w:t>otra parte, se establece que el sistema de contabilidad sobre base acumulativa total se sustentará en los principios de contabilidad gubernamental.</w:t>
      </w:r>
    </w:p>
    <w:p w:rsidR="005B5F6D" w:rsidRPr="00D83E92" w:rsidRDefault="005B5F6D">
      <w:pPr>
        <w:spacing w:line="360" w:lineRule="auto"/>
        <w:jc w:val="both"/>
        <w:rPr>
          <w:rFonts w:ascii="Palatino Linotype" w:hAnsi="Palatino Linotype" w:cs="Tahoma"/>
          <w:bCs/>
          <w:iCs/>
        </w:rPr>
      </w:pPr>
    </w:p>
    <w:p w:rsidR="005B5F6D" w:rsidRPr="00D83E92" w:rsidRDefault="00DF0D09">
      <w:pPr>
        <w:numPr>
          <w:ilvl w:val="0"/>
          <w:numId w:val="1"/>
        </w:numPr>
        <w:spacing w:line="360" w:lineRule="auto"/>
        <w:ind w:left="0" w:firstLine="0"/>
        <w:jc w:val="both"/>
        <w:rPr>
          <w:rFonts w:ascii="Palatino Linotype" w:hAnsi="Palatino Linotype" w:cs="Tahoma"/>
          <w:bCs/>
          <w:iCs/>
        </w:rPr>
      </w:pPr>
      <w:r w:rsidRPr="00D83E92">
        <w:rPr>
          <w:rFonts w:ascii="Palatino Linotype" w:hAnsi="Palatino Linotype"/>
          <w:color w:val="000000" w:themeColor="text1"/>
        </w:rPr>
        <w:t xml:space="preserve">Igualmente, </w:t>
      </w:r>
      <w:r w:rsidRPr="00D83E92">
        <w:rPr>
          <w:rFonts w:ascii="Palatino Linotype" w:eastAsia="Calibri" w:hAnsi="Palatino Linotype" w:cs="Arial"/>
          <w:bCs/>
          <w:lang w:eastAsia="en-US"/>
        </w:rPr>
        <w:t>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w:t>
      </w:r>
    </w:p>
    <w:p w:rsidR="005B5F6D" w:rsidRPr="00D83E92" w:rsidRDefault="005B5F6D">
      <w:pPr>
        <w:pStyle w:val="Prrafodelista"/>
        <w:tabs>
          <w:tab w:val="left" w:pos="426"/>
        </w:tabs>
        <w:spacing w:line="360" w:lineRule="auto"/>
        <w:ind w:left="0" w:right="51"/>
        <w:jc w:val="both"/>
        <w:outlineLvl w:val="2"/>
        <w:rPr>
          <w:rFonts w:ascii="Palatino Linotype" w:hAnsi="Palatino Linotype" w:cs="Tahoma"/>
          <w:bCs/>
          <w:iCs/>
        </w:rPr>
      </w:pPr>
    </w:p>
    <w:p w:rsidR="005B5F6D" w:rsidRPr="00D83E92" w:rsidRDefault="00DF0D09">
      <w:pPr>
        <w:pStyle w:val="Prrafodelista"/>
        <w:tabs>
          <w:tab w:val="left" w:pos="426"/>
        </w:tabs>
        <w:spacing w:before="240" w:after="240" w:line="360" w:lineRule="auto"/>
        <w:ind w:left="0" w:right="51"/>
        <w:jc w:val="both"/>
        <w:outlineLvl w:val="2"/>
        <w:rPr>
          <w:rFonts w:ascii="Palatino Linotype" w:hAnsi="Palatino Linotype" w:cs="Tahoma"/>
          <w:b/>
          <w:bCs/>
          <w:iCs/>
        </w:rPr>
      </w:pPr>
      <w:r w:rsidRPr="00D83E92">
        <w:rPr>
          <w:rFonts w:ascii="Palatino Linotype" w:hAnsi="Palatino Linotype" w:cs="Tahoma"/>
          <w:b/>
          <w:bCs/>
          <w:iCs/>
        </w:rPr>
        <w:t>Del ineludible deber del SUJETO OBLIGADO de asegurar el secreto fiscal de los contribuyentes.</w:t>
      </w:r>
    </w:p>
    <w:p w:rsidR="005B5F6D" w:rsidRPr="00D83E92" w:rsidRDefault="005B5F6D">
      <w:pPr>
        <w:pStyle w:val="Prrafodelista"/>
        <w:tabs>
          <w:tab w:val="left" w:pos="426"/>
        </w:tabs>
        <w:spacing w:line="360" w:lineRule="auto"/>
        <w:ind w:left="0" w:right="51"/>
        <w:jc w:val="both"/>
        <w:rPr>
          <w:rFonts w:ascii="Palatino Linotype" w:hAnsi="Palatino Linotype" w:cs="Tahoma"/>
          <w:bCs/>
          <w:iCs/>
        </w:rPr>
      </w:pPr>
    </w:p>
    <w:p w:rsidR="005B5F6D" w:rsidRPr="00D83E92" w:rsidRDefault="00DF0D09">
      <w:pPr>
        <w:numPr>
          <w:ilvl w:val="0"/>
          <w:numId w:val="1"/>
        </w:numPr>
        <w:spacing w:line="360" w:lineRule="auto"/>
        <w:ind w:left="0" w:firstLine="0"/>
        <w:jc w:val="both"/>
        <w:rPr>
          <w:rFonts w:ascii="Palatino Linotype" w:hAnsi="Palatino Linotype" w:cs="Arial"/>
          <w:sz w:val="28"/>
        </w:rPr>
      </w:pPr>
      <w:r w:rsidRPr="00D83E92">
        <w:rPr>
          <w:rFonts w:ascii="Palatino Linotype" w:eastAsia="MS Gothic" w:hAnsi="Palatino Linotype"/>
          <w:szCs w:val="26"/>
        </w:rPr>
        <w:t>E</w:t>
      </w:r>
      <w:r w:rsidRPr="00D83E92">
        <w:rPr>
          <w:rFonts w:ascii="Palatino Linotype" w:hAnsi="Palatino Linotype" w:cs="Arial"/>
          <w:szCs w:val="28"/>
        </w:rPr>
        <w:t xml:space="preserve">l artículo </w:t>
      </w:r>
      <w:r w:rsidRPr="00D83E92">
        <w:rPr>
          <w:rFonts w:ascii="Palatino Linotype" w:eastAsia="Calibri" w:hAnsi="Palatino Linotype" w:cs="Tahoma"/>
          <w:bCs/>
          <w:lang w:eastAsia="en-US"/>
        </w:rPr>
        <w:t xml:space="preserve">55 del Código Financiero del Estado de México y Municipios establece que </w:t>
      </w:r>
      <w:r w:rsidRPr="00D83E92">
        <w:rPr>
          <w:rFonts w:ascii="Palatino Linotype" w:eastAsia="Calibri" w:hAnsi="Palatino Linotype" w:cs="Tahoma"/>
          <w:b/>
          <w:bCs/>
          <w:lang w:eastAsia="en-US"/>
        </w:rPr>
        <w:t>el Ayuntamiento está obligado a guardar absoluta reserva o confidencialidad, respecto de las declaraciones y datos que proporcionen los particulares o terceros relacionados con ellos</w:t>
      </w:r>
      <w:r w:rsidRPr="00D83E92">
        <w:rPr>
          <w:rFonts w:ascii="Palatino Linotype" w:eastAsia="Calibri" w:hAnsi="Palatino Linotype" w:cs="Tahoma"/>
          <w:bCs/>
          <w:lang w:eastAsia="en-US"/>
        </w:rPr>
        <w:t>, así como los obtenidos en el ejercicio de las facultades de comprobación.</w:t>
      </w:r>
    </w:p>
    <w:p w:rsidR="005B5F6D" w:rsidRPr="00D83E92" w:rsidRDefault="005B5F6D">
      <w:pPr>
        <w:spacing w:line="360" w:lineRule="auto"/>
        <w:jc w:val="both"/>
        <w:rPr>
          <w:rFonts w:ascii="Palatino Linotype" w:hAnsi="Palatino Linotype" w:cs="Arial"/>
          <w:sz w:val="28"/>
        </w:rPr>
      </w:pPr>
    </w:p>
    <w:p w:rsidR="005B5F6D" w:rsidRPr="00D83E92" w:rsidRDefault="00DF0D09">
      <w:pPr>
        <w:numPr>
          <w:ilvl w:val="0"/>
          <w:numId w:val="1"/>
        </w:numPr>
        <w:spacing w:line="360" w:lineRule="auto"/>
        <w:ind w:left="0" w:firstLine="0"/>
        <w:jc w:val="both"/>
        <w:rPr>
          <w:rFonts w:ascii="Palatino Linotype" w:hAnsi="Palatino Linotype"/>
          <w:color w:val="000000" w:themeColor="text1"/>
        </w:rPr>
      </w:pPr>
      <w:r w:rsidRPr="00D83E92">
        <w:rPr>
          <w:rFonts w:ascii="Palatino Linotype" w:eastAsia="Calibri" w:hAnsi="Palatino Linotype" w:cs="Tahoma"/>
          <w:bCs/>
          <w:lang w:eastAsia="en-US"/>
        </w:rPr>
        <w:t xml:space="preserve">Por su parte el artículo 143, fracción II, de la Ley de Transparencia y Acceso a la Información Pública del Estado de México y Municipios, dispone que se considera información confidencial, </w:t>
      </w:r>
      <w:r w:rsidRPr="00D83E92">
        <w:rPr>
          <w:rFonts w:ascii="Palatino Linotype" w:eastAsia="Calibri" w:hAnsi="Palatino Linotype" w:cs="Tahoma"/>
          <w:b/>
          <w:bCs/>
          <w:lang w:eastAsia="en-US"/>
        </w:rPr>
        <w:t xml:space="preserve">los secretos </w:t>
      </w:r>
      <w:r w:rsidRPr="00D83E92">
        <w:rPr>
          <w:rFonts w:ascii="Palatino Linotype" w:eastAsia="Calibri" w:hAnsi="Palatino Linotype" w:cs="Tahoma"/>
          <w:bCs/>
          <w:lang w:eastAsia="en-US"/>
        </w:rPr>
        <w:t xml:space="preserve">bancario, fiduciario, industrial, comercial, </w:t>
      </w:r>
      <w:r w:rsidRPr="00D83E92">
        <w:rPr>
          <w:rFonts w:ascii="Palatino Linotype" w:eastAsia="Calibri" w:hAnsi="Palatino Linotype" w:cs="Tahoma"/>
          <w:b/>
          <w:bCs/>
          <w:lang w:eastAsia="en-US"/>
        </w:rPr>
        <w:t>fiscal</w:t>
      </w:r>
      <w:r w:rsidRPr="00D83E92">
        <w:rPr>
          <w:rFonts w:ascii="Palatino Linotype" w:eastAsia="Calibri" w:hAnsi="Palatino Linotype" w:cs="Tahoma"/>
          <w:bCs/>
          <w:lang w:eastAsia="en-US"/>
        </w:rPr>
        <w:t xml:space="preserve">, bursátil y postal, </w:t>
      </w:r>
      <w:r w:rsidRPr="00D83E92">
        <w:rPr>
          <w:rFonts w:ascii="Palatino Linotype" w:eastAsia="Calibri" w:hAnsi="Palatino Linotype" w:cs="Tahoma"/>
          <w:b/>
          <w:bCs/>
          <w:lang w:eastAsia="en-US"/>
        </w:rPr>
        <w:t>cuya titularidad corresponda a particulares</w:t>
      </w:r>
      <w:r w:rsidRPr="00D83E92">
        <w:rPr>
          <w:rFonts w:ascii="Palatino Linotype" w:eastAsia="Calibri" w:hAnsi="Palatino Linotype" w:cs="Tahoma"/>
          <w:bCs/>
          <w:lang w:eastAsia="en-US"/>
        </w:rPr>
        <w:t xml:space="preserve">, sujetos de derecho </w:t>
      </w:r>
      <w:r w:rsidRPr="00D83E92">
        <w:rPr>
          <w:rFonts w:ascii="Palatino Linotype" w:eastAsia="Calibri" w:hAnsi="Palatino Linotype" w:cs="Tahoma"/>
          <w:bCs/>
          <w:lang w:eastAsia="en-US"/>
        </w:rPr>
        <w:lastRenderedPageBreak/>
        <w:t>internacional o a sujetos obligados cuando no involucren el ejercicio de recursos públicos.</w:t>
      </w:r>
    </w:p>
    <w:p w:rsidR="005B5F6D" w:rsidRPr="00D83E92" w:rsidRDefault="005B5F6D">
      <w:pPr>
        <w:pStyle w:val="Prrafodelista"/>
        <w:tabs>
          <w:tab w:val="left" w:pos="426"/>
        </w:tabs>
        <w:spacing w:line="360" w:lineRule="auto"/>
        <w:ind w:left="0" w:right="49"/>
        <w:jc w:val="both"/>
        <w:rPr>
          <w:rFonts w:ascii="Palatino Linotype" w:hAnsi="Palatino Linotype"/>
          <w:color w:val="000000" w:themeColor="text1"/>
        </w:rPr>
      </w:pPr>
    </w:p>
    <w:p w:rsidR="005B5F6D" w:rsidRPr="00D83E92" w:rsidRDefault="00DF0D09">
      <w:pPr>
        <w:numPr>
          <w:ilvl w:val="0"/>
          <w:numId w:val="1"/>
        </w:numPr>
        <w:spacing w:line="360" w:lineRule="auto"/>
        <w:ind w:left="0" w:firstLine="0"/>
        <w:jc w:val="both"/>
        <w:rPr>
          <w:rFonts w:ascii="Palatino Linotype" w:eastAsia="Calibri" w:hAnsi="Palatino Linotype" w:cs="Tahoma"/>
          <w:bCs/>
          <w:lang w:eastAsia="en-US"/>
        </w:rPr>
      </w:pPr>
      <w:r w:rsidRPr="00D83E92">
        <w:rPr>
          <w:rFonts w:ascii="Palatino Linotype" w:eastAsia="MS Gothic" w:hAnsi="Palatino Linotype"/>
          <w:szCs w:val="26"/>
        </w:rPr>
        <w:t xml:space="preserve">En </w:t>
      </w:r>
      <w:r w:rsidRPr="00D83E92">
        <w:rPr>
          <w:rFonts w:ascii="Palatino Linotype" w:eastAsia="Calibri" w:hAnsi="Palatino Linotype" w:cs="Tahoma"/>
          <w:bCs/>
          <w:lang w:eastAsia="en-US"/>
        </w:rPr>
        <w:t>este orden de ideas, en términos del Cuadragésimo quinto de los Lineamientos Generales en Materia de Clasificación y Desclasificación de la Información, así como para la Elaboración de Versiones Públicas, para clasificar la información por secreto fiscal, se deberá acreditar que se trata de información tributaria, declaraciones y/o datos suministrados por los contribuyentes o aquellos obtenidos por la autoridad fiscal en el ejercicio de sus facultades de comprobación.</w:t>
      </w:r>
    </w:p>
    <w:p w:rsidR="005B5F6D" w:rsidRPr="00D83E92" w:rsidRDefault="005B5F6D">
      <w:pPr>
        <w:pStyle w:val="Prrafodelista"/>
        <w:spacing w:line="360" w:lineRule="auto"/>
        <w:ind w:left="0"/>
        <w:jc w:val="both"/>
        <w:rPr>
          <w:rFonts w:ascii="Palatino Linotype" w:eastAsia="Calibri" w:hAnsi="Palatino Linotype" w:cs="Tahoma"/>
          <w:bCs/>
          <w:lang w:eastAsia="en-US"/>
        </w:rPr>
      </w:pPr>
    </w:p>
    <w:p w:rsidR="005B5F6D" w:rsidRPr="00D83E92" w:rsidRDefault="00DF0D09">
      <w:pPr>
        <w:numPr>
          <w:ilvl w:val="0"/>
          <w:numId w:val="1"/>
        </w:numPr>
        <w:spacing w:line="360" w:lineRule="auto"/>
        <w:ind w:left="0" w:firstLine="0"/>
        <w:jc w:val="both"/>
        <w:rPr>
          <w:rFonts w:ascii="Palatino Linotype" w:eastAsia="Calibri" w:hAnsi="Palatino Linotype" w:cs="Tahoma"/>
          <w:bCs/>
          <w:lang w:eastAsia="en-US"/>
        </w:rPr>
      </w:pPr>
      <w:r w:rsidRPr="00D83E92">
        <w:rPr>
          <w:rFonts w:ascii="Palatino Linotype" w:eastAsia="Calibri" w:hAnsi="Palatino Linotype" w:cs="Tahoma"/>
          <w:bCs/>
          <w:lang w:eastAsia="en-US"/>
        </w:rPr>
        <w:t>Así, las autoridades municipales, en su carácter de autoridad fiscal, tienen la facultad de clasificar la información obtenida en virtud de los diversos trámites relativos al cobro de contribuciones, como es el caso de impuestos, así como de aquella relacionada con el ejercicio de sus atribuciones de comprobación.</w:t>
      </w:r>
    </w:p>
    <w:p w:rsidR="005B5F6D" w:rsidRPr="00D83E92" w:rsidRDefault="005B5F6D">
      <w:pPr>
        <w:pStyle w:val="Prrafodelista"/>
        <w:spacing w:line="360" w:lineRule="auto"/>
        <w:ind w:left="0"/>
        <w:jc w:val="both"/>
        <w:rPr>
          <w:rFonts w:ascii="Palatino Linotype" w:eastAsia="Calibri" w:hAnsi="Palatino Linotype" w:cs="Tahoma"/>
          <w:bCs/>
          <w:lang w:eastAsia="en-US"/>
        </w:rPr>
      </w:pPr>
    </w:p>
    <w:p w:rsidR="005B5F6D" w:rsidRPr="00D83E92" w:rsidRDefault="00DF0D09">
      <w:pPr>
        <w:numPr>
          <w:ilvl w:val="0"/>
          <w:numId w:val="1"/>
        </w:numPr>
        <w:spacing w:line="360" w:lineRule="auto"/>
        <w:ind w:left="0" w:firstLine="0"/>
        <w:jc w:val="both"/>
        <w:rPr>
          <w:rFonts w:ascii="Palatino Linotype" w:eastAsia="Calibri" w:hAnsi="Palatino Linotype" w:cs="Tahoma"/>
          <w:bCs/>
          <w:lang w:eastAsia="en-US"/>
        </w:rPr>
      </w:pPr>
      <w:r w:rsidRPr="00D83E92">
        <w:rPr>
          <w:rFonts w:ascii="Palatino Linotype" w:eastAsia="Calibri" w:hAnsi="Palatino Linotype" w:cs="Tahoma"/>
          <w:bCs/>
          <w:lang w:eastAsia="en-US"/>
        </w:rPr>
        <w:t xml:space="preserve">Dada la naturaleza de la información relacionada con el pago de contribuciones, </w:t>
      </w:r>
      <w:r w:rsidRPr="00D83E92">
        <w:rPr>
          <w:rFonts w:ascii="Palatino Linotype" w:eastAsia="Calibri" w:hAnsi="Palatino Linotype" w:cs="Tahoma"/>
          <w:b/>
          <w:bCs/>
          <w:lang w:eastAsia="en-US"/>
        </w:rPr>
        <w:t>ésta no está sujeta a temporalidad alguna de clasificación y únicamente pueden tener acceso a ella los titulares de la misma, sus representantes legales y los servidores públicos facultados para ello</w:t>
      </w:r>
      <w:r w:rsidRPr="00D83E92">
        <w:rPr>
          <w:rFonts w:ascii="Palatino Linotype" w:eastAsia="Calibri" w:hAnsi="Palatino Linotype" w:cs="Tahoma"/>
          <w:bCs/>
          <w:lang w:eastAsia="en-US"/>
        </w:rPr>
        <w:t>, por lo que no procede su entrega vía una solicitud de acceso a información pública, ya que al no existir ejercicio de recursos públicos, este tipo de información no reviste un interés público, por el contrario entra dentro del aspecto privado de las personas físicas o jurídico-colectivas, pues la clasificación de la misma no se da en función del tipo de propietario sino de la naturaleza fiscal de la información.</w:t>
      </w:r>
    </w:p>
    <w:p w:rsidR="005B5F6D" w:rsidRPr="00D83E92" w:rsidRDefault="005B5F6D">
      <w:pPr>
        <w:pStyle w:val="Prrafodelista"/>
        <w:spacing w:line="360" w:lineRule="auto"/>
        <w:ind w:left="0"/>
        <w:jc w:val="both"/>
        <w:rPr>
          <w:rFonts w:ascii="Palatino Linotype" w:eastAsia="Calibri" w:hAnsi="Palatino Linotype" w:cs="Tahoma"/>
          <w:bCs/>
          <w:lang w:eastAsia="en-US"/>
        </w:rPr>
      </w:pPr>
    </w:p>
    <w:p w:rsidR="005B5F6D" w:rsidRPr="00D83E92" w:rsidRDefault="00DF0D09">
      <w:pPr>
        <w:numPr>
          <w:ilvl w:val="0"/>
          <w:numId w:val="1"/>
        </w:numPr>
        <w:spacing w:line="360" w:lineRule="auto"/>
        <w:ind w:left="0" w:firstLine="0"/>
        <w:jc w:val="both"/>
        <w:rPr>
          <w:rFonts w:ascii="Palatino Linotype" w:eastAsia="Calibri" w:hAnsi="Palatino Linotype" w:cs="Tahoma"/>
          <w:bCs/>
          <w:lang w:eastAsia="en-US"/>
        </w:rPr>
      </w:pPr>
      <w:r w:rsidRPr="00D83E92">
        <w:rPr>
          <w:rFonts w:ascii="Palatino Linotype" w:eastAsia="Calibri" w:hAnsi="Palatino Linotype" w:cs="Tahoma"/>
          <w:bCs/>
          <w:lang w:eastAsia="en-US"/>
        </w:rPr>
        <w:lastRenderedPageBreak/>
        <w:t xml:space="preserve">De igual forma, los Sujetos Obligados que se constituyan como contribuyentes o como autoridades en materia tributaria no podrán clasificar la información relativa al cumplimiento de sus obligaciones fiscales en ejercicio de recursos públicos como secreto fiscal, tal y como lo prevé la Ley de la materia, al excluir de manera clara la posibilidad de clasificar la información fiscal cuanto está relacionada con el ejercicio de recursos públicos. </w:t>
      </w:r>
    </w:p>
    <w:p w:rsidR="005B5F6D" w:rsidRPr="00D83E92" w:rsidRDefault="005B5F6D">
      <w:pPr>
        <w:pStyle w:val="Prrafodelista"/>
        <w:spacing w:line="360" w:lineRule="auto"/>
        <w:ind w:left="0"/>
        <w:jc w:val="both"/>
        <w:rPr>
          <w:rFonts w:ascii="Palatino Linotype" w:eastAsia="Calibri" w:hAnsi="Palatino Linotype" w:cs="Tahoma"/>
          <w:bCs/>
          <w:lang w:eastAsia="en-US"/>
        </w:rPr>
      </w:pPr>
    </w:p>
    <w:p w:rsidR="005B5F6D" w:rsidRPr="00D83E92" w:rsidRDefault="00DF0D09">
      <w:pPr>
        <w:numPr>
          <w:ilvl w:val="0"/>
          <w:numId w:val="1"/>
        </w:numPr>
        <w:spacing w:line="360" w:lineRule="auto"/>
        <w:ind w:left="0" w:firstLine="0"/>
        <w:jc w:val="both"/>
        <w:rPr>
          <w:rFonts w:ascii="Palatino Linotype" w:eastAsia="Calibri" w:hAnsi="Palatino Linotype" w:cs="Tahoma"/>
          <w:bCs/>
          <w:iCs/>
          <w:lang w:eastAsia="en-US"/>
        </w:rPr>
      </w:pPr>
      <w:r w:rsidRPr="00D83E92">
        <w:rPr>
          <w:rFonts w:ascii="Palatino Linotype" w:eastAsia="Calibri" w:hAnsi="Palatino Linotype" w:cs="Tahoma"/>
          <w:bCs/>
          <w:lang w:eastAsia="en-US"/>
        </w:rPr>
        <w:t>Sobre el particular, resulta aplicable la tesis aislada con número 1a.</w:t>
      </w:r>
      <w:r w:rsidRPr="00D83E92">
        <w:rPr>
          <w:rFonts w:ascii="Palatino Linotype" w:eastAsia="Calibri" w:hAnsi="Palatino Linotype" w:cs="Tahoma"/>
          <w:bCs/>
          <w:iCs/>
          <w:lang w:eastAsia="en-US"/>
        </w:rPr>
        <w:t xml:space="preserve"> CVII/2013 (10a.), emitida por la Primera Sala de la Suprema Corte de Justicia de la Nación, publicada en el Semanario Judicial de la Federación y su Gaceta, Libro XIX, Tomo 1, página 970, de abril de 2013, Décima Época, materia administrativa, de rubro y texto siguiente:</w:t>
      </w:r>
    </w:p>
    <w:p w:rsidR="005B5F6D" w:rsidRPr="00D83E92" w:rsidRDefault="005B5F6D">
      <w:pPr>
        <w:pStyle w:val="Prrafodelista"/>
        <w:spacing w:line="360" w:lineRule="auto"/>
        <w:ind w:left="644"/>
        <w:jc w:val="both"/>
        <w:rPr>
          <w:rFonts w:ascii="Palatino Linotype" w:eastAsia="Calibri" w:hAnsi="Palatino Linotype" w:cs="Tahoma"/>
          <w:bCs/>
          <w:iCs/>
          <w:lang w:eastAsia="en-US"/>
        </w:rPr>
      </w:pPr>
    </w:p>
    <w:p w:rsidR="005B5F6D" w:rsidRPr="00D83E92" w:rsidRDefault="00DF0D09">
      <w:pPr>
        <w:pStyle w:val="Prrafodelista"/>
        <w:spacing w:line="276" w:lineRule="auto"/>
        <w:ind w:left="851" w:right="822"/>
        <w:jc w:val="both"/>
        <w:rPr>
          <w:rFonts w:ascii="Palatino Linotype" w:eastAsia="Calibri" w:hAnsi="Palatino Linotype" w:cs="Tahoma"/>
          <w:bCs/>
          <w:i/>
          <w:iCs/>
          <w:sz w:val="22"/>
          <w:szCs w:val="22"/>
          <w:lang w:eastAsia="en-US"/>
        </w:rPr>
      </w:pPr>
      <w:r w:rsidRPr="00D83E92">
        <w:rPr>
          <w:rFonts w:ascii="Palatino Linotype" w:eastAsia="Calibri" w:hAnsi="Palatino Linotype" w:cs="Tahoma"/>
          <w:b/>
          <w:bCs/>
          <w:i/>
          <w:iCs/>
          <w:sz w:val="22"/>
          <w:szCs w:val="22"/>
          <w:lang w:eastAsia="en-US"/>
        </w:rPr>
        <w:t>SECRETO FISCAL. CONCEPTO DE. “</w:t>
      </w:r>
      <w:r w:rsidRPr="00D83E92">
        <w:rPr>
          <w:rFonts w:ascii="Palatino Linotype" w:eastAsia="Calibri" w:hAnsi="Palatino Linotype" w:cs="Tahoma"/>
          <w:bCs/>
          <w:i/>
          <w:iCs/>
          <w:sz w:val="22"/>
          <w:szCs w:val="22"/>
          <w:lang w:eastAsia="en-US"/>
        </w:rPr>
        <w:t>El artículo 69 del Código Fiscal de la Federación establece la obligación de reserva absoluta en lo concerniente a la información tributaria del contribuyente (declaraciones y datos suministrados por los contribuyentes o por terceros con ellos relacionados, así como los obtenidos en el ejercicio de las facultades de comprobación), a cargo del personal de la autoridad fiscal que intervenga en los trámites relativos a la aplicación de disposiciones fiscales. Así, en principio, dicha medida legislativa establece una concreta carga -de no hacer- impuesta al personal -servidores públicos- de la autoridad fiscal, consistente en que al aplicar las disposiciones fiscales no deben revelar de ninguna forma información tributaria de los contribuyentes. En esto precisamente, desde la perspectiva del derecho positivo, consiste el `secreto fiscal´. Por ende, la intervención legislativa por la cual se estableció el secreto fiscal no se encuentra diseñada normativamente como un principio o derecho fundamental, sino más bien como una regla-fin en los términos señalados. Pero la reserva del secreto fiscal no es absoluta, tal y como lo dispone el mismo artículo 69, con independencia de que en principio así se encuentre establecido textualmente, sino relativa al establecer dicho precepto distintas excepciones al respecto.”(Sic)</w:t>
      </w:r>
    </w:p>
    <w:p w:rsidR="005B5F6D" w:rsidRPr="00D83E92" w:rsidRDefault="005B5F6D">
      <w:pPr>
        <w:pStyle w:val="Prrafodelista"/>
        <w:spacing w:line="360" w:lineRule="auto"/>
        <w:ind w:left="644"/>
        <w:jc w:val="both"/>
        <w:rPr>
          <w:rFonts w:ascii="Palatino Linotype" w:eastAsia="Calibri" w:hAnsi="Palatino Linotype" w:cs="Tahoma"/>
          <w:bCs/>
          <w:iCs/>
          <w:lang w:eastAsia="en-US"/>
        </w:rPr>
      </w:pPr>
    </w:p>
    <w:p w:rsidR="005B5F6D" w:rsidRPr="00D83E92" w:rsidRDefault="00DF0D09">
      <w:pPr>
        <w:numPr>
          <w:ilvl w:val="0"/>
          <w:numId w:val="1"/>
        </w:numPr>
        <w:spacing w:line="360" w:lineRule="auto"/>
        <w:ind w:left="0" w:firstLine="0"/>
        <w:jc w:val="both"/>
        <w:rPr>
          <w:rFonts w:ascii="Palatino Linotype" w:hAnsi="Palatino Linotype"/>
          <w:color w:val="000000" w:themeColor="text1"/>
        </w:rPr>
      </w:pPr>
      <w:r w:rsidRPr="00D83E92">
        <w:rPr>
          <w:rFonts w:ascii="Palatino Linotype" w:eastAsia="Calibri" w:hAnsi="Palatino Linotype" w:cs="Tahoma"/>
          <w:bCs/>
          <w:iCs/>
          <w:lang w:eastAsia="en-US"/>
        </w:rPr>
        <w:t>Como se aprecia, el secreto fiscal consiste en la obligación de protección absoluta en lo concerniente a la información tributaria del contribuyente (declaraciones y datos suministrados por los contribuyentes o por terceros con ellos relacionados, así como los obtenidos en el ejercicio de las facultades de comprobación), a cargo del personal de la autoridad fiscal que intervenga en los trámites relativos a la aplicación de disposiciones fiscales.</w:t>
      </w:r>
    </w:p>
    <w:p w:rsidR="005B5F6D" w:rsidRPr="00D83E92" w:rsidRDefault="005B5F6D">
      <w:pPr>
        <w:pStyle w:val="Prrafodelista"/>
        <w:tabs>
          <w:tab w:val="left" w:pos="426"/>
        </w:tabs>
        <w:spacing w:line="360" w:lineRule="auto"/>
        <w:ind w:left="0" w:right="49"/>
        <w:jc w:val="both"/>
        <w:rPr>
          <w:rFonts w:ascii="Palatino Linotype" w:hAnsi="Palatino Linotype"/>
          <w:color w:val="000000" w:themeColor="text1"/>
        </w:rPr>
      </w:pPr>
    </w:p>
    <w:p w:rsidR="005B5F6D" w:rsidRPr="00D83E92" w:rsidRDefault="00DF0D09">
      <w:pPr>
        <w:numPr>
          <w:ilvl w:val="0"/>
          <w:numId w:val="1"/>
        </w:numPr>
        <w:spacing w:line="360" w:lineRule="auto"/>
        <w:ind w:left="0" w:firstLine="0"/>
        <w:jc w:val="both"/>
        <w:rPr>
          <w:rFonts w:ascii="Palatino Linotype" w:hAnsi="Palatino Linotype"/>
          <w:color w:val="000000" w:themeColor="text1"/>
        </w:rPr>
      </w:pPr>
      <w:r w:rsidRPr="00D83E92">
        <w:rPr>
          <w:rFonts w:ascii="Palatino Linotype" w:eastAsia="Calibri" w:hAnsi="Palatino Linotype" w:cs="Tahoma"/>
          <w:bCs/>
          <w:iCs/>
          <w:lang w:eastAsia="en-US"/>
        </w:rPr>
        <w:t xml:space="preserve">Lo cual, se traduce en una concreta carga de </w:t>
      </w:r>
      <w:r w:rsidRPr="00D83E92">
        <w:rPr>
          <w:rFonts w:ascii="Palatino Linotype" w:eastAsia="Calibri" w:hAnsi="Palatino Linotype" w:cs="Tahoma"/>
          <w:b/>
          <w:bCs/>
          <w:i/>
          <w:iCs/>
          <w:lang w:eastAsia="en-US"/>
        </w:rPr>
        <w:t>no hacer</w:t>
      </w:r>
      <w:r w:rsidRPr="00D83E92">
        <w:rPr>
          <w:rFonts w:ascii="Palatino Linotype" w:eastAsia="Calibri" w:hAnsi="Palatino Linotype" w:cs="Tahoma"/>
          <w:bCs/>
          <w:iCs/>
          <w:lang w:eastAsia="en-US"/>
        </w:rPr>
        <w:t xml:space="preserve"> impuesta a la autoridad fiscal, consistente en que </w:t>
      </w:r>
      <w:r w:rsidRPr="00D83E92">
        <w:rPr>
          <w:rFonts w:ascii="Palatino Linotype" w:eastAsia="Calibri" w:hAnsi="Palatino Linotype" w:cs="Tahoma"/>
          <w:b/>
          <w:bCs/>
          <w:iCs/>
          <w:lang w:eastAsia="en-US"/>
        </w:rPr>
        <w:t>al aplicar las disposiciones fiscales no deben revelar de ninguna forma información tributaria de los contribuyentes</w:t>
      </w:r>
      <w:r w:rsidRPr="00D83E92">
        <w:rPr>
          <w:rFonts w:ascii="Palatino Linotype" w:eastAsia="Calibri" w:hAnsi="Palatino Linotype" w:cs="Tahoma"/>
          <w:bCs/>
          <w:iCs/>
          <w:lang w:eastAsia="en-US"/>
        </w:rPr>
        <w:t xml:space="preserve">. Por lo cual, </w:t>
      </w:r>
      <w:r w:rsidRPr="00D83E92">
        <w:rPr>
          <w:rFonts w:ascii="Palatino Linotype" w:eastAsia="Calibri" w:hAnsi="Palatino Linotype" w:cs="Tahoma"/>
          <w:b/>
          <w:bCs/>
          <w:iCs/>
          <w:lang w:eastAsia="en-US"/>
        </w:rPr>
        <w:t>no procede la entrega de dicha información, toda vez que se trata de información de contribuyentes sobre la cual prevalece el secreto fiscal</w:t>
      </w:r>
      <w:r w:rsidRPr="00D83E92">
        <w:rPr>
          <w:rFonts w:ascii="Palatino Linotype" w:eastAsia="Calibri" w:hAnsi="Palatino Linotype" w:cs="Tahoma"/>
          <w:bCs/>
          <w:iCs/>
          <w:lang w:eastAsia="en-US"/>
        </w:rPr>
        <w:t>.</w:t>
      </w:r>
    </w:p>
    <w:p w:rsidR="005B5F6D" w:rsidRPr="00D83E92" w:rsidRDefault="005B5F6D">
      <w:pPr>
        <w:spacing w:line="360" w:lineRule="auto"/>
        <w:jc w:val="both"/>
        <w:rPr>
          <w:rFonts w:ascii="Palatino Linotype" w:hAnsi="Palatino Linotype"/>
        </w:rPr>
      </w:pPr>
    </w:p>
    <w:p w:rsidR="005B5F6D" w:rsidRPr="00D83E92" w:rsidRDefault="00DF0D09">
      <w:pPr>
        <w:numPr>
          <w:ilvl w:val="0"/>
          <w:numId w:val="1"/>
        </w:numPr>
        <w:spacing w:line="360" w:lineRule="auto"/>
        <w:ind w:left="0" w:firstLine="0"/>
        <w:jc w:val="both"/>
        <w:rPr>
          <w:rFonts w:ascii="Palatino Linotype" w:eastAsia="Palatino Linotype" w:hAnsi="Palatino Linotype" w:cs="Palatino Linotype"/>
          <w:szCs w:val="22"/>
        </w:rPr>
      </w:pPr>
      <w:r w:rsidRPr="00D83E92">
        <w:rPr>
          <w:rFonts w:ascii="Palatino Linotype" w:eastAsia="Palatino Linotype" w:hAnsi="Palatino Linotype" w:cs="Palatino Linotype"/>
          <w:szCs w:val="22"/>
        </w:rPr>
        <w:t xml:space="preserve">Agregando a lo anterior, podemos advertir que </w:t>
      </w:r>
      <w:r w:rsidRPr="00D83E92">
        <w:rPr>
          <w:rFonts w:ascii="Palatino Linotype" w:eastAsia="Palatino Linotype" w:hAnsi="Palatino Linotype" w:cs="Palatino Linotype"/>
          <w:b/>
          <w:szCs w:val="22"/>
        </w:rPr>
        <w:t xml:space="preserve">EL SUJETO OBLIGADO </w:t>
      </w:r>
      <w:r w:rsidRPr="00D83E92">
        <w:rPr>
          <w:rFonts w:ascii="Palatino Linotype" w:eastAsia="Palatino Linotype" w:hAnsi="Palatino Linotype" w:cs="Palatino Linotype"/>
          <w:szCs w:val="22"/>
        </w:rPr>
        <w:t xml:space="preserve">deberá seguir el procedimiento inmerso en la normatividad aplicable, turnando el requerimiento de información a las dependencias administrativas competentes, vigilando </w:t>
      </w:r>
      <w:r w:rsidRPr="00D83E92">
        <w:rPr>
          <w:rFonts w:ascii="Palatino Linotype" w:eastAsia="Palatino Linotype" w:hAnsi="Palatino Linotype" w:cs="Palatino Linotype"/>
          <w:bCs/>
          <w:szCs w:val="22"/>
        </w:rPr>
        <w:t>lo</w:t>
      </w:r>
      <w:r w:rsidRPr="00D83E92">
        <w:rPr>
          <w:rFonts w:ascii="Palatino Linotype" w:eastAsia="Palatino Linotype" w:hAnsi="Palatino Linotype" w:cs="Palatino Linotype"/>
          <w:szCs w:val="22"/>
        </w:rPr>
        <w:t xml:space="preserve"> establecido por el artículo 162 de la Ley de Transparencia y Acceso a la Información Pública del Estado de México y Municipios, al turnar la solicitud de información a las áreas en las que pudiera obrar la información de conformidad con la fracción XXXIX del artículo tercero de la legislación local vigente en materia de transparencia:</w:t>
      </w:r>
    </w:p>
    <w:p w:rsidR="005B5F6D" w:rsidRPr="00D83E92" w:rsidRDefault="005B5F6D">
      <w:pPr>
        <w:spacing w:line="360" w:lineRule="auto"/>
        <w:jc w:val="both"/>
        <w:rPr>
          <w:rFonts w:ascii="Palatino Linotype" w:eastAsia="Palatino Linotype" w:hAnsi="Palatino Linotype" w:cs="Palatino Linotype"/>
          <w:szCs w:val="22"/>
        </w:rPr>
      </w:pPr>
    </w:p>
    <w:p w:rsidR="005B5F6D" w:rsidRPr="00D83E92" w:rsidRDefault="00DF0D09">
      <w:pPr>
        <w:ind w:left="1134" w:right="902"/>
        <w:jc w:val="both"/>
        <w:rPr>
          <w:rFonts w:ascii="Palatino Linotype" w:eastAsia="Palatino Linotype" w:hAnsi="Palatino Linotype" w:cs="Palatino Linotype"/>
          <w:bCs/>
          <w:i/>
          <w:sz w:val="22"/>
          <w:szCs w:val="22"/>
        </w:rPr>
      </w:pPr>
      <w:r w:rsidRPr="00D83E92">
        <w:rPr>
          <w:rFonts w:ascii="Palatino Linotype" w:eastAsia="Palatino Linotype" w:hAnsi="Palatino Linotype" w:cs="Palatino Linotype"/>
          <w:b/>
          <w:i/>
          <w:sz w:val="22"/>
          <w:szCs w:val="22"/>
        </w:rPr>
        <w:t>XXXIX.</w:t>
      </w:r>
      <w:r w:rsidRPr="00D83E92">
        <w:rPr>
          <w:rFonts w:ascii="Palatino Linotype" w:eastAsia="Palatino Linotype" w:hAnsi="Palatino Linotype" w:cs="Palatino Linotype"/>
          <w:i/>
          <w:sz w:val="22"/>
          <w:szCs w:val="22"/>
        </w:rPr>
        <w:t xml:space="preserve"> </w:t>
      </w:r>
      <w:r w:rsidRPr="00D83E92">
        <w:rPr>
          <w:rFonts w:ascii="Palatino Linotype" w:eastAsia="Palatino Linotype" w:hAnsi="Palatino Linotype" w:cs="Palatino Linotype"/>
          <w:b/>
          <w:i/>
          <w:sz w:val="22"/>
          <w:szCs w:val="22"/>
        </w:rPr>
        <w:t>Servidor público habilitado</w:t>
      </w:r>
      <w:r w:rsidRPr="00D83E92">
        <w:rPr>
          <w:rFonts w:ascii="Palatino Linotype" w:eastAsia="Palatino Linotype" w:hAnsi="Palatino Linotype" w:cs="Palatino Linotype"/>
          <w:i/>
          <w:sz w:val="22"/>
          <w:szCs w:val="22"/>
        </w:rPr>
        <w:t xml:space="preserve">: Persona encargada dentro de las diversas unidades administrativas o áreas del sujeto obligado, de apoyar, gestionar y entregar la información o datos personales que se ubiquen en la </w:t>
      </w:r>
      <w:r w:rsidRPr="00D83E92">
        <w:rPr>
          <w:rFonts w:ascii="Palatino Linotype" w:eastAsia="Palatino Linotype" w:hAnsi="Palatino Linotype" w:cs="Palatino Linotype"/>
          <w:i/>
          <w:sz w:val="22"/>
          <w:szCs w:val="22"/>
        </w:rPr>
        <w:lastRenderedPageBreak/>
        <w:t>misma, a sus respectivas unidades de transparencia; respecto de las solicitudes presentadas y aportar en primera instancia el fundamento y motivación de la clasificación de la información.</w:t>
      </w:r>
    </w:p>
    <w:p w:rsidR="005B5F6D" w:rsidRPr="00D83E92" w:rsidRDefault="005B5F6D">
      <w:pPr>
        <w:spacing w:line="360" w:lineRule="auto"/>
        <w:jc w:val="both"/>
        <w:rPr>
          <w:rFonts w:ascii="Palatino Linotype" w:eastAsia="Palatino Linotype" w:hAnsi="Palatino Linotype" w:cs="Palatino Linotype"/>
          <w:bCs/>
          <w:szCs w:val="22"/>
        </w:rPr>
      </w:pPr>
    </w:p>
    <w:p w:rsidR="005B5F6D" w:rsidRPr="00D83E92" w:rsidRDefault="00DF0D09">
      <w:pPr>
        <w:numPr>
          <w:ilvl w:val="0"/>
          <w:numId w:val="1"/>
        </w:numPr>
        <w:spacing w:line="360" w:lineRule="auto"/>
        <w:ind w:left="0" w:firstLine="0"/>
        <w:jc w:val="both"/>
        <w:rPr>
          <w:rFonts w:ascii="Palatino Linotype" w:eastAsia="Palatino Linotype" w:hAnsi="Palatino Linotype" w:cs="Palatino Linotype"/>
          <w:szCs w:val="22"/>
        </w:rPr>
      </w:pPr>
      <w:r w:rsidRPr="00D83E92">
        <w:rPr>
          <w:rFonts w:ascii="Palatino Linotype" w:eastAsia="Palatino Linotype" w:hAnsi="Palatino Linotype" w:cs="Palatino Linotype"/>
          <w:szCs w:val="22"/>
        </w:rPr>
        <w:t xml:space="preserve">Es así que, resulta necesario traer a colación lo que señala el Criterio 02/17 emitido por el Instituto Nacional de Transparencia, Acceso a la Información y Protección de Datos Personales el cual establece lo siguiente: </w:t>
      </w:r>
    </w:p>
    <w:p w:rsidR="005B5F6D" w:rsidRPr="00D83E92" w:rsidRDefault="005B5F6D">
      <w:pPr>
        <w:pStyle w:val="Prrafodelista"/>
        <w:spacing w:line="360" w:lineRule="auto"/>
        <w:ind w:left="0"/>
        <w:jc w:val="both"/>
        <w:rPr>
          <w:rFonts w:ascii="Palatino Linotype" w:eastAsia="Palatino Linotype" w:hAnsi="Palatino Linotype" w:cs="Palatino Linotype"/>
          <w:szCs w:val="22"/>
        </w:rPr>
      </w:pPr>
    </w:p>
    <w:p w:rsidR="005B5F6D" w:rsidRPr="00D83E92" w:rsidRDefault="00DF0D09">
      <w:pPr>
        <w:pStyle w:val="Prrafodelista"/>
        <w:ind w:left="1134" w:right="900"/>
        <w:jc w:val="both"/>
        <w:rPr>
          <w:rFonts w:ascii="Palatino Linotype" w:eastAsia="Palatino Linotype" w:hAnsi="Palatino Linotype" w:cs="Palatino Linotype"/>
          <w:i/>
          <w:sz w:val="22"/>
          <w:szCs w:val="22"/>
        </w:rPr>
      </w:pPr>
      <w:r w:rsidRPr="00D83E92">
        <w:rPr>
          <w:rFonts w:ascii="Palatino Linotype" w:eastAsia="Palatino Linotype" w:hAnsi="Palatino Linotype" w:cs="Palatino Linotype"/>
          <w:b/>
          <w:i/>
          <w:sz w:val="22"/>
          <w:szCs w:val="22"/>
        </w:rPr>
        <w:t>Congruencia y exhaustividad</w:t>
      </w:r>
      <w:r w:rsidRPr="00D83E92">
        <w:rPr>
          <w:rFonts w:ascii="Palatino Linotype" w:eastAsia="Palatino Linotype" w:hAnsi="Palatino Linotype" w:cs="Palatino Linotype"/>
          <w:i/>
          <w:sz w:val="22"/>
          <w:szCs w:val="22"/>
        </w:rPr>
        <w:t xml:space="preserve">. Sus alcances para garantizar el derecho de acceso a la información.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 </w:t>
      </w:r>
    </w:p>
    <w:p w:rsidR="005B5F6D" w:rsidRPr="00D83E92" w:rsidRDefault="005B5F6D">
      <w:pPr>
        <w:pStyle w:val="Prrafodelista"/>
        <w:spacing w:line="360" w:lineRule="auto"/>
        <w:ind w:left="0"/>
        <w:jc w:val="both"/>
        <w:rPr>
          <w:rFonts w:ascii="Palatino Linotype" w:eastAsia="Palatino Linotype" w:hAnsi="Palatino Linotype" w:cs="Palatino Linotype"/>
          <w:szCs w:val="22"/>
        </w:rPr>
      </w:pPr>
    </w:p>
    <w:p w:rsidR="005B5F6D" w:rsidRPr="00D83E92" w:rsidRDefault="00DF0D09">
      <w:pPr>
        <w:numPr>
          <w:ilvl w:val="0"/>
          <w:numId w:val="1"/>
        </w:numPr>
        <w:spacing w:line="360" w:lineRule="auto"/>
        <w:ind w:left="0" w:firstLine="0"/>
        <w:jc w:val="both"/>
        <w:rPr>
          <w:rFonts w:ascii="Palatino Linotype" w:eastAsia="Palatino Linotype" w:hAnsi="Palatino Linotype" w:cs="Palatino Linotype"/>
          <w:szCs w:val="22"/>
        </w:rPr>
      </w:pPr>
      <w:r w:rsidRPr="00D83E92">
        <w:rPr>
          <w:rFonts w:ascii="Palatino Linotype" w:eastAsia="Palatino Linotype" w:hAnsi="Palatino Linotype" w:cs="Palatino Linotype"/>
          <w:szCs w:val="22"/>
        </w:rPr>
        <w:t xml:space="preserve">De esta manera, que los sujetos obligados para garantizar el derecho de acceso a la Información, deberán cumplir con los principios de exhaustividad y congruencia, esto es, que </w:t>
      </w:r>
      <w:r w:rsidRPr="00D83E92">
        <w:rPr>
          <w:rFonts w:ascii="Palatino Linotype" w:eastAsia="Palatino Linotype" w:hAnsi="Palatino Linotype" w:cs="Palatino Linotype"/>
          <w:b/>
          <w:szCs w:val="22"/>
        </w:rPr>
        <w:t>la congruencia implica que exista concordancia entre el requerimiento formulado por el particular y la respuesta proporcionada por el sujeto obligado</w:t>
      </w:r>
      <w:r w:rsidRPr="00D83E92">
        <w:rPr>
          <w:rFonts w:ascii="Palatino Linotype" w:eastAsia="Palatino Linotype" w:hAnsi="Palatino Linotype" w:cs="Palatino Linotype"/>
          <w:szCs w:val="22"/>
        </w:rPr>
        <w:t xml:space="preserve">, mientras que </w:t>
      </w:r>
      <w:r w:rsidRPr="00D83E92">
        <w:rPr>
          <w:rFonts w:ascii="Palatino Linotype" w:eastAsia="Palatino Linotype" w:hAnsi="Palatino Linotype" w:cs="Palatino Linotype"/>
          <w:b/>
          <w:szCs w:val="22"/>
        </w:rPr>
        <w:t>la exhaustividad establece que el sujeto obligado deberá atender de manera expresa cada uno de los puntos solicitados</w:t>
      </w:r>
      <w:r w:rsidRPr="00D83E92">
        <w:rPr>
          <w:rFonts w:ascii="Palatino Linotype" w:eastAsia="Palatino Linotype" w:hAnsi="Palatino Linotype" w:cs="Palatino Linotype"/>
          <w:szCs w:val="22"/>
        </w:rPr>
        <w:t>.</w:t>
      </w:r>
    </w:p>
    <w:p w:rsidR="005B5F6D" w:rsidRPr="00D83E92" w:rsidRDefault="005B5F6D">
      <w:pPr>
        <w:spacing w:line="360" w:lineRule="auto"/>
        <w:ind w:right="49"/>
        <w:contextualSpacing/>
        <w:jc w:val="both"/>
        <w:rPr>
          <w:rFonts w:ascii="Palatino Linotype" w:hAnsi="Palatino Linotype" w:cs="Arial"/>
          <w:b/>
          <w:color w:val="000000"/>
        </w:rPr>
      </w:pPr>
    </w:p>
    <w:p w:rsidR="005B5F6D" w:rsidRPr="00D83E92" w:rsidRDefault="00DF0D09">
      <w:pPr>
        <w:numPr>
          <w:ilvl w:val="0"/>
          <w:numId w:val="1"/>
        </w:numPr>
        <w:spacing w:line="360" w:lineRule="auto"/>
        <w:ind w:left="0" w:firstLine="0"/>
        <w:jc w:val="both"/>
        <w:rPr>
          <w:rFonts w:ascii="Palatino Linotype" w:eastAsia="MS Mincho" w:hAnsi="Palatino Linotype" w:cs="Arial"/>
          <w:b/>
        </w:rPr>
      </w:pPr>
      <w:r w:rsidRPr="00D83E92">
        <w:rPr>
          <w:rFonts w:ascii="Palatino Linotype" w:hAnsi="Palatino Linotype" w:cs="Arial"/>
        </w:rPr>
        <w:t xml:space="preserve">El procedimiento de acceso a la información pública, descrito en el Título Séptimo de la Ley de Transparencia describe los pasos que debe seguir la autoridad </w:t>
      </w:r>
      <w:r w:rsidRPr="00D83E92">
        <w:rPr>
          <w:rFonts w:ascii="Palatino Linotype" w:hAnsi="Palatino Linotype" w:cs="Arial"/>
        </w:rPr>
        <w:lastRenderedPageBreak/>
        <w:t>para atender las solicitudes que presenten las personas en ejercicio de su derecho, entre los cuales se encuentra el deber de las Unidades de Transparencia de turnar a todas las áreas competentes que cuenten con la información o deban tenerla de acuerdo a sus facultades, competencias y funciones, con el objeto de que realicen una búsqueda exhaustiva y razonable de la información solicitada, según se asienta en el artículo 162 de la ley citada.</w:t>
      </w:r>
    </w:p>
    <w:p w:rsidR="005B5F6D" w:rsidRPr="00D83E92" w:rsidRDefault="005B5F6D">
      <w:pPr>
        <w:spacing w:line="360" w:lineRule="auto"/>
        <w:ind w:right="49"/>
        <w:contextualSpacing/>
        <w:jc w:val="both"/>
        <w:rPr>
          <w:rFonts w:ascii="Palatino Linotype" w:eastAsia="MS Mincho" w:hAnsi="Palatino Linotype" w:cs="Arial"/>
          <w:b/>
        </w:rPr>
      </w:pPr>
    </w:p>
    <w:p w:rsidR="005B5F6D" w:rsidRPr="00D83E92" w:rsidRDefault="00DF0D09">
      <w:pPr>
        <w:ind w:left="1134" w:right="902"/>
        <w:contextualSpacing/>
        <w:jc w:val="both"/>
        <w:rPr>
          <w:rFonts w:ascii="Palatino Linotype" w:eastAsia="MS Mincho" w:hAnsi="Palatino Linotype" w:cs="Arial"/>
          <w:i/>
          <w:sz w:val="22"/>
          <w:szCs w:val="22"/>
        </w:rPr>
      </w:pPr>
      <w:r w:rsidRPr="00D83E92">
        <w:rPr>
          <w:rFonts w:ascii="Palatino Linotype" w:eastAsia="MS Mincho" w:hAnsi="Palatino Linotype" w:cs="Arial"/>
          <w:b/>
          <w:i/>
          <w:sz w:val="22"/>
          <w:szCs w:val="22"/>
        </w:rPr>
        <w:t>“Artículo 162.</w:t>
      </w:r>
      <w:r w:rsidRPr="00D83E92">
        <w:rPr>
          <w:rFonts w:ascii="Palatino Linotype" w:eastAsia="MS Mincho" w:hAnsi="Palatino Linotype" w:cs="Arial"/>
          <w:i/>
          <w:sz w:val="22"/>
          <w:szCs w:val="22"/>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5B5F6D" w:rsidRPr="00D83E92" w:rsidRDefault="005B5F6D">
      <w:pPr>
        <w:spacing w:line="360" w:lineRule="auto"/>
        <w:ind w:right="616"/>
        <w:contextualSpacing/>
        <w:jc w:val="both"/>
        <w:rPr>
          <w:rFonts w:ascii="Palatino Linotype" w:eastAsia="MS Mincho" w:hAnsi="Palatino Linotype" w:cs="Arial"/>
          <w:i/>
        </w:rPr>
      </w:pPr>
    </w:p>
    <w:p w:rsidR="005B5F6D" w:rsidRPr="00D83E92" w:rsidRDefault="00DF0D09">
      <w:pPr>
        <w:numPr>
          <w:ilvl w:val="0"/>
          <w:numId w:val="1"/>
        </w:numPr>
        <w:spacing w:line="360" w:lineRule="auto"/>
        <w:ind w:left="0" w:firstLine="0"/>
        <w:jc w:val="both"/>
        <w:rPr>
          <w:rFonts w:ascii="Palatino Linotype" w:hAnsi="Palatino Linotype" w:cs="Arial"/>
          <w:b/>
          <w:color w:val="000000"/>
        </w:rPr>
      </w:pPr>
      <w:r w:rsidRPr="00D83E92">
        <w:rPr>
          <w:rFonts w:ascii="Palatino Linotype" w:hAnsi="Palatino Linotype" w:cs="Arial"/>
        </w:rPr>
        <w:t>El buscar exhaustivamente en sus archivos, es identificar la unidad(s) administrativa(s) que resguarda el documento al que una persona pretende acceder, es practicar una adecuada gestión documental que nos permite localizar el documento, como bien señala el artículo 159, de la Ley de Transparencia, hay que derivado de lo establecido con antelación en la normatividad, se puede apreciar que si se debe de contar con la información solicitada.</w:t>
      </w:r>
    </w:p>
    <w:p w:rsidR="005B5F6D" w:rsidRPr="00D83E92" w:rsidRDefault="005B5F6D">
      <w:pPr>
        <w:spacing w:line="360" w:lineRule="auto"/>
        <w:jc w:val="both"/>
        <w:rPr>
          <w:rFonts w:ascii="Palatino Linotype" w:eastAsia="Palatino Linotype" w:hAnsi="Palatino Linotype" w:cs="Palatino Linotype"/>
          <w:szCs w:val="22"/>
        </w:rPr>
      </w:pPr>
    </w:p>
    <w:p w:rsidR="005B5F6D" w:rsidRPr="00D83E92" w:rsidRDefault="00DF0D09">
      <w:pPr>
        <w:numPr>
          <w:ilvl w:val="0"/>
          <w:numId w:val="1"/>
        </w:numPr>
        <w:spacing w:line="360" w:lineRule="auto"/>
        <w:ind w:left="0" w:firstLine="0"/>
        <w:jc w:val="both"/>
        <w:rPr>
          <w:rFonts w:ascii="Palatino Linotype" w:eastAsia="Palatino Linotype" w:hAnsi="Palatino Linotype" w:cs="Palatino Linotype"/>
          <w:szCs w:val="22"/>
        </w:rPr>
      </w:pPr>
      <w:r w:rsidRPr="00D83E92">
        <w:rPr>
          <w:rFonts w:ascii="Palatino Linotype" w:eastAsia="Palatino Linotype" w:hAnsi="Palatino Linotype" w:cs="Palatino Linotype"/>
          <w:szCs w:val="22"/>
        </w:rPr>
        <w:t>De lo anteriormente expuesto, se advierte que, el Sujeto Obligado cuenta con facultades, atribuciones y competencia para generar, administrar y poseer la información solicitada.</w:t>
      </w:r>
    </w:p>
    <w:p w:rsidR="005B5F6D" w:rsidRPr="00D83E92" w:rsidRDefault="005B5F6D">
      <w:pPr>
        <w:spacing w:line="360" w:lineRule="auto"/>
        <w:jc w:val="both"/>
        <w:rPr>
          <w:rFonts w:ascii="Palatino Linotype" w:hAnsi="Palatino Linotype"/>
        </w:rPr>
      </w:pPr>
    </w:p>
    <w:p w:rsidR="005B5F6D" w:rsidRPr="00D83E92" w:rsidRDefault="00DF0D09">
      <w:pPr>
        <w:numPr>
          <w:ilvl w:val="0"/>
          <w:numId w:val="1"/>
        </w:numPr>
        <w:spacing w:line="360" w:lineRule="auto"/>
        <w:ind w:left="0" w:firstLine="0"/>
        <w:jc w:val="both"/>
        <w:rPr>
          <w:rFonts w:ascii="Palatino Linotype" w:hAnsi="Palatino Linotype"/>
        </w:rPr>
      </w:pPr>
      <w:r w:rsidRPr="00D83E92">
        <w:rPr>
          <w:rFonts w:ascii="Palatino Linotype" w:hAnsi="Palatino Linotype"/>
        </w:rPr>
        <w:t xml:space="preserve">En consecuencia, si bien es cierto que dentro del expediente </w:t>
      </w:r>
      <w:r w:rsidRPr="00D83E92">
        <w:rPr>
          <w:rFonts w:ascii="Palatino Linotype" w:hAnsi="Palatino Linotype"/>
          <w:b/>
        </w:rPr>
        <w:t>SARCOEM</w:t>
      </w:r>
      <w:r w:rsidRPr="00D83E92">
        <w:rPr>
          <w:rFonts w:ascii="Palatino Linotype" w:hAnsi="Palatino Linotype"/>
        </w:rPr>
        <w:t>, obra copia de la credencial para votar, expedida por el Instituto Nacional Electoral a favor del</w:t>
      </w:r>
      <w:r w:rsidRPr="00D83E92">
        <w:rPr>
          <w:rFonts w:ascii="Palatino Linotype" w:hAnsi="Palatino Linotype"/>
          <w:b/>
        </w:rPr>
        <w:t xml:space="preserve"> RECURRENTE, </w:t>
      </w:r>
      <w:r w:rsidRPr="00D83E92">
        <w:rPr>
          <w:rFonts w:ascii="Palatino Linotype" w:hAnsi="Palatino Linotype"/>
        </w:rPr>
        <w:t xml:space="preserve">ello no es suficiente para cumplir con lo contenido del artículo 110 </w:t>
      </w:r>
      <w:r w:rsidRPr="00D83E92">
        <w:rPr>
          <w:rFonts w:ascii="Palatino Linotype" w:hAnsi="Palatino Linotype"/>
        </w:rPr>
        <w:lastRenderedPageBreak/>
        <w:t>de la Ley de la materia, que puntualmente establece que para el ejercicio de derechos ARCO, se deberá contener entre otros requisitos los documentos que acrediten la identidad del titular; es así que el otorgamiento del acceso a datos personales, independientemente de la modalidad elegida, requiere de una entrega en forma física y directa, de conformidad con el artículo 118 de la Ley de la materia que es del tenor literal siguiente:</w:t>
      </w:r>
    </w:p>
    <w:p w:rsidR="005B5F6D" w:rsidRPr="00D83E92" w:rsidRDefault="005B5F6D">
      <w:pPr>
        <w:pStyle w:val="Prrafodelista"/>
        <w:spacing w:line="360" w:lineRule="auto"/>
        <w:ind w:left="2912"/>
        <w:jc w:val="both"/>
        <w:rPr>
          <w:rFonts w:ascii="Palatino Linotype" w:hAnsi="Palatino Linotype"/>
        </w:rPr>
      </w:pPr>
    </w:p>
    <w:p w:rsidR="005B5F6D" w:rsidRPr="00D83E92" w:rsidRDefault="00DF0D09">
      <w:pPr>
        <w:pStyle w:val="INFOEM"/>
        <w:spacing w:before="0" w:after="0" w:line="240" w:lineRule="auto"/>
        <w:ind w:left="1134" w:right="899"/>
        <w:rPr>
          <w:b/>
          <w:i w:val="0"/>
        </w:rPr>
      </w:pPr>
      <w:r w:rsidRPr="00D83E92">
        <w:t>“</w:t>
      </w:r>
      <w:r w:rsidRPr="00D83E92">
        <w:rPr>
          <w:b/>
        </w:rPr>
        <w:t>Cumplimiento de la atención de solicitudes ARCO</w:t>
      </w:r>
    </w:p>
    <w:p w:rsidR="005B5F6D" w:rsidRPr="00D83E92" w:rsidRDefault="00DF0D09">
      <w:pPr>
        <w:pStyle w:val="INFOEM"/>
        <w:spacing w:before="0" w:after="0" w:line="240" w:lineRule="auto"/>
        <w:ind w:left="1134" w:right="899"/>
      </w:pPr>
      <w:r w:rsidRPr="00D83E92">
        <w:rPr>
          <w:b/>
        </w:rPr>
        <w:t xml:space="preserve">Artículo 118. </w:t>
      </w:r>
      <w:r w:rsidRPr="00D83E92">
        <w:t>Las s</w:t>
      </w:r>
      <w:r w:rsidRPr="00D83E92">
        <w:rPr>
          <w:b/>
        </w:rPr>
        <w:t>olicitudes de ejercicio de los derechos ARCO se darán por cumplidas a través</w:t>
      </w:r>
      <w:r w:rsidRPr="00D83E92">
        <w:t xml:space="preserve"> de expedición de copias simples, copias certificadas, documentos en </w:t>
      </w:r>
      <w:r w:rsidRPr="00D83E92">
        <w:rPr>
          <w:b/>
        </w:rPr>
        <w:t>la modalidad que se hubiese solicitado</w:t>
      </w:r>
      <w:r w:rsidRPr="00D83E92">
        <w:t xml:space="preserve">, </w:t>
      </w:r>
      <w:r w:rsidRPr="00D83E92">
        <w:rPr>
          <w:b/>
        </w:rPr>
        <w:t>previa acreditación de la identidad y personalidad del solicitante</w:t>
      </w:r>
      <w:r w:rsidRPr="00D83E92">
        <w:t xml:space="preserve"> o en su caso, ante la notificación de improcedencia de su solicitud. Cuando se determine la procedencia del ejercicio de dichos derechos y éstos se encuentren a disposición del titular en la modalidad que haya escogido previa acreditación, la solicitud se entenderá atendida si el solicitante no acude dentro de los sesenta días posteriores a la notificación.” </w:t>
      </w:r>
    </w:p>
    <w:p w:rsidR="005B5F6D" w:rsidRPr="00D83E92" w:rsidRDefault="005B5F6D">
      <w:pPr>
        <w:spacing w:line="360" w:lineRule="auto"/>
        <w:ind w:right="333"/>
        <w:jc w:val="both"/>
        <w:rPr>
          <w:rFonts w:ascii="Palatino Linotype" w:hAnsi="Palatino Linotype"/>
        </w:rPr>
      </w:pPr>
    </w:p>
    <w:p w:rsidR="005B5F6D" w:rsidRPr="00D83E92" w:rsidRDefault="00DF0D09">
      <w:pPr>
        <w:numPr>
          <w:ilvl w:val="0"/>
          <w:numId w:val="1"/>
        </w:numPr>
        <w:spacing w:line="360" w:lineRule="auto"/>
        <w:ind w:left="0" w:firstLine="0"/>
        <w:jc w:val="both"/>
        <w:rPr>
          <w:rFonts w:ascii="Palatino Linotype" w:hAnsi="Palatino Linotype"/>
        </w:rPr>
      </w:pPr>
      <w:r w:rsidRPr="00D83E92">
        <w:rPr>
          <w:rFonts w:ascii="Palatino Linotype" w:hAnsi="Palatino Linotype"/>
        </w:rPr>
        <w:t xml:space="preserve">De lo anteriormente transcrito, se observa que la acreditación de la identidad para el ejercicio de los derechos ARCO, se realiza en dos etapas; es decir al momento de la presentación de la solicitud de acceso, donde el </w:t>
      </w:r>
      <w:r w:rsidRPr="00D83E92">
        <w:rPr>
          <w:rFonts w:ascii="Palatino Linotype" w:hAnsi="Palatino Linotype"/>
          <w:b/>
        </w:rPr>
        <w:t>SUJETO OBLIGADO</w:t>
      </w:r>
      <w:r w:rsidRPr="00D83E92">
        <w:rPr>
          <w:rFonts w:ascii="Palatino Linotype" w:hAnsi="Palatino Linotype"/>
        </w:rPr>
        <w:t xml:space="preserve"> identifica que se cumplan con los requisitos establecidos en el artículo 110, y en una segunda instancia al momento de dar cumplimiento en la atención de la solicitud de derechos ARCO cuando así resulte procedente. Pues como se desprende del precepto jurídico antes transcrito, el titular de los datos o su representante, debe acudir dentro de los sesenta días posteriores a la notificación de la respuesta para que previa acreditación de identidad se pongan a su disposición los datos de los cuales requirió su acceso. </w:t>
      </w:r>
    </w:p>
    <w:p w:rsidR="005B5F6D" w:rsidRPr="00D83E92" w:rsidRDefault="005B5F6D">
      <w:pPr>
        <w:spacing w:line="360" w:lineRule="auto"/>
        <w:jc w:val="both"/>
        <w:rPr>
          <w:rFonts w:ascii="Palatino Linotype" w:hAnsi="Palatino Linotype"/>
        </w:rPr>
      </w:pPr>
    </w:p>
    <w:p w:rsidR="005B5F6D" w:rsidRPr="00D83E92" w:rsidRDefault="00DF0D09">
      <w:pPr>
        <w:numPr>
          <w:ilvl w:val="0"/>
          <w:numId w:val="1"/>
        </w:numPr>
        <w:spacing w:line="360" w:lineRule="auto"/>
        <w:ind w:left="0" w:firstLine="0"/>
        <w:jc w:val="both"/>
        <w:rPr>
          <w:rFonts w:ascii="Palatino Linotype" w:hAnsi="Palatino Linotype"/>
        </w:rPr>
      </w:pPr>
      <w:r w:rsidRPr="00D83E92">
        <w:rPr>
          <w:rFonts w:ascii="Palatino Linotype" w:hAnsi="Palatino Linotype"/>
        </w:rPr>
        <w:lastRenderedPageBreak/>
        <w:t xml:space="preserve">Por otro lado, debe puntualizarse que ello surge como medida de seguridad con la finalidad de contar con la estricta certeza de que a quien se le otorga el acceso es efectivamente el titular de los datos. De ahí que se haya llamado a la conciliación por parte de este Órgano Garante, toda vez que así, este Instituto contaría con plenos elementos de certeza, de que efectivamente el solicitante es el titular de los datos a los que se desea tener acceso, pues de haber accedido la hoy </w:t>
      </w:r>
      <w:r w:rsidRPr="00D83E92">
        <w:rPr>
          <w:rFonts w:ascii="Palatino Linotype" w:hAnsi="Palatino Linotype"/>
          <w:b/>
        </w:rPr>
        <w:t xml:space="preserve">RECURRENTE </w:t>
      </w:r>
      <w:r w:rsidRPr="00D83E92">
        <w:rPr>
          <w:rFonts w:ascii="Palatino Linotype" w:hAnsi="Palatino Linotype"/>
        </w:rPr>
        <w:t xml:space="preserve">para acudir a la conciliación, evidentemente se acreditaría como la titular de los datos, y tanto el </w:t>
      </w:r>
      <w:r w:rsidRPr="00D83E92">
        <w:rPr>
          <w:rFonts w:ascii="Palatino Linotype" w:hAnsi="Palatino Linotype"/>
          <w:b/>
        </w:rPr>
        <w:t>SUJETO OBLIGADO</w:t>
      </w:r>
      <w:r w:rsidRPr="00D83E92">
        <w:rPr>
          <w:rFonts w:ascii="Palatino Linotype" w:hAnsi="Palatino Linotype"/>
        </w:rPr>
        <w:t xml:space="preserve"> como este Instituto se habrían allegado de elementos que dieran convicción de lo hecho mención, situación que no se materializó debido a que </w:t>
      </w:r>
      <w:r w:rsidRPr="00D83E92">
        <w:rPr>
          <w:rFonts w:ascii="Palatino Linotype" w:hAnsi="Palatino Linotype"/>
          <w:b/>
        </w:rPr>
        <w:t xml:space="preserve">el RECURRENTE </w:t>
      </w:r>
      <w:r w:rsidRPr="00D83E92">
        <w:rPr>
          <w:rFonts w:ascii="Palatino Linotype" w:hAnsi="Palatino Linotype"/>
        </w:rPr>
        <w:t>no hizo manifiesta su voluntad de conciliar.</w:t>
      </w:r>
    </w:p>
    <w:p w:rsidR="005B5F6D" w:rsidRPr="00D83E92" w:rsidRDefault="005B5F6D">
      <w:pPr>
        <w:pStyle w:val="Prrafodelista"/>
        <w:ind w:left="2912"/>
        <w:rPr>
          <w:rFonts w:ascii="Palatino Linotype" w:hAnsi="Palatino Linotype"/>
        </w:rPr>
      </w:pPr>
    </w:p>
    <w:p w:rsidR="005B5F6D" w:rsidRPr="00D83E92" w:rsidRDefault="00DF0D09">
      <w:pPr>
        <w:numPr>
          <w:ilvl w:val="0"/>
          <w:numId w:val="1"/>
        </w:numPr>
        <w:spacing w:line="360" w:lineRule="auto"/>
        <w:ind w:left="0" w:firstLine="0"/>
        <w:jc w:val="both"/>
        <w:rPr>
          <w:rFonts w:ascii="Palatino Linotype" w:hAnsi="Palatino Linotype"/>
        </w:rPr>
      </w:pPr>
      <w:r w:rsidRPr="00D83E92">
        <w:rPr>
          <w:rFonts w:ascii="Palatino Linotype" w:hAnsi="Palatino Linotype"/>
        </w:rPr>
        <w:t>Ello en virtud de que si bien no se duda de la buena fe con la que los particulares ejercen sus derechos ARCO, cierto es que eventualmente puede actualizarse algún supuesto de robo de identidad o usurpación de identidad, que consiste en la apropiación de la identidad de una persona; es decir, hacerse pasar por esa persona, asumir su identidad ante otras personas en público o en privado, en general para acceder a ciertos recursos o como resulta del caso concreto de la obtención de información y datos personales a nombre de esa persona.</w:t>
      </w:r>
    </w:p>
    <w:p w:rsidR="005B5F6D" w:rsidRPr="00D83E92" w:rsidRDefault="005B5F6D">
      <w:pPr>
        <w:pStyle w:val="Prrafodelista"/>
        <w:ind w:left="2912"/>
        <w:rPr>
          <w:rFonts w:ascii="Palatino Linotype" w:hAnsi="Palatino Linotype"/>
        </w:rPr>
      </w:pPr>
    </w:p>
    <w:p w:rsidR="005B5F6D" w:rsidRPr="00D83E92" w:rsidRDefault="00DF0D09">
      <w:pPr>
        <w:numPr>
          <w:ilvl w:val="0"/>
          <w:numId w:val="1"/>
        </w:numPr>
        <w:spacing w:line="360" w:lineRule="auto"/>
        <w:ind w:left="0" w:firstLine="0"/>
        <w:jc w:val="both"/>
        <w:rPr>
          <w:rFonts w:ascii="Palatino Linotype" w:hAnsi="Palatino Linotype"/>
        </w:rPr>
      </w:pPr>
      <w:r w:rsidRPr="00D83E92">
        <w:rPr>
          <w:rFonts w:ascii="Palatino Linotype" w:hAnsi="Palatino Linotype"/>
          <w:b/>
        </w:rPr>
        <w:t>Por ello, no basta con adjuntar una identificación en este caso vía SARCOEM,</w:t>
      </w:r>
      <w:r w:rsidRPr="00D83E92">
        <w:rPr>
          <w:rFonts w:ascii="Palatino Linotype" w:hAnsi="Palatino Linotype"/>
        </w:rPr>
        <w:t xml:space="preserve"> ya que es del dominio público, en la actualidad resulta de relativa facilidad la obtención de identificaciones, ya sean originales almacenadas en la red de Internet, computadoras de acceso público, equipos personales como computadoras portátiles o de escritorio, tabletas, dispositivos de almacenamiento (CD, USB, SD), teléfonos móviles, o bien, la generación de identificaciones apócrifas. </w:t>
      </w:r>
    </w:p>
    <w:p w:rsidR="005B5F6D" w:rsidRPr="00D83E92" w:rsidRDefault="005B5F6D">
      <w:pPr>
        <w:pStyle w:val="Prrafodelista"/>
        <w:spacing w:line="360" w:lineRule="auto"/>
        <w:ind w:left="2912"/>
        <w:jc w:val="both"/>
        <w:rPr>
          <w:rFonts w:ascii="Palatino Linotype" w:hAnsi="Palatino Linotype"/>
        </w:rPr>
      </w:pPr>
    </w:p>
    <w:p w:rsidR="005B5F6D" w:rsidRPr="00D83E92" w:rsidRDefault="00DF0D09">
      <w:pPr>
        <w:numPr>
          <w:ilvl w:val="0"/>
          <w:numId w:val="1"/>
        </w:numPr>
        <w:spacing w:line="360" w:lineRule="auto"/>
        <w:ind w:left="0" w:firstLine="0"/>
        <w:jc w:val="both"/>
        <w:rPr>
          <w:rFonts w:ascii="Palatino Linotype" w:hAnsi="Palatino Linotype"/>
        </w:rPr>
      </w:pPr>
      <w:r w:rsidRPr="00D83E92">
        <w:rPr>
          <w:rFonts w:ascii="Palatino Linotype" w:hAnsi="Palatino Linotype"/>
        </w:rPr>
        <w:lastRenderedPageBreak/>
        <w:t xml:space="preserve">De lo que adjuntar un archivo fotográfico o escaneado a una solicitud de acceso a datos, no basta para dar total acceso a cualquier dato personal que se requiera vía </w:t>
      </w:r>
      <w:r w:rsidRPr="00D83E92">
        <w:rPr>
          <w:rFonts w:ascii="Palatino Linotype" w:hAnsi="Palatino Linotype"/>
          <w:b/>
        </w:rPr>
        <w:t>SARCOEM</w:t>
      </w:r>
      <w:r w:rsidRPr="00D83E92">
        <w:rPr>
          <w:rFonts w:ascii="Palatino Linotype" w:hAnsi="Palatino Linotype"/>
        </w:rPr>
        <w:t xml:space="preserve"> respecto de quien aparezca en la identificación que se adjunte. De ahí que se deba dar el debido resguardo y protección de los datos personales tanto por parte de los responsables de los sujetos obligados, como de este Instituto, ello así por propio mandato de ley.</w:t>
      </w:r>
    </w:p>
    <w:p w:rsidR="005B5F6D" w:rsidRPr="00D83E92" w:rsidRDefault="005B5F6D">
      <w:pPr>
        <w:pStyle w:val="Prrafodelista"/>
        <w:ind w:left="2912"/>
        <w:rPr>
          <w:rFonts w:ascii="Palatino Linotype" w:hAnsi="Palatino Linotype"/>
        </w:rPr>
      </w:pPr>
    </w:p>
    <w:p w:rsidR="005B5F6D" w:rsidRPr="00D83E92" w:rsidRDefault="00DF0D09">
      <w:pPr>
        <w:numPr>
          <w:ilvl w:val="0"/>
          <w:numId w:val="1"/>
        </w:numPr>
        <w:spacing w:line="360" w:lineRule="auto"/>
        <w:ind w:left="0" w:firstLine="0"/>
        <w:jc w:val="both"/>
        <w:rPr>
          <w:rFonts w:ascii="Palatino Linotype" w:hAnsi="Palatino Linotype"/>
        </w:rPr>
      </w:pPr>
      <w:r w:rsidRPr="00D83E92">
        <w:rPr>
          <w:rFonts w:ascii="Palatino Linotype" w:hAnsi="Palatino Linotype"/>
        </w:rPr>
        <w:t>Sirve de apoyo a lo anterior por analogía el criterio 1/18 emitido por el Instituto Nacional de Transparencia, Acceso a la Información y Protección de Datos Personales que es del tenor literal siguiente:</w:t>
      </w:r>
    </w:p>
    <w:p w:rsidR="005B5F6D" w:rsidRPr="00D83E92" w:rsidRDefault="005B5F6D">
      <w:pPr>
        <w:pStyle w:val="Prrafodelista"/>
        <w:spacing w:line="360" w:lineRule="auto"/>
        <w:ind w:left="2912" w:right="333"/>
        <w:jc w:val="both"/>
        <w:rPr>
          <w:rFonts w:ascii="Palatino Linotype" w:hAnsi="Palatino Linotype"/>
        </w:rPr>
      </w:pPr>
    </w:p>
    <w:p w:rsidR="005B5F6D" w:rsidRPr="00D83E92" w:rsidRDefault="00DF0D09">
      <w:pPr>
        <w:pStyle w:val="Prrafodelista"/>
        <w:ind w:left="1134" w:right="899"/>
        <w:jc w:val="both"/>
        <w:rPr>
          <w:rFonts w:ascii="Palatino Linotype" w:hAnsi="Palatino Linotype" w:cs="Arial"/>
          <w:i/>
          <w:iCs/>
          <w:sz w:val="22"/>
          <w:szCs w:val="22"/>
        </w:rPr>
      </w:pPr>
      <w:r w:rsidRPr="00D83E92">
        <w:rPr>
          <w:rFonts w:ascii="Palatino Linotype" w:hAnsi="Palatino Linotype" w:cs="Arial"/>
          <w:b/>
          <w:bCs/>
          <w:i/>
          <w:iCs/>
          <w:sz w:val="22"/>
          <w:szCs w:val="22"/>
        </w:rPr>
        <w:t>Entrega de datos personales a través de medios electrónicos</w:t>
      </w:r>
      <w:r w:rsidRPr="00D83E92">
        <w:rPr>
          <w:rFonts w:ascii="Palatino Linotype" w:hAnsi="Palatino Linotype" w:cs="Arial"/>
          <w:i/>
          <w:iCs/>
          <w:sz w:val="22"/>
          <w:szCs w:val="22"/>
        </w:rPr>
        <w:t xml:space="preserve">. La entrega de datos personales a través del portal de la Plataforma Nacional de Transparencia, correo electrónico o cualquier otro medio similar </w:t>
      </w:r>
      <w:r w:rsidRPr="00D83E92">
        <w:rPr>
          <w:rFonts w:ascii="Palatino Linotype" w:hAnsi="Palatino Linotype"/>
          <w:i/>
          <w:sz w:val="22"/>
          <w:szCs w:val="22"/>
        </w:rPr>
        <w:t>resulta</w:t>
      </w:r>
      <w:r w:rsidRPr="00D83E92">
        <w:rPr>
          <w:rFonts w:ascii="Palatino Linotype" w:hAnsi="Palatino Linotype" w:cs="Arial"/>
          <w:i/>
          <w:iCs/>
          <w:sz w:val="22"/>
          <w:szCs w:val="22"/>
        </w:rPr>
        <w:t xml:space="preserve"> improcedente, sin que los sujetos obligados hayan corroborado previamente la identidad del titular.</w:t>
      </w:r>
    </w:p>
    <w:p w:rsidR="005B5F6D" w:rsidRPr="00D83E92" w:rsidRDefault="005B5F6D">
      <w:pPr>
        <w:pStyle w:val="Prrafodelista"/>
        <w:spacing w:line="360" w:lineRule="auto"/>
        <w:ind w:left="2912"/>
        <w:jc w:val="both"/>
        <w:rPr>
          <w:rFonts w:ascii="Palatino Linotype" w:eastAsia="Calibri" w:hAnsi="Palatino Linotype" w:cs="Tahoma"/>
          <w:color w:val="000000"/>
          <w:sz w:val="22"/>
          <w:szCs w:val="22"/>
        </w:rPr>
      </w:pPr>
    </w:p>
    <w:p w:rsidR="005B5F6D" w:rsidRPr="00D83E92" w:rsidRDefault="00DF0D09">
      <w:pPr>
        <w:numPr>
          <w:ilvl w:val="0"/>
          <w:numId w:val="1"/>
        </w:numPr>
        <w:spacing w:line="360" w:lineRule="auto"/>
        <w:ind w:left="0" w:firstLine="0"/>
        <w:jc w:val="both"/>
        <w:rPr>
          <w:rFonts w:ascii="Palatino Linotype" w:eastAsia="Palatino Linotype" w:hAnsi="Palatino Linotype" w:cs="Palatino Linotype"/>
        </w:rPr>
      </w:pPr>
      <w:r w:rsidRPr="00D83E92">
        <w:rPr>
          <w:rFonts w:ascii="Palatino Linotype" w:hAnsi="Palatino Linotype"/>
        </w:rPr>
        <w:t>En atención a las consideraciones señaladas, este Órgano Garante determina ordenar la entrega de la documentación solicitada por el particular, previa acreditación de la personalidad.</w:t>
      </w:r>
    </w:p>
    <w:p w:rsidR="007C162B" w:rsidRPr="00D83E92" w:rsidRDefault="007C162B" w:rsidP="007C162B">
      <w:pPr>
        <w:spacing w:line="360" w:lineRule="auto"/>
        <w:jc w:val="both"/>
        <w:rPr>
          <w:rFonts w:ascii="Palatino Linotype" w:eastAsia="Palatino Linotype" w:hAnsi="Palatino Linotype" w:cs="Palatino Linotype"/>
        </w:rPr>
      </w:pPr>
    </w:p>
    <w:p w:rsidR="007C162B" w:rsidRPr="00D83E92" w:rsidRDefault="00666EAC" w:rsidP="007C162B">
      <w:pPr>
        <w:numPr>
          <w:ilvl w:val="0"/>
          <w:numId w:val="1"/>
        </w:numPr>
        <w:spacing w:line="360" w:lineRule="auto"/>
        <w:ind w:left="0" w:firstLine="0"/>
        <w:jc w:val="both"/>
        <w:rPr>
          <w:rFonts w:ascii="Palatino Linotype" w:hAnsi="Palatino Linotype"/>
        </w:rPr>
      </w:pPr>
      <w:r w:rsidRPr="00D83E92">
        <w:rPr>
          <w:rFonts w:ascii="Palatino Linotype" w:hAnsi="Palatino Linotype"/>
        </w:rPr>
        <w:t xml:space="preserve">Es de subrayar que la información requerida por el particular no son documentos en los que actuó </w:t>
      </w:r>
      <w:r w:rsidR="007C162B" w:rsidRPr="00D83E92">
        <w:rPr>
          <w:rFonts w:ascii="Palatino Linotype" w:hAnsi="Palatino Linotype"/>
        </w:rPr>
        <w:t xml:space="preserve">como representante legal de la </w:t>
      </w:r>
      <w:r w:rsidR="007C162B" w:rsidRPr="00D83E92">
        <w:rPr>
          <w:rFonts w:ascii="Palatino Linotype" w:hAnsi="Palatino Linotype"/>
          <w:i/>
        </w:rPr>
        <w:t>persona moral SUZUKI MOTOR DE MÉXICO S.A. DE C.V</w:t>
      </w:r>
      <w:r w:rsidR="007C162B" w:rsidRPr="00D83E92">
        <w:rPr>
          <w:rFonts w:ascii="Palatino Linotype" w:hAnsi="Palatino Linotype"/>
        </w:rPr>
        <w:t>,  como lo manifestó el Sujeto Obligado, ya que en la aclaración a la solicitud de información, el particular puntualizó no estar actuando en representación de la empresa mencionada, sino de manera particular, pidiendo acceder a sus datos personales,</w:t>
      </w:r>
      <w:r w:rsidR="007C162B" w:rsidRPr="00D83E92">
        <w:rPr>
          <w:rFonts w:ascii="Palatino Linotype" w:hAnsi="Palatino Linotype"/>
          <w:b/>
        </w:rPr>
        <w:t xml:space="preserve"> </w:t>
      </w:r>
      <w:r w:rsidR="007C162B" w:rsidRPr="00D83E92">
        <w:rPr>
          <w:rFonts w:ascii="Palatino Linotype" w:hAnsi="Palatino Linotype"/>
        </w:rPr>
        <w:t xml:space="preserve">prerrogativas que se encuentran invariablemente ligadas a los principios de licitud, finalidad, lealtad, consentimiento, calidad, proporcionalidad, </w:t>
      </w:r>
      <w:r w:rsidR="007C162B" w:rsidRPr="00D83E92">
        <w:rPr>
          <w:rFonts w:ascii="Palatino Linotype" w:hAnsi="Palatino Linotype"/>
        </w:rPr>
        <w:lastRenderedPageBreak/>
        <w:t>información y responsabilidad. En este orden de ideas, al particular se le debe garantizar el acceso a sus datos personales, debiendo el Sujeto Obligado proporcionar los documentos en que consten los tramites, solicitudes, pagos de derechos e impuestos, en los que obren sus datos personales.</w:t>
      </w:r>
    </w:p>
    <w:p w:rsidR="005B5F6D" w:rsidRPr="00D83E92" w:rsidRDefault="005B5F6D" w:rsidP="007C162B">
      <w:pPr>
        <w:spacing w:line="360" w:lineRule="auto"/>
        <w:jc w:val="both"/>
        <w:rPr>
          <w:rFonts w:ascii="Palatino Linotype" w:eastAsia="Palatino Linotype" w:hAnsi="Palatino Linotype" w:cs="Palatino Linotype"/>
        </w:rPr>
      </w:pPr>
    </w:p>
    <w:p w:rsidR="005B5F6D" w:rsidRPr="00D83E92" w:rsidRDefault="00DF0D09">
      <w:pPr>
        <w:numPr>
          <w:ilvl w:val="0"/>
          <w:numId w:val="1"/>
        </w:numPr>
        <w:spacing w:line="360" w:lineRule="auto"/>
        <w:ind w:left="0" w:firstLine="0"/>
        <w:jc w:val="both"/>
        <w:rPr>
          <w:rFonts w:ascii="Palatino Linotype" w:hAnsi="Palatino Linotype"/>
        </w:rPr>
      </w:pPr>
      <w:r w:rsidRPr="00D83E92">
        <w:rPr>
          <w:rFonts w:ascii="Palatino Linotype" w:hAnsi="Palatino Linotype"/>
        </w:rPr>
        <w:t xml:space="preserve">Con base en todo lo expuesto, este Órgano Garante considera fundadas las razones o motivos de inconformidad expuestos por la parte Recurrente y con fundamento en artículo 137, primera hipótesis de la fracción III, de la Ley de Protección de Datos Personales en Posesión de Sujetos Obligados del Estado de México y Municipios, este Instituto considera procedente </w:t>
      </w:r>
      <w:r w:rsidRPr="00D83E92">
        <w:rPr>
          <w:rFonts w:ascii="Palatino Linotype" w:hAnsi="Palatino Linotype"/>
          <w:b/>
        </w:rPr>
        <w:t>REVOCAR</w:t>
      </w:r>
      <w:r w:rsidRPr="00D83E92">
        <w:rPr>
          <w:rFonts w:ascii="Palatino Linotype" w:hAnsi="Palatino Linotype"/>
        </w:rPr>
        <w:t xml:space="preserve"> la respuesta otorgada por el Sujeto Obligado y ordenar la entrega del soporte documental solicitado.</w:t>
      </w:r>
    </w:p>
    <w:p w:rsidR="005B5F6D" w:rsidRPr="00D83E92" w:rsidRDefault="005B5F6D">
      <w:pPr>
        <w:spacing w:line="360" w:lineRule="auto"/>
        <w:jc w:val="both"/>
        <w:rPr>
          <w:rFonts w:ascii="Palatino Linotype" w:eastAsia="Palatino Linotype" w:hAnsi="Palatino Linotype" w:cs="Palatino Linotype"/>
          <w:color w:val="000000"/>
        </w:rPr>
      </w:pPr>
    </w:p>
    <w:p w:rsidR="005B5F6D" w:rsidRPr="00D83E92" w:rsidRDefault="00DF0D09">
      <w:pPr>
        <w:numPr>
          <w:ilvl w:val="0"/>
          <w:numId w:val="1"/>
        </w:numPr>
        <w:spacing w:line="360" w:lineRule="auto"/>
        <w:ind w:left="0" w:firstLine="0"/>
        <w:jc w:val="both"/>
        <w:rPr>
          <w:rFonts w:ascii="Palatino Linotype" w:eastAsia="Palatino Linotype" w:hAnsi="Palatino Linotype" w:cs="Palatino Linotype"/>
          <w:color w:val="000000"/>
        </w:rPr>
      </w:pPr>
      <w:r w:rsidRPr="00D83E92">
        <w:rPr>
          <w:rFonts w:ascii="Palatino Linotype" w:eastAsia="Palatino Linotype" w:hAnsi="Palatino Linotype" w:cs="Palatino Linotype"/>
          <w:color w:val="000000"/>
        </w:rPr>
        <w:t>Por lo expuesto y fundado, este Pleno:</w:t>
      </w:r>
    </w:p>
    <w:p w:rsidR="005B5F6D" w:rsidRPr="00D83E92" w:rsidRDefault="005B5F6D">
      <w:pPr>
        <w:spacing w:line="360" w:lineRule="auto"/>
        <w:contextualSpacing/>
        <w:jc w:val="both"/>
        <w:rPr>
          <w:rFonts w:ascii="Palatino Linotype" w:eastAsia="Calibri" w:hAnsi="Palatino Linotype" w:cs="Tahoma"/>
          <w:bCs/>
          <w:sz w:val="22"/>
          <w:szCs w:val="22"/>
          <w:lang w:eastAsia="en-US"/>
        </w:rPr>
      </w:pPr>
    </w:p>
    <w:p w:rsidR="005B5F6D" w:rsidRPr="00D83E92" w:rsidRDefault="00DF0D09">
      <w:pPr>
        <w:spacing w:line="360" w:lineRule="auto"/>
        <w:contextualSpacing/>
        <w:jc w:val="center"/>
        <w:rPr>
          <w:rFonts w:ascii="Palatino Linotype" w:hAnsi="Palatino Linotype" w:cs="Tahoma"/>
          <w:b/>
          <w:bCs/>
          <w:szCs w:val="22"/>
        </w:rPr>
      </w:pPr>
      <w:r w:rsidRPr="00D83E92">
        <w:rPr>
          <w:rFonts w:ascii="Palatino Linotype" w:hAnsi="Palatino Linotype" w:cs="Tahoma"/>
          <w:b/>
          <w:bCs/>
          <w:szCs w:val="22"/>
        </w:rPr>
        <w:t>R E S U E L V E</w:t>
      </w:r>
    </w:p>
    <w:p w:rsidR="005B5F6D" w:rsidRPr="00D83E92" w:rsidRDefault="005B5F6D">
      <w:pPr>
        <w:spacing w:line="360" w:lineRule="auto"/>
        <w:contextualSpacing/>
        <w:jc w:val="center"/>
        <w:rPr>
          <w:rFonts w:ascii="Palatino Linotype" w:hAnsi="Palatino Linotype" w:cs="Tahoma"/>
          <w:b/>
          <w:bCs/>
          <w:szCs w:val="22"/>
        </w:rPr>
      </w:pPr>
    </w:p>
    <w:p w:rsidR="005B5F6D" w:rsidRPr="00D83E92" w:rsidRDefault="00DF0D09">
      <w:pPr>
        <w:spacing w:line="360" w:lineRule="auto"/>
        <w:ind w:right="276"/>
        <w:jc w:val="both"/>
        <w:rPr>
          <w:rFonts w:ascii="Palatino Linotype" w:eastAsia="Palatino Linotype" w:hAnsi="Palatino Linotype" w:cs="Palatino Linotype"/>
          <w:b/>
        </w:rPr>
      </w:pPr>
      <w:r w:rsidRPr="00D83E92">
        <w:rPr>
          <w:rFonts w:ascii="Palatino Linotype" w:eastAsia="Palatino Linotype" w:hAnsi="Palatino Linotype" w:cs="Palatino Linotype"/>
          <w:b/>
        </w:rPr>
        <w:t>PRIMERO</w:t>
      </w:r>
      <w:r w:rsidRPr="00D83E92">
        <w:rPr>
          <w:rFonts w:ascii="Palatino Linotype" w:eastAsia="Palatino Linotype" w:hAnsi="Palatino Linotype" w:cs="Palatino Linotype"/>
        </w:rPr>
        <w:t>. Resultan fundadas las</w:t>
      </w:r>
      <w:r w:rsidRPr="00D83E92">
        <w:rPr>
          <w:rFonts w:ascii="Palatino Linotype" w:eastAsia="Palatino Linotype" w:hAnsi="Palatino Linotype" w:cs="Palatino Linotype"/>
          <w:b/>
        </w:rPr>
        <w:t xml:space="preserve"> </w:t>
      </w:r>
      <w:r w:rsidRPr="00D83E92">
        <w:rPr>
          <w:rFonts w:ascii="Palatino Linotype" w:eastAsia="Palatino Linotype" w:hAnsi="Palatino Linotype" w:cs="Palatino Linotype"/>
        </w:rPr>
        <w:t xml:space="preserve">razones o motivos de inconformidad hechos valer en el Recurso de Revisión </w:t>
      </w:r>
      <w:r w:rsidRPr="00D83E92">
        <w:rPr>
          <w:rFonts w:ascii="Palatino Linotype" w:eastAsia="Palatino Linotype" w:hAnsi="Palatino Linotype" w:cs="Palatino Linotype"/>
          <w:b/>
          <w:color w:val="000000"/>
        </w:rPr>
        <w:t>06713/INFOEM/AD/RR/2024</w:t>
      </w:r>
      <w:r w:rsidRPr="00D83E92">
        <w:rPr>
          <w:rFonts w:ascii="Palatino Linotype" w:eastAsia="Palatino Linotype" w:hAnsi="Palatino Linotype" w:cs="Palatino Linotype"/>
          <w:b/>
        </w:rPr>
        <w:t xml:space="preserve">, </w:t>
      </w:r>
      <w:r w:rsidRPr="00D83E92">
        <w:rPr>
          <w:rFonts w:ascii="Palatino Linotype" w:eastAsia="Palatino Linotype" w:hAnsi="Palatino Linotype" w:cs="Palatino Linotype"/>
        </w:rPr>
        <w:t xml:space="preserve">en términos del </w:t>
      </w:r>
      <w:r w:rsidRPr="00D83E92">
        <w:rPr>
          <w:rFonts w:ascii="Palatino Linotype" w:eastAsia="Palatino Linotype" w:hAnsi="Palatino Linotype" w:cs="Palatino Linotype"/>
          <w:b/>
        </w:rPr>
        <w:t>Considerando</w:t>
      </w:r>
      <w:r w:rsidRPr="00D83E92">
        <w:rPr>
          <w:rFonts w:ascii="Palatino Linotype" w:eastAsia="Palatino Linotype" w:hAnsi="Palatino Linotype" w:cs="Palatino Linotype"/>
        </w:rPr>
        <w:t xml:space="preserve"> </w:t>
      </w:r>
      <w:r w:rsidRPr="00D83E92">
        <w:rPr>
          <w:rFonts w:ascii="Palatino Linotype" w:eastAsia="Palatino Linotype" w:hAnsi="Palatino Linotype" w:cs="Palatino Linotype"/>
          <w:b/>
        </w:rPr>
        <w:t xml:space="preserve">TERCERO </w:t>
      </w:r>
      <w:r w:rsidRPr="00D83E92">
        <w:rPr>
          <w:rFonts w:ascii="Palatino Linotype" w:eastAsia="Palatino Linotype" w:hAnsi="Palatino Linotype" w:cs="Palatino Linotype"/>
        </w:rPr>
        <w:t>de la presente Resolución</w:t>
      </w:r>
      <w:r w:rsidRPr="00D83E92">
        <w:rPr>
          <w:rFonts w:ascii="Palatino Linotype" w:eastAsia="Palatino Linotype" w:hAnsi="Palatino Linotype" w:cs="Palatino Linotype"/>
          <w:b/>
        </w:rPr>
        <w:t>.</w:t>
      </w:r>
    </w:p>
    <w:p w:rsidR="005B5F6D" w:rsidRPr="00D83E92" w:rsidRDefault="005B5F6D">
      <w:pPr>
        <w:spacing w:line="360" w:lineRule="auto"/>
        <w:ind w:right="276"/>
        <w:jc w:val="both"/>
        <w:rPr>
          <w:rFonts w:ascii="Palatino Linotype" w:eastAsia="Palatino Linotype" w:hAnsi="Palatino Linotype" w:cs="Palatino Linotype"/>
          <w:b/>
        </w:rPr>
      </w:pPr>
    </w:p>
    <w:p w:rsidR="005B5F6D" w:rsidRPr="00D83E92" w:rsidRDefault="00DF0D09">
      <w:pPr>
        <w:spacing w:line="360" w:lineRule="auto"/>
        <w:ind w:right="276"/>
        <w:jc w:val="both"/>
        <w:rPr>
          <w:rFonts w:ascii="Palatino Linotype" w:eastAsia="Palatino Linotype" w:hAnsi="Palatino Linotype" w:cs="Palatino Linotype"/>
          <w:color w:val="000000"/>
        </w:rPr>
      </w:pPr>
      <w:r w:rsidRPr="00D83E92">
        <w:rPr>
          <w:rFonts w:ascii="Palatino Linotype" w:eastAsia="Palatino Linotype" w:hAnsi="Palatino Linotype" w:cs="Palatino Linotype"/>
          <w:b/>
        </w:rPr>
        <w:t xml:space="preserve">SEGUNDO. </w:t>
      </w:r>
      <w:r w:rsidRPr="00D83E92">
        <w:rPr>
          <w:rFonts w:ascii="Palatino Linotype" w:eastAsia="Palatino Linotype" w:hAnsi="Palatino Linotype" w:cs="Palatino Linotype"/>
          <w:color w:val="000000"/>
        </w:rPr>
        <w:t xml:space="preserve">Se </w:t>
      </w:r>
      <w:r w:rsidRPr="00D83E92">
        <w:rPr>
          <w:rFonts w:ascii="Palatino Linotype" w:eastAsia="Palatino Linotype" w:hAnsi="Palatino Linotype" w:cs="Palatino Linotype"/>
          <w:b/>
          <w:color w:val="000000"/>
        </w:rPr>
        <w:t xml:space="preserve">REVOCA </w:t>
      </w:r>
      <w:r w:rsidRPr="00D83E92">
        <w:rPr>
          <w:rFonts w:ascii="Palatino Linotype" w:eastAsia="Palatino Linotype" w:hAnsi="Palatino Linotype" w:cs="Palatino Linotype"/>
          <w:color w:val="000000"/>
        </w:rPr>
        <w:t>la respuesta emitida por</w:t>
      </w:r>
      <w:r w:rsidR="005E43F9" w:rsidRPr="00D83E92">
        <w:rPr>
          <w:rFonts w:ascii="Palatino Linotype" w:eastAsia="Palatino Linotype" w:hAnsi="Palatino Linotype" w:cs="Palatino Linotype"/>
          <w:color w:val="000000"/>
        </w:rPr>
        <w:t xml:space="preserve"> el</w:t>
      </w:r>
      <w:r w:rsidRPr="00D83E92">
        <w:rPr>
          <w:rFonts w:ascii="Palatino Linotype" w:eastAsia="Palatino Linotype" w:hAnsi="Palatino Linotype" w:cs="Palatino Linotype"/>
          <w:color w:val="000000"/>
        </w:rPr>
        <w:t xml:space="preserve"> </w:t>
      </w:r>
      <w:r w:rsidRPr="00D83E92">
        <w:rPr>
          <w:rFonts w:ascii="Palatino Linotype" w:eastAsia="Palatino Linotype" w:hAnsi="Palatino Linotype" w:cs="Palatino Linotype"/>
          <w:b/>
          <w:bCs/>
          <w:color w:val="000000"/>
        </w:rPr>
        <w:t>Sujeto Obligado</w:t>
      </w:r>
      <w:r w:rsidRPr="00D83E92">
        <w:rPr>
          <w:rFonts w:ascii="Palatino Linotype" w:eastAsia="Palatino Linotype" w:hAnsi="Palatino Linotype" w:cs="Palatino Linotype"/>
          <w:color w:val="000000"/>
        </w:rPr>
        <w:t xml:space="preserve"> y se </w:t>
      </w:r>
      <w:r w:rsidRPr="00D83E92">
        <w:rPr>
          <w:rFonts w:ascii="Palatino Linotype" w:eastAsia="Palatino Linotype" w:hAnsi="Palatino Linotype" w:cs="Palatino Linotype"/>
          <w:b/>
          <w:color w:val="000000"/>
        </w:rPr>
        <w:t>ORDENA</w:t>
      </w:r>
      <w:r w:rsidRPr="00D83E92">
        <w:rPr>
          <w:rFonts w:ascii="Palatino Linotype" w:eastAsia="Palatino Linotype" w:hAnsi="Palatino Linotype" w:cs="Palatino Linotype"/>
          <w:color w:val="000000"/>
        </w:rPr>
        <w:t xml:space="preserve"> entregar vía Sistema de Acceso, Rectificación, Cancelación y Oposición de Datos Personales en el Estado de México (</w:t>
      </w:r>
      <w:r w:rsidRPr="00D83E92">
        <w:rPr>
          <w:rFonts w:ascii="Palatino Linotype" w:eastAsia="Palatino Linotype" w:hAnsi="Palatino Linotype" w:cs="Palatino Linotype"/>
          <w:b/>
          <w:color w:val="000000"/>
        </w:rPr>
        <w:t>SARCOEM</w:t>
      </w:r>
      <w:r w:rsidRPr="00D83E92">
        <w:rPr>
          <w:rFonts w:ascii="Palatino Linotype" w:eastAsia="Palatino Linotype" w:hAnsi="Palatino Linotype" w:cs="Palatino Linotype"/>
          <w:color w:val="000000"/>
        </w:rPr>
        <w:t xml:space="preserve">) y por </w:t>
      </w:r>
      <w:r w:rsidRPr="00D83E92">
        <w:rPr>
          <w:rFonts w:ascii="Palatino Linotype" w:eastAsia="Palatino Linotype" w:hAnsi="Palatino Linotype" w:cs="Palatino Linotype"/>
          <w:b/>
          <w:color w:val="000000"/>
        </w:rPr>
        <w:t>correo electrónico</w:t>
      </w:r>
      <w:r w:rsidRPr="00D83E92">
        <w:rPr>
          <w:rFonts w:ascii="Palatino Linotype" w:eastAsia="Palatino Linotype" w:hAnsi="Palatino Linotype" w:cs="Palatino Linotype"/>
          <w:color w:val="000000"/>
        </w:rPr>
        <w:t xml:space="preserve">, </w:t>
      </w:r>
      <w:r w:rsidRPr="00D83E92">
        <w:rPr>
          <w:rFonts w:ascii="Palatino Linotype" w:eastAsia="Palatino Linotype" w:hAnsi="Palatino Linotype" w:cs="Palatino Linotype"/>
        </w:rPr>
        <w:t>previa acreditación de identidad y personalidad,</w:t>
      </w:r>
      <w:r w:rsidRPr="00D83E92">
        <w:rPr>
          <w:rFonts w:ascii="Palatino Linotype" w:eastAsia="Palatino Linotype" w:hAnsi="Palatino Linotype" w:cs="Palatino Linotype"/>
          <w:color w:val="000000"/>
        </w:rPr>
        <w:t xml:space="preserve"> la siguiente información:</w:t>
      </w:r>
    </w:p>
    <w:p w:rsidR="005B5F6D" w:rsidRPr="00D83E92" w:rsidRDefault="005B5F6D">
      <w:pPr>
        <w:pStyle w:val="Prrafodelista"/>
        <w:tabs>
          <w:tab w:val="left" w:pos="8080"/>
        </w:tabs>
        <w:spacing w:line="360" w:lineRule="auto"/>
        <w:ind w:left="1134" w:right="49"/>
        <w:jc w:val="both"/>
        <w:rPr>
          <w:rFonts w:ascii="Palatino Linotype" w:eastAsia="Palatino Linotype" w:hAnsi="Palatino Linotype" w:cs="Palatino Linotype"/>
        </w:rPr>
      </w:pPr>
    </w:p>
    <w:p w:rsidR="005B5F6D" w:rsidRPr="00D83E92" w:rsidRDefault="00DF0D09">
      <w:pPr>
        <w:pStyle w:val="Prrafodelista"/>
        <w:numPr>
          <w:ilvl w:val="0"/>
          <w:numId w:val="5"/>
        </w:numPr>
        <w:tabs>
          <w:tab w:val="left" w:pos="8080"/>
        </w:tabs>
        <w:ind w:left="851" w:right="474"/>
        <w:jc w:val="both"/>
        <w:rPr>
          <w:rFonts w:ascii="Palatino Linotype" w:eastAsia="Palatino Linotype" w:hAnsi="Palatino Linotype" w:cs="Palatino Linotype"/>
          <w:b/>
        </w:rPr>
      </w:pPr>
      <w:r w:rsidRPr="00D83E92">
        <w:rPr>
          <w:rFonts w:ascii="Palatino Linotype" w:eastAsia="Palatino Linotype" w:hAnsi="Palatino Linotype" w:cs="Palatino Linotype"/>
          <w:b/>
          <w:color w:val="000000"/>
        </w:rPr>
        <w:lastRenderedPageBreak/>
        <w:t xml:space="preserve">Los documentos en los que conste o se adviertan los tramites, solicitudes, pagos de derechos e impuestos, realizados por el ciudadano referido en </w:t>
      </w:r>
      <w:r w:rsidR="00666EAC" w:rsidRPr="00D83E92">
        <w:rPr>
          <w:rFonts w:ascii="Palatino Linotype" w:eastAsia="Palatino Linotype" w:hAnsi="Palatino Linotype" w:cs="Palatino Linotype"/>
          <w:b/>
          <w:color w:val="000000"/>
        </w:rPr>
        <w:t>la solicitud de acceso a datos</w:t>
      </w:r>
      <w:r w:rsidRPr="00D83E92">
        <w:rPr>
          <w:rFonts w:ascii="Palatino Linotype" w:eastAsia="Palatino Linotype" w:hAnsi="Palatino Linotype" w:cs="Palatino Linotype"/>
          <w:b/>
          <w:color w:val="000000"/>
        </w:rPr>
        <w:t>, del periodo comprendido del 5 de junio de 2020 al 13 de septiembre de 2024.</w:t>
      </w:r>
    </w:p>
    <w:p w:rsidR="005B5F6D" w:rsidRPr="00D83E92" w:rsidRDefault="005B5F6D">
      <w:pPr>
        <w:tabs>
          <w:tab w:val="left" w:pos="8080"/>
        </w:tabs>
        <w:spacing w:line="360" w:lineRule="auto"/>
        <w:ind w:right="49"/>
        <w:jc w:val="both"/>
        <w:rPr>
          <w:rFonts w:ascii="Palatino Linotype" w:eastAsia="Palatino Linotype" w:hAnsi="Palatino Linotype" w:cs="Palatino Linotype"/>
        </w:rPr>
      </w:pPr>
    </w:p>
    <w:p w:rsidR="005B5F6D" w:rsidRPr="00D83E92" w:rsidRDefault="00DF0D09">
      <w:pPr>
        <w:tabs>
          <w:tab w:val="left" w:pos="8080"/>
        </w:tabs>
        <w:spacing w:line="360" w:lineRule="auto"/>
        <w:ind w:right="49"/>
        <w:jc w:val="both"/>
        <w:rPr>
          <w:rFonts w:ascii="Palatino Linotype" w:hAnsi="Palatino Linotype"/>
        </w:rPr>
      </w:pPr>
      <w:r w:rsidRPr="00D83E92">
        <w:rPr>
          <w:rFonts w:ascii="Palatino Linotype" w:hAnsi="Palatino Linotype"/>
        </w:rPr>
        <w:t xml:space="preserve">Para la acreditación de la identidad y entrega de la documentación, la Unidad de Transparencia deberá indicar a la Recurrente, a través del </w:t>
      </w:r>
      <w:r w:rsidRPr="00D83E92">
        <w:rPr>
          <w:rFonts w:ascii="Palatino Linotype" w:hAnsi="Palatino Linotype"/>
          <w:b/>
        </w:rPr>
        <w:t xml:space="preserve">SARCOEM </w:t>
      </w:r>
      <w:r w:rsidRPr="00D83E92">
        <w:rPr>
          <w:rFonts w:ascii="Palatino Linotype" w:eastAsia="Palatino Linotype" w:hAnsi="Palatino Linotype" w:cs="Palatino Linotype"/>
          <w:color w:val="000000"/>
        </w:rPr>
        <w:t xml:space="preserve">y por </w:t>
      </w:r>
      <w:r w:rsidRPr="00D83E92">
        <w:rPr>
          <w:rFonts w:ascii="Palatino Linotype" w:eastAsia="Palatino Linotype" w:hAnsi="Palatino Linotype" w:cs="Palatino Linotype"/>
          <w:b/>
          <w:color w:val="000000"/>
        </w:rPr>
        <w:t>correo electrónico</w:t>
      </w:r>
      <w:r w:rsidRPr="00D83E92">
        <w:rPr>
          <w:rFonts w:ascii="Palatino Linotype" w:hAnsi="Palatino Linotype"/>
        </w:rPr>
        <w:t xml:space="preserve"> el domicilio, los días y horarios de atención, así como el nombre del servidor público que le atenderá.</w:t>
      </w:r>
    </w:p>
    <w:p w:rsidR="005B5F6D" w:rsidRPr="00D83E92" w:rsidRDefault="005B5F6D">
      <w:pPr>
        <w:tabs>
          <w:tab w:val="left" w:pos="8080"/>
        </w:tabs>
        <w:spacing w:line="360" w:lineRule="auto"/>
        <w:ind w:right="49"/>
        <w:jc w:val="both"/>
        <w:rPr>
          <w:rFonts w:ascii="Palatino Linotype" w:hAnsi="Palatino Linotype"/>
        </w:rPr>
      </w:pPr>
    </w:p>
    <w:p w:rsidR="005B5F6D" w:rsidRPr="00D83E92" w:rsidRDefault="00DF0D09">
      <w:pPr>
        <w:tabs>
          <w:tab w:val="left" w:pos="8080"/>
        </w:tabs>
        <w:spacing w:line="360" w:lineRule="auto"/>
        <w:ind w:right="49"/>
        <w:jc w:val="both"/>
        <w:rPr>
          <w:rFonts w:ascii="Palatino Linotype" w:eastAsia="Palatino Linotype" w:hAnsi="Palatino Linotype" w:cs="Palatino Linotype"/>
        </w:rPr>
      </w:pPr>
      <w:r w:rsidRPr="00D83E92">
        <w:rPr>
          <w:rFonts w:ascii="Palatino Linotype" w:hAnsi="Palatino Linotype"/>
        </w:rPr>
        <w:t xml:space="preserve">Para el caso que no se hayan generado, poseído o administrado los datos personales que se ordenan en el inciso a), bastará que lo haga del conocimiento del </w:t>
      </w:r>
      <w:r w:rsidRPr="00D83E92">
        <w:rPr>
          <w:rFonts w:ascii="Palatino Linotype" w:hAnsi="Palatino Linotype"/>
          <w:b/>
        </w:rPr>
        <w:t>RECURRENTE</w:t>
      </w:r>
      <w:r w:rsidRPr="00D83E92">
        <w:rPr>
          <w:rFonts w:ascii="Palatino Linotype" w:hAnsi="Palatino Linotype"/>
        </w:rPr>
        <w:t xml:space="preserve"> de manera fundada y motivada en términos del artículo 19, párrafo segundo, </w:t>
      </w:r>
      <w:r w:rsidRPr="00D83E92">
        <w:rPr>
          <w:rFonts w:ascii="Palatino Linotype" w:eastAsia="Calibri" w:hAnsi="Palatino Linotype" w:cs="Arial"/>
        </w:rPr>
        <w:t>de la Ley de Transparencia y Acceso a la Información Pública del Estado de México y Municipios</w:t>
      </w:r>
      <w:r w:rsidRPr="00D83E92">
        <w:rPr>
          <w:rFonts w:ascii="Palatino Linotype" w:hAnsi="Palatino Linotype"/>
        </w:rPr>
        <w:t>, de aplicación supletoria.</w:t>
      </w:r>
    </w:p>
    <w:p w:rsidR="005B5F6D" w:rsidRPr="00D83E92" w:rsidRDefault="005B5F6D">
      <w:pPr>
        <w:shd w:val="clear" w:color="auto" w:fill="FFFFFF"/>
        <w:spacing w:line="360" w:lineRule="auto"/>
        <w:ind w:right="49"/>
        <w:jc w:val="both"/>
        <w:rPr>
          <w:rFonts w:ascii="Palatino Linotype" w:hAnsi="Palatino Linotype"/>
          <w:b/>
          <w:szCs w:val="22"/>
        </w:rPr>
      </w:pPr>
    </w:p>
    <w:p w:rsidR="005B5F6D" w:rsidRPr="00D83E92" w:rsidRDefault="00DF0D09">
      <w:pPr>
        <w:shd w:val="clear" w:color="auto" w:fill="FFFFFF"/>
        <w:spacing w:line="360" w:lineRule="auto"/>
        <w:ind w:right="49"/>
        <w:jc w:val="both"/>
        <w:rPr>
          <w:rFonts w:ascii="Palatino Linotype" w:hAnsi="Palatino Linotype"/>
          <w:szCs w:val="22"/>
        </w:rPr>
      </w:pPr>
      <w:r w:rsidRPr="00D83E92">
        <w:rPr>
          <w:rFonts w:ascii="Palatino Linotype" w:hAnsi="Palatino Linotype"/>
          <w:b/>
          <w:szCs w:val="22"/>
        </w:rPr>
        <w:t>TERCERO</w:t>
      </w:r>
      <w:r w:rsidRPr="00D83E92">
        <w:rPr>
          <w:rFonts w:ascii="Palatino Linotype" w:hAnsi="Palatino Linotype"/>
          <w:szCs w:val="22"/>
        </w:rPr>
        <w:t xml:space="preserve">. </w:t>
      </w:r>
      <w:r w:rsidRPr="00D83E92">
        <w:rPr>
          <w:rFonts w:ascii="Palatino Linotype" w:hAnsi="Palatino Linotype"/>
          <w:b/>
          <w:szCs w:val="22"/>
        </w:rPr>
        <w:t>NOTIFÍQUESE</w:t>
      </w:r>
      <w:r w:rsidRPr="00D83E92">
        <w:rPr>
          <w:rFonts w:ascii="Palatino Linotype" w:hAnsi="Palatino Linotype"/>
          <w:szCs w:val="22"/>
        </w:rPr>
        <w:t xml:space="preserve"> la presente resolución al Titular de la Unidad de Transparencia del </w:t>
      </w:r>
      <w:r w:rsidRPr="00D83E92">
        <w:rPr>
          <w:rFonts w:ascii="Palatino Linotype" w:hAnsi="Palatino Linotype"/>
          <w:b/>
          <w:szCs w:val="22"/>
        </w:rPr>
        <w:t>Sujeto Obligado</w:t>
      </w:r>
      <w:r w:rsidRPr="00D83E92">
        <w:rPr>
          <w:rFonts w:ascii="Palatino Linotype" w:hAnsi="Palatino Linotype"/>
          <w:szCs w:val="22"/>
        </w:rPr>
        <w:t xml:space="preserve"> vía Sistema de Acceso, Rectificación, Cancelación y Oposición de Datos Personales del Estado de México (</w:t>
      </w:r>
      <w:r w:rsidRPr="00D83E92">
        <w:rPr>
          <w:rFonts w:ascii="Palatino Linotype" w:hAnsi="Palatino Linotype"/>
          <w:b/>
          <w:szCs w:val="22"/>
        </w:rPr>
        <w:t>SARCOEM</w:t>
      </w:r>
      <w:r w:rsidRPr="00D83E92">
        <w:rPr>
          <w:rFonts w:ascii="Palatino Linotype" w:hAnsi="Palatino Linotype"/>
          <w:szCs w:val="22"/>
        </w:rPr>
        <w:t xml:space="preserve">), para que en los términos previstos en el artículo 137, segundo párrafo de la Ley de Protección de Datos Personales en Posesión de Sujetos Obligados del Estado de México y Municipios; con relación en los artículos 186, último párrafo y 189, párrafo segundo de la Ley de Transparencia y Acceso a la Información Pública del Estado de México y Municipios de aplicación supletoria por disposición del artículo 11 de la citada Ley de Datos, dé cumplimiento a lo ordenado dentro del plazo de diez días hábiles, e informe a este Instituto en un plazo de tres días hábiles siguientes sobre el cumplimiento dado a la </w:t>
      </w:r>
      <w:r w:rsidRPr="00D83E92">
        <w:rPr>
          <w:rFonts w:ascii="Palatino Linotype" w:hAnsi="Palatino Linotype"/>
          <w:szCs w:val="22"/>
        </w:rPr>
        <w:lastRenderedPageBreak/>
        <w:t>presente resolución.; y se le apercibe que, en caso de negarse a cumplir la presente resolución o hacerlo de manera parcial, se le impondrá una medida de apremio de conformidad con lo previsto en los artículos 154 y 155 de la Ley de Protección de Datos Personales en Posesión de Sujetos Obligados del Estado de México y Municipios.</w:t>
      </w:r>
    </w:p>
    <w:p w:rsidR="005B5F6D" w:rsidRPr="00D83E92" w:rsidRDefault="005B5F6D">
      <w:pPr>
        <w:shd w:val="clear" w:color="auto" w:fill="FFFFFF"/>
        <w:spacing w:line="360" w:lineRule="auto"/>
        <w:ind w:right="49"/>
        <w:jc w:val="both"/>
        <w:rPr>
          <w:rFonts w:ascii="Palatino Linotype" w:hAnsi="Palatino Linotype"/>
          <w:szCs w:val="22"/>
        </w:rPr>
      </w:pPr>
    </w:p>
    <w:p w:rsidR="005B5F6D" w:rsidRPr="00D83E92" w:rsidRDefault="00DF0D09">
      <w:pPr>
        <w:shd w:val="clear" w:color="auto" w:fill="FFFFFF"/>
        <w:spacing w:line="360" w:lineRule="auto"/>
        <w:ind w:right="49"/>
        <w:jc w:val="both"/>
        <w:rPr>
          <w:rFonts w:ascii="Palatino Linotype" w:hAnsi="Palatino Linotype"/>
          <w:szCs w:val="22"/>
        </w:rPr>
      </w:pPr>
      <w:r w:rsidRPr="00D83E92">
        <w:rPr>
          <w:rFonts w:ascii="Palatino Linotype" w:hAnsi="Palatino Linotype"/>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5B5F6D" w:rsidRPr="00D83E92" w:rsidRDefault="005B5F6D">
      <w:pPr>
        <w:shd w:val="clear" w:color="auto" w:fill="FFFFFF"/>
        <w:spacing w:line="360" w:lineRule="auto"/>
        <w:ind w:right="49"/>
        <w:jc w:val="both"/>
        <w:rPr>
          <w:rFonts w:ascii="Palatino Linotype" w:hAnsi="Palatino Linotype"/>
          <w:b/>
          <w:szCs w:val="22"/>
        </w:rPr>
      </w:pPr>
    </w:p>
    <w:p w:rsidR="005B5F6D" w:rsidRPr="00D83E92" w:rsidRDefault="00DF0D09">
      <w:pPr>
        <w:shd w:val="clear" w:color="auto" w:fill="FFFFFF"/>
        <w:spacing w:line="360" w:lineRule="auto"/>
        <w:ind w:right="49"/>
        <w:jc w:val="both"/>
        <w:rPr>
          <w:rFonts w:ascii="Palatino Linotype" w:eastAsia="Palatino Linotype" w:hAnsi="Palatino Linotype" w:cs="Palatino Linotype"/>
          <w:color w:val="000000"/>
        </w:rPr>
      </w:pPr>
      <w:r w:rsidRPr="00D83E92">
        <w:rPr>
          <w:rFonts w:ascii="Palatino Linotype" w:hAnsi="Palatino Linotype"/>
          <w:b/>
          <w:szCs w:val="22"/>
        </w:rPr>
        <w:t>CUARTO. NOTIFÍQUESE</w:t>
      </w:r>
      <w:r w:rsidRPr="00D83E92">
        <w:rPr>
          <w:rFonts w:ascii="Palatino Linotype" w:hAnsi="Palatino Linotype"/>
          <w:szCs w:val="22"/>
        </w:rPr>
        <w:t xml:space="preserve"> a la parte </w:t>
      </w:r>
      <w:r w:rsidRPr="00D83E92">
        <w:rPr>
          <w:rFonts w:ascii="Palatino Linotype" w:hAnsi="Palatino Linotype"/>
          <w:b/>
          <w:szCs w:val="22"/>
        </w:rPr>
        <w:t>Recurrente</w:t>
      </w:r>
      <w:r w:rsidRPr="00D83E92">
        <w:rPr>
          <w:rFonts w:ascii="Palatino Linotype" w:hAnsi="Palatino Linotype"/>
          <w:szCs w:val="22"/>
        </w:rPr>
        <w:t xml:space="preserve"> a través del Sistema de Acceso, Rectificación, Cancelación y Oposición de Datos Personales del Estado de México (</w:t>
      </w:r>
      <w:r w:rsidRPr="00D83E92">
        <w:rPr>
          <w:rFonts w:ascii="Palatino Linotype" w:hAnsi="Palatino Linotype"/>
          <w:b/>
          <w:szCs w:val="22"/>
        </w:rPr>
        <w:t>SARCOEM</w:t>
      </w:r>
      <w:r w:rsidRPr="00D83E92">
        <w:rPr>
          <w:rFonts w:ascii="Palatino Linotype" w:hAnsi="Palatino Linotype"/>
          <w:szCs w:val="22"/>
        </w:rPr>
        <w:t xml:space="preserve">) y </w:t>
      </w:r>
      <w:r w:rsidRPr="00D83E92">
        <w:rPr>
          <w:rFonts w:ascii="Palatino Linotype" w:hAnsi="Palatino Linotype"/>
          <w:b/>
          <w:szCs w:val="22"/>
        </w:rPr>
        <w:t>correo electrónico</w:t>
      </w:r>
      <w:r w:rsidRPr="00D83E92">
        <w:rPr>
          <w:rFonts w:ascii="Palatino Linotype" w:hAnsi="Palatino Linotype"/>
          <w:szCs w:val="22"/>
        </w:rPr>
        <w:t xml:space="preserve"> la presente resolución.</w:t>
      </w:r>
    </w:p>
    <w:p w:rsidR="005B5F6D" w:rsidRPr="00D83E92" w:rsidRDefault="005B5F6D">
      <w:pPr>
        <w:spacing w:line="360" w:lineRule="auto"/>
        <w:ind w:right="333"/>
        <w:contextualSpacing/>
        <w:jc w:val="both"/>
        <w:rPr>
          <w:rFonts w:ascii="Palatino Linotype" w:hAnsi="Palatino Linotype" w:cs="Arial"/>
          <w:szCs w:val="22"/>
        </w:rPr>
      </w:pPr>
    </w:p>
    <w:p w:rsidR="005B5F6D" w:rsidRPr="00D83E92" w:rsidRDefault="00DF0D09">
      <w:pPr>
        <w:spacing w:line="360" w:lineRule="auto"/>
        <w:contextualSpacing/>
        <w:jc w:val="both"/>
        <w:rPr>
          <w:rFonts w:ascii="Palatino Linotype" w:hAnsi="Palatino Linotype" w:cs="Tahoma"/>
          <w:szCs w:val="22"/>
        </w:rPr>
      </w:pPr>
      <w:r w:rsidRPr="00D83E92">
        <w:rPr>
          <w:rFonts w:ascii="Palatino Linotype" w:hAnsi="Palatino Linotype" w:cs="Arial"/>
          <w:b/>
          <w:szCs w:val="22"/>
        </w:rPr>
        <w:t xml:space="preserve">QUINTO. HÁGASE </w:t>
      </w:r>
      <w:r w:rsidRPr="00D83E92">
        <w:rPr>
          <w:rFonts w:ascii="Palatino Linotype" w:hAnsi="Palatino Linotype" w:cs="Arial"/>
          <w:szCs w:val="22"/>
        </w:rPr>
        <w:t>del conocimiento a la parte</w:t>
      </w:r>
      <w:r w:rsidRPr="00D83E92">
        <w:rPr>
          <w:rFonts w:ascii="Palatino Linotype" w:hAnsi="Palatino Linotype" w:cs="Arial"/>
          <w:b/>
          <w:szCs w:val="22"/>
        </w:rPr>
        <w:t xml:space="preserve"> Recurrente </w:t>
      </w:r>
      <w:r w:rsidRPr="00D83E92">
        <w:rPr>
          <w:rFonts w:ascii="Palatino Linotype" w:hAnsi="Palatino Linotype" w:cs="Tahoma"/>
          <w:szCs w:val="22"/>
        </w:rPr>
        <w:t xml:space="preserve">que de conformidad con lo establecido en el artículo </w:t>
      </w:r>
      <w:r w:rsidRPr="00D83E92">
        <w:rPr>
          <w:rFonts w:ascii="Palatino Linotype" w:hAnsi="Palatino Linotype" w:cs="Tahoma"/>
        </w:rPr>
        <w:t>142 de la Ley de Protección de Datos Personales en Posesión de Sujetos Obligados del Estado de México y Municipios</w:t>
      </w:r>
      <w:r w:rsidRPr="00D83E92">
        <w:rPr>
          <w:rFonts w:ascii="Palatino Linotype" w:hAnsi="Palatino Linotype" w:cs="Tahoma"/>
          <w:szCs w:val="22"/>
        </w:rPr>
        <w:t xml:space="preserve"> podrá promover el Juicio de Amparo en los términos de las leyes aplicables.</w:t>
      </w:r>
    </w:p>
    <w:p w:rsidR="005B5F6D" w:rsidRPr="00D83E92" w:rsidRDefault="005B5F6D">
      <w:pPr>
        <w:spacing w:line="360" w:lineRule="auto"/>
        <w:contextualSpacing/>
        <w:jc w:val="both"/>
        <w:rPr>
          <w:rFonts w:ascii="Palatino Linotype" w:hAnsi="Palatino Linotype" w:cs="Tahoma"/>
          <w:sz w:val="22"/>
          <w:szCs w:val="22"/>
        </w:rPr>
      </w:pPr>
    </w:p>
    <w:p w:rsidR="005E43F9" w:rsidRPr="003C7186" w:rsidRDefault="005E43F9" w:rsidP="005E43F9">
      <w:pPr>
        <w:spacing w:line="360" w:lineRule="auto"/>
        <w:ind w:left="-142" w:right="-234" w:firstLine="1"/>
        <w:jc w:val="both"/>
        <w:rPr>
          <w:rFonts w:ascii="Palatino Linotype" w:hAnsi="Palatino Linotype"/>
        </w:rPr>
      </w:pPr>
      <w:r w:rsidRPr="00D83E92">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CUARTA </w:t>
      </w:r>
      <w:r w:rsidRPr="00D83E92">
        <w:rPr>
          <w:rFonts w:ascii="Palatino Linotype" w:hAnsi="Palatino Linotype"/>
        </w:rPr>
        <w:lastRenderedPageBreak/>
        <w:t>SESIÓN ORDINARIA CELEBRADA EL DIECIOCHO (18) DE DICIEMBRE DE DOS MIL VEINTICUATRO, ANTE EL SECRETARIO TÉCNICO DEL PLENO ALEXIS TAPIA RAMÍREZ.</w:t>
      </w:r>
      <w:bookmarkStart w:id="4" w:name="_GoBack"/>
      <w:bookmarkEnd w:id="4"/>
      <w:r w:rsidRPr="003C7186">
        <w:rPr>
          <w:rFonts w:ascii="Palatino Linotype" w:hAnsi="Palatino Linotype"/>
        </w:rPr>
        <w:t xml:space="preserve"> </w:t>
      </w:r>
    </w:p>
    <w:p w:rsidR="005B5F6D" w:rsidRDefault="005B5F6D">
      <w:pPr>
        <w:tabs>
          <w:tab w:val="left" w:pos="1842"/>
        </w:tabs>
        <w:rPr>
          <w:rFonts w:ascii="Palatino Linotype" w:eastAsia="Palatino Linotype" w:hAnsi="Palatino Linotype" w:cs="Palatino Linotype"/>
        </w:rPr>
      </w:pPr>
    </w:p>
    <w:sectPr w:rsidR="005B5F6D">
      <w:headerReference w:type="default" r:id="rId12"/>
      <w:footerReference w:type="default" r:id="rId13"/>
      <w:headerReference w:type="first" r:id="rId14"/>
      <w:footerReference w:type="first" r:id="rId15"/>
      <w:pgSz w:w="12240" w:h="15840"/>
      <w:pgMar w:top="1418" w:right="1418" w:bottom="1418"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867" w:rsidRDefault="00926867">
      <w:r>
        <w:separator/>
      </w:r>
    </w:p>
  </w:endnote>
  <w:endnote w:type="continuationSeparator" w:id="0">
    <w:p w:rsidR="00926867" w:rsidRDefault="0092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F6D" w:rsidRDefault="00DF0D09">
    <w:pP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83E92">
      <w:rPr>
        <w:rFonts w:ascii="Palatino Linotype" w:eastAsia="Palatino Linotype" w:hAnsi="Palatino Linotype" w:cs="Palatino Linotype"/>
        <w:b/>
        <w:noProof/>
        <w:color w:val="000000"/>
        <w:sz w:val="20"/>
        <w:szCs w:val="20"/>
      </w:rPr>
      <w:t>39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83E92">
      <w:rPr>
        <w:rFonts w:ascii="Palatino Linotype" w:eastAsia="Palatino Linotype" w:hAnsi="Palatino Linotype" w:cs="Palatino Linotype"/>
        <w:b/>
        <w:noProof/>
        <w:color w:val="000000"/>
        <w:sz w:val="20"/>
        <w:szCs w:val="20"/>
      </w:rPr>
      <w:t>40</w:t>
    </w:r>
    <w:r>
      <w:rPr>
        <w:rFonts w:ascii="Palatino Linotype" w:eastAsia="Palatino Linotype" w:hAnsi="Palatino Linotype" w:cs="Palatino Linotype"/>
        <w:b/>
        <w:color w:val="000000"/>
        <w:sz w:val="20"/>
        <w:szCs w:val="20"/>
      </w:rPr>
      <w:fldChar w:fldCharType="end"/>
    </w:r>
  </w:p>
  <w:p w:rsidR="005B5F6D" w:rsidRDefault="005B5F6D">
    <w:pP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F6D" w:rsidRDefault="00DF0D09">
    <w:pP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83E92">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83E92">
      <w:rPr>
        <w:rFonts w:ascii="Palatino Linotype" w:eastAsia="Palatino Linotype" w:hAnsi="Palatino Linotype" w:cs="Palatino Linotype"/>
        <w:b/>
        <w:noProof/>
        <w:color w:val="000000"/>
        <w:sz w:val="20"/>
        <w:szCs w:val="20"/>
      </w:rPr>
      <w:t>40</w:t>
    </w:r>
    <w:r>
      <w:rPr>
        <w:rFonts w:ascii="Palatino Linotype" w:eastAsia="Palatino Linotype" w:hAnsi="Palatino Linotype" w:cs="Palatino Linotype"/>
        <w:b/>
        <w:color w:val="000000"/>
        <w:sz w:val="20"/>
        <w:szCs w:val="20"/>
      </w:rPr>
      <w:fldChar w:fldCharType="end"/>
    </w:r>
  </w:p>
  <w:p w:rsidR="005B5F6D" w:rsidRDefault="005B5F6D">
    <w:pP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867" w:rsidRDefault="00926867">
      <w:r>
        <w:separator/>
      </w:r>
    </w:p>
  </w:footnote>
  <w:footnote w:type="continuationSeparator" w:id="0">
    <w:p w:rsidR="00926867" w:rsidRDefault="00926867">
      <w:r>
        <w:continuationSeparator/>
      </w:r>
    </w:p>
  </w:footnote>
  <w:footnote w:id="1">
    <w:p w:rsidR="005B5F6D" w:rsidRDefault="00DF0D09">
      <w:pPr>
        <w:pStyle w:val="Textonotapie"/>
      </w:pPr>
      <w:r>
        <w:rPr>
          <w:rStyle w:val="Refdenotaalpie"/>
        </w:rPr>
        <w:footnoteRef/>
      </w:r>
      <w:r>
        <w:t xml:space="preserve"> Artículo 86, Ley Orgánica Municipal del Estado de México.</w:t>
      </w:r>
    </w:p>
  </w:footnote>
  <w:footnote w:id="2">
    <w:p w:rsidR="005B5F6D" w:rsidRDefault="00DF0D09">
      <w:pPr>
        <w:pStyle w:val="Textonotapie"/>
      </w:pPr>
      <w:r>
        <w:rPr>
          <w:rStyle w:val="Refdenotaalpie"/>
        </w:rPr>
        <w:footnoteRef/>
      </w:r>
      <w:r>
        <w:t xml:space="preserve"> Artículo 87, Ídem.</w:t>
      </w:r>
    </w:p>
  </w:footnote>
  <w:footnote w:id="3">
    <w:p w:rsidR="005B5F6D" w:rsidRDefault="00DF0D09">
      <w:pPr>
        <w:pStyle w:val="Textonotapie"/>
      </w:pPr>
      <w:r>
        <w:rPr>
          <w:rStyle w:val="Refdenotaalpie"/>
        </w:rPr>
        <w:footnoteRef/>
      </w:r>
      <w:r>
        <w:t xml:space="preserve"> Artículo 93, Ley Orgánica Municipal del Estado de México.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F6D" w:rsidRDefault="00DF0D09">
    <w:pPr>
      <w:tabs>
        <w:tab w:val="left" w:pos="2326"/>
        <w:tab w:val="center" w:pos="4252"/>
        <w:tab w:val="right" w:pos="8504"/>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7216" behindDoc="1" locked="0" layoutInCell="1" allowOverlap="1">
          <wp:simplePos x="0" y="0"/>
          <wp:positionH relativeFrom="margin">
            <wp:posOffset>-375285</wp:posOffset>
          </wp:positionH>
          <wp:positionV relativeFrom="margin">
            <wp:posOffset>-1220470</wp:posOffset>
          </wp:positionV>
          <wp:extent cx="5791835" cy="7541895"/>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26" name="image1.png"/>
                  <pic:cNvPicPr preferRelativeResize="0"/>
                </pic:nvPicPr>
                <pic:blipFill>
                  <a:blip r:embed="rId1"/>
                  <a:srcRect/>
                  <a:stretch>
                    <a:fillRect/>
                  </a:stretch>
                </pic:blipFill>
                <pic:spPr>
                  <a:xfrm>
                    <a:off x="0" y="0"/>
                    <a:ext cx="5791835" cy="7541895"/>
                  </a:xfrm>
                  <a:prstGeom prst="rect">
                    <a:avLst/>
                  </a:prstGeom>
                </pic:spPr>
              </pic:pic>
            </a:graphicData>
          </a:graphic>
        </wp:anchor>
      </w:drawing>
    </w:r>
    <w:r>
      <w:rPr>
        <w:rFonts w:ascii="Calibri" w:eastAsia="Calibri" w:hAnsi="Calibri" w:cs="Calibri"/>
        <w:color w:val="000000"/>
      </w:rPr>
      <w:t xml:space="preserve">              </w:t>
    </w:r>
  </w:p>
  <w:tbl>
    <w:tblPr>
      <w:tblW w:w="6661" w:type="dxa"/>
      <w:tblInd w:w="2694" w:type="dxa"/>
      <w:tblLayout w:type="fixed"/>
      <w:tblLook w:val="04A0" w:firstRow="1" w:lastRow="0" w:firstColumn="1" w:lastColumn="0" w:noHBand="0" w:noVBand="1"/>
    </w:tblPr>
    <w:tblGrid>
      <w:gridCol w:w="2693"/>
      <w:gridCol w:w="3968"/>
    </w:tblGrid>
    <w:tr w:rsidR="005B5F6D">
      <w:tc>
        <w:tcPr>
          <w:tcW w:w="2693" w:type="dxa"/>
          <w:shd w:val="clear" w:color="auto" w:fill="auto"/>
          <w:vAlign w:val="center"/>
        </w:tcPr>
        <w:p w:rsidR="005B5F6D" w:rsidRDefault="00DF0D0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8" w:type="dxa"/>
          <w:shd w:val="clear" w:color="auto" w:fill="auto"/>
          <w:vAlign w:val="center"/>
        </w:tcPr>
        <w:p w:rsidR="005B5F6D" w:rsidRDefault="00DF0D0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06713/INFOEM/AD/RR/2024</w:t>
          </w:r>
        </w:p>
      </w:tc>
    </w:tr>
    <w:tr w:rsidR="005B5F6D">
      <w:trPr>
        <w:trHeight w:val="228"/>
      </w:trPr>
      <w:tc>
        <w:tcPr>
          <w:tcW w:w="2693" w:type="dxa"/>
          <w:shd w:val="clear" w:color="auto" w:fill="auto"/>
          <w:vAlign w:val="center"/>
        </w:tcPr>
        <w:p w:rsidR="005B5F6D" w:rsidRDefault="00DF0D0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8" w:type="dxa"/>
          <w:shd w:val="clear" w:color="auto" w:fill="auto"/>
          <w:vAlign w:val="center"/>
        </w:tcPr>
        <w:p w:rsidR="005B5F6D" w:rsidRDefault="00DF0D09">
          <w:pPr>
            <w:ind w:right="26"/>
            <w:jc w:val="both"/>
            <w:rPr>
              <w:rFonts w:ascii="Palatino Linotype" w:eastAsia="Palatino Linotype" w:hAnsi="Palatino Linotype" w:cs="Palatino Linotype"/>
              <w:b/>
              <w:sz w:val="22"/>
              <w:szCs w:val="22"/>
            </w:rPr>
          </w:pPr>
          <w:r>
            <w:rPr>
              <w:rFonts w:ascii="Palatino Linotype" w:eastAsia="Palatino Linotype" w:hAnsi="Palatino Linotype" w:cs="Palatino Linotype"/>
              <w:b/>
              <w:bCs/>
              <w:sz w:val="22"/>
              <w:szCs w:val="22"/>
            </w:rPr>
            <w:t>Ayuntamiento de Cuautitlán Izcalli</w:t>
          </w:r>
        </w:p>
      </w:tc>
    </w:tr>
    <w:tr w:rsidR="005B5F6D">
      <w:tc>
        <w:tcPr>
          <w:tcW w:w="2693" w:type="dxa"/>
          <w:shd w:val="clear" w:color="auto" w:fill="auto"/>
          <w:vAlign w:val="center"/>
        </w:tcPr>
        <w:p w:rsidR="005B5F6D" w:rsidRDefault="00DF0D0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8" w:type="dxa"/>
          <w:shd w:val="clear" w:color="auto" w:fill="auto"/>
          <w:vAlign w:val="center"/>
        </w:tcPr>
        <w:p w:rsidR="005B5F6D" w:rsidRDefault="00DF0D09">
          <w:pPr>
            <w:ind w:right="-5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r>
  </w:tbl>
  <w:p w:rsidR="005B5F6D" w:rsidRDefault="00DF0D09">
    <w:pPr>
      <w:tabs>
        <w:tab w:val="left" w:pos="2326"/>
        <w:tab w:val="center" w:pos="4252"/>
        <w:tab w:val="right" w:pos="8504"/>
      </w:tabs>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F6D" w:rsidRDefault="00926867">
    <w:pPr>
      <w:widowControl w:val="0"/>
      <w:spacing w:line="276" w:lineRule="auto"/>
      <w:rPr>
        <w:rFonts w:ascii="Calibri" w:eastAsia="Calibri" w:hAnsi="Calibri" w:cs="Calibri"/>
        <w:color w:val="000000"/>
        <w:sz w:val="20"/>
        <w:szCs w:val="20"/>
      </w:rPr>
    </w:pPr>
    <w:r>
      <w:rPr>
        <w:rFonts w:ascii="Palatino Linotype" w:eastAsia="Palatino Linotype" w:hAnsi="Palatino Linotype" w:cs="Palatino Linotype"/>
        <w:b/>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3.65pt;margin-top:-150.65pt;width:663.5pt;height:12in;z-index:-251658240;mso-position-horizontal-relative:margin;mso-position-vertical-relative:margin;mso-width-relative:page;mso-height-relative:page">
          <v:imagedata r:id="rId1" o:title="image1"/>
          <w10:wrap anchorx="margin" anchory="margin"/>
        </v:shape>
      </w:pict>
    </w:r>
  </w:p>
  <w:tbl>
    <w:tblPr>
      <w:tblW w:w="6661" w:type="dxa"/>
      <w:tblInd w:w="2694" w:type="dxa"/>
      <w:tblLayout w:type="fixed"/>
      <w:tblLook w:val="04A0" w:firstRow="1" w:lastRow="0" w:firstColumn="1" w:lastColumn="0" w:noHBand="0" w:noVBand="1"/>
    </w:tblPr>
    <w:tblGrid>
      <w:gridCol w:w="2693"/>
      <w:gridCol w:w="3968"/>
    </w:tblGrid>
    <w:tr w:rsidR="005B5F6D">
      <w:tc>
        <w:tcPr>
          <w:tcW w:w="2693" w:type="dxa"/>
          <w:shd w:val="clear" w:color="auto" w:fill="auto"/>
          <w:vAlign w:val="center"/>
        </w:tcPr>
        <w:p w:rsidR="005B5F6D" w:rsidRDefault="00DF0D0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8" w:type="dxa"/>
          <w:shd w:val="clear" w:color="auto" w:fill="auto"/>
          <w:vAlign w:val="center"/>
        </w:tcPr>
        <w:p w:rsidR="005B5F6D" w:rsidRDefault="00DF0D0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06713/INFOEM/AD/RR/2024</w:t>
          </w:r>
        </w:p>
      </w:tc>
    </w:tr>
    <w:tr w:rsidR="005B5F6D">
      <w:tc>
        <w:tcPr>
          <w:tcW w:w="2693" w:type="dxa"/>
          <w:shd w:val="clear" w:color="auto" w:fill="auto"/>
          <w:vAlign w:val="center"/>
        </w:tcPr>
        <w:p w:rsidR="005B5F6D" w:rsidRDefault="00DF0D0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8" w:type="dxa"/>
          <w:shd w:val="clear" w:color="auto" w:fill="auto"/>
          <w:vAlign w:val="center"/>
        </w:tcPr>
        <w:p w:rsidR="005B5F6D" w:rsidRDefault="00D83E92">
          <w:pPr>
            <w:rPr>
              <w:rFonts w:ascii="Palatino Linotype" w:eastAsia="Palatino Linotype" w:hAnsi="Palatino Linotype" w:cs="Palatino Linotype"/>
              <w:b/>
              <w:sz w:val="22"/>
              <w:szCs w:val="22"/>
            </w:rPr>
          </w:pPr>
          <w:r>
            <w:rPr>
              <w:rFonts w:ascii="Palatino Linotype" w:eastAsia="Palatino Linotype" w:hAnsi="Palatino Linotype" w:cs="Palatino Linotype"/>
              <w:b/>
              <w:bCs/>
              <w:sz w:val="22"/>
              <w:szCs w:val="22"/>
            </w:rPr>
            <w:t>XXXXXXXXX</w:t>
          </w:r>
        </w:p>
      </w:tc>
    </w:tr>
    <w:tr w:rsidR="005B5F6D">
      <w:trPr>
        <w:trHeight w:val="228"/>
      </w:trPr>
      <w:tc>
        <w:tcPr>
          <w:tcW w:w="2693" w:type="dxa"/>
          <w:shd w:val="clear" w:color="auto" w:fill="auto"/>
          <w:vAlign w:val="center"/>
        </w:tcPr>
        <w:p w:rsidR="005B5F6D" w:rsidRDefault="00DF0D0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8" w:type="dxa"/>
          <w:shd w:val="clear" w:color="auto" w:fill="auto"/>
          <w:vAlign w:val="center"/>
        </w:tcPr>
        <w:p w:rsidR="005B5F6D" w:rsidRDefault="00DF0D09">
          <w:pPr>
            <w:ind w:right="26"/>
            <w:jc w:val="both"/>
            <w:rPr>
              <w:rFonts w:ascii="Palatino Linotype" w:eastAsia="Palatino Linotype" w:hAnsi="Palatino Linotype" w:cs="Palatino Linotype"/>
              <w:b/>
              <w:sz w:val="22"/>
              <w:szCs w:val="22"/>
            </w:rPr>
          </w:pPr>
          <w:r>
            <w:rPr>
              <w:rFonts w:ascii="Palatino Linotype" w:eastAsia="Palatino Linotype" w:hAnsi="Palatino Linotype" w:cs="Palatino Linotype"/>
              <w:b/>
              <w:bCs/>
              <w:sz w:val="22"/>
              <w:szCs w:val="22"/>
            </w:rPr>
            <w:t>Ayuntamiento de Cuautitlán Izcalli</w:t>
          </w:r>
        </w:p>
      </w:tc>
    </w:tr>
    <w:tr w:rsidR="005B5F6D">
      <w:tc>
        <w:tcPr>
          <w:tcW w:w="2693" w:type="dxa"/>
          <w:shd w:val="clear" w:color="auto" w:fill="auto"/>
          <w:vAlign w:val="center"/>
        </w:tcPr>
        <w:p w:rsidR="005B5F6D" w:rsidRDefault="00DF0D0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8" w:type="dxa"/>
          <w:shd w:val="clear" w:color="auto" w:fill="auto"/>
          <w:vAlign w:val="center"/>
        </w:tcPr>
        <w:p w:rsidR="005B5F6D" w:rsidRDefault="00DF0D09">
          <w:pPr>
            <w:ind w:right="-5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r>
  </w:tbl>
  <w:p w:rsidR="005B5F6D" w:rsidRDefault="005B5F6D">
    <w:pPr>
      <w:tabs>
        <w:tab w:val="center" w:pos="4252"/>
        <w:tab w:val="right" w:pos="8504"/>
      </w:tabs>
      <w:rPr>
        <w:rFonts w:ascii="Calibri" w:eastAsia="Calibri" w:hAnsi="Calibri" w:cs="Calibri"/>
        <w:color w:val="000000"/>
      </w:rPr>
    </w:pPr>
  </w:p>
  <w:p w:rsidR="005B5F6D" w:rsidRDefault="005B5F6D">
    <w:pP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B64BF"/>
    <w:multiLevelType w:val="multilevel"/>
    <w:tmpl w:val="1BCB64BF"/>
    <w:lvl w:ilvl="0">
      <w:start w:val="1"/>
      <w:numFmt w:val="bullet"/>
      <w:lvlText w:val=""/>
      <w:lvlJc w:val="left"/>
      <w:pPr>
        <w:ind w:left="1854" w:hanging="360"/>
      </w:pPr>
      <w:rPr>
        <w:rFonts w:ascii="Symbol" w:hAnsi="Symbol"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 w15:restartNumberingAfterBreak="0">
    <w:nsid w:val="34317490"/>
    <w:multiLevelType w:val="multilevel"/>
    <w:tmpl w:val="34317490"/>
    <w:lvl w:ilvl="0">
      <w:start w:val="1"/>
      <w:numFmt w:val="decimal"/>
      <w:lvlText w:val="%1."/>
      <w:lvlJc w:val="left"/>
      <w:pPr>
        <w:ind w:left="0" w:firstLine="0"/>
      </w:pPr>
      <w:rPr>
        <w:rFonts w:ascii="Palatino Linotype" w:hAnsi="Palatino Linotype" w:hint="default"/>
        <w:b/>
        <w:i w:val="0"/>
        <w:sz w:val="24"/>
      </w:rPr>
    </w:lvl>
    <w:lvl w:ilvl="1">
      <w:start w:val="1"/>
      <w:numFmt w:val="upperRoman"/>
      <w:lvlText w:val="%2."/>
      <w:lvlJc w:val="right"/>
      <w:pPr>
        <w:ind w:left="1440" w:hanging="360"/>
      </w:pPr>
      <w:rPr>
        <w:b/>
        <w:bCs/>
        <w:i w:val="0"/>
        <w:iCs/>
      </w:rPr>
    </w:lvl>
    <w:lvl w:ilvl="2">
      <w:start w:val="1"/>
      <w:numFmt w:val="bullet"/>
      <w:lvlText w:val=""/>
      <w:lvlJc w:val="left"/>
      <w:pPr>
        <w:ind w:left="2340" w:hanging="360"/>
      </w:pPr>
      <w:rPr>
        <w:rFonts w:ascii="Wingdings" w:hAnsi="Wingdings" w:cs="Wingdings" w:hint="default"/>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5A10EE"/>
    <w:multiLevelType w:val="multilevel"/>
    <w:tmpl w:val="525A10E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 w15:restartNumberingAfterBreak="0">
    <w:nsid w:val="553D5357"/>
    <w:multiLevelType w:val="multilevel"/>
    <w:tmpl w:val="553D5357"/>
    <w:lvl w:ilvl="0">
      <w:start w:val="1"/>
      <w:numFmt w:val="lowerLetter"/>
      <w:lvlText w:val="%1)"/>
      <w:lvlJc w:val="left"/>
      <w:pPr>
        <w:ind w:left="1428" w:hanging="360"/>
      </w:pPr>
      <w:rPr>
        <w:rFont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4" w15:restartNumberingAfterBreak="0">
    <w:nsid w:val="67573210"/>
    <w:multiLevelType w:val="multilevel"/>
    <w:tmpl w:val="67573210"/>
    <w:lvl w:ilvl="0">
      <w:start w:val="1"/>
      <w:numFmt w:val="decimal"/>
      <w:lvlText w:val="%1."/>
      <w:lvlJc w:val="left"/>
      <w:pPr>
        <w:ind w:left="291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3B7"/>
    <w:rsid w:val="00000CD6"/>
    <w:rsid w:val="000127ED"/>
    <w:rsid w:val="00016A4D"/>
    <w:rsid w:val="0001785E"/>
    <w:rsid w:val="00053509"/>
    <w:rsid w:val="000A3029"/>
    <w:rsid w:val="000B4ACA"/>
    <w:rsid w:val="000C6C98"/>
    <w:rsid w:val="00100ACE"/>
    <w:rsid w:val="001053B7"/>
    <w:rsid w:val="00112412"/>
    <w:rsid w:val="0012229C"/>
    <w:rsid w:val="00133EAB"/>
    <w:rsid w:val="00144309"/>
    <w:rsid w:val="00180CD2"/>
    <w:rsid w:val="001B1BAF"/>
    <w:rsid w:val="001C64BE"/>
    <w:rsid w:val="001E278C"/>
    <w:rsid w:val="001E4E1A"/>
    <w:rsid w:val="002105C6"/>
    <w:rsid w:val="002113C6"/>
    <w:rsid w:val="00212042"/>
    <w:rsid w:val="00231593"/>
    <w:rsid w:val="00231BF3"/>
    <w:rsid w:val="00234CD8"/>
    <w:rsid w:val="00243341"/>
    <w:rsid w:val="00250965"/>
    <w:rsid w:val="00253B02"/>
    <w:rsid w:val="00256287"/>
    <w:rsid w:val="00290795"/>
    <w:rsid w:val="002C3499"/>
    <w:rsid w:val="002D09C6"/>
    <w:rsid w:val="002F00BF"/>
    <w:rsid w:val="002F3443"/>
    <w:rsid w:val="00304483"/>
    <w:rsid w:val="00311E36"/>
    <w:rsid w:val="00314FAB"/>
    <w:rsid w:val="00320973"/>
    <w:rsid w:val="00321B2F"/>
    <w:rsid w:val="00325C00"/>
    <w:rsid w:val="00336198"/>
    <w:rsid w:val="003437DB"/>
    <w:rsid w:val="00344E2F"/>
    <w:rsid w:val="003C7707"/>
    <w:rsid w:val="003E3A12"/>
    <w:rsid w:val="003F0F5C"/>
    <w:rsid w:val="00445AE7"/>
    <w:rsid w:val="00481087"/>
    <w:rsid w:val="004818C6"/>
    <w:rsid w:val="004F7FFB"/>
    <w:rsid w:val="0050577F"/>
    <w:rsid w:val="00552D53"/>
    <w:rsid w:val="00581E22"/>
    <w:rsid w:val="005B5F6D"/>
    <w:rsid w:val="005D0D4C"/>
    <w:rsid w:val="005E1DEC"/>
    <w:rsid w:val="005E43F9"/>
    <w:rsid w:val="005E4827"/>
    <w:rsid w:val="006079CE"/>
    <w:rsid w:val="00651B56"/>
    <w:rsid w:val="00666EAC"/>
    <w:rsid w:val="006D2050"/>
    <w:rsid w:val="006F60B9"/>
    <w:rsid w:val="00701821"/>
    <w:rsid w:val="0071544D"/>
    <w:rsid w:val="00716B5C"/>
    <w:rsid w:val="00782798"/>
    <w:rsid w:val="00790059"/>
    <w:rsid w:val="007A3061"/>
    <w:rsid w:val="007A6ABB"/>
    <w:rsid w:val="007C162B"/>
    <w:rsid w:val="007C60B4"/>
    <w:rsid w:val="007F52FC"/>
    <w:rsid w:val="008034D0"/>
    <w:rsid w:val="008066AF"/>
    <w:rsid w:val="0081216D"/>
    <w:rsid w:val="008425EF"/>
    <w:rsid w:val="0084477A"/>
    <w:rsid w:val="00857931"/>
    <w:rsid w:val="00871B9A"/>
    <w:rsid w:val="008960DB"/>
    <w:rsid w:val="008E61D2"/>
    <w:rsid w:val="009148EF"/>
    <w:rsid w:val="00914B64"/>
    <w:rsid w:val="00926867"/>
    <w:rsid w:val="00932115"/>
    <w:rsid w:val="00933DA3"/>
    <w:rsid w:val="00965380"/>
    <w:rsid w:val="00991755"/>
    <w:rsid w:val="009A5F06"/>
    <w:rsid w:val="009C545C"/>
    <w:rsid w:val="009D1E5D"/>
    <w:rsid w:val="009F0FE8"/>
    <w:rsid w:val="00A01E77"/>
    <w:rsid w:val="00A11E43"/>
    <w:rsid w:val="00A31CCA"/>
    <w:rsid w:val="00A416C9"/>
    <w:rsid w:val="00A52434"/>
    <w:rsid w:val="00A5777F"/>
    <w:rsid w:val="00A91BEE"/>
    <w:rsid w:val="00AA5504"/>
    <w:rsid w:val="00AA6E78"/>
    <w:rsid w:val="00AE76F6"/>
    <w:rsid w:val="00AF796B"/>
    <w:rsid w:val="00AF7E89"/>
    <w:rsid w:val="00B0099F"/>
    <w:rsid w:val="00B17654"/>
    <w:rsid w:val="00B41BF4"/>
    <w:rsid w:val="00B44B3F"/>
    <w:rsid w:val="00B47731"/>
    <w:rsid w:val="00B64874"/>
    <w:rsid w:val="00B9223F"/>
    <w:rsid w:val="00B96FA6"/>
    <w:rsid w:val="00B97687"/>
    <w:rsid w:val="00BA4920"/>
    <w:rsid w:val="00BB0BD1"/>
    <w:rsid w:val="00BC34EB"/>
    <w:rsid w:val="00BE42F2"/>
    <w:rsid w:val="00BF581F"/>
    <w:rsid w:val="00C20BDB"/>
    <w:rsid w:val="00C510E5"/>
    <w:rsid w:val="00C6303C"/>
    <w:rsid w:val="00C655D5"/>
    <w:rsid w:val="00CA3BE7"/>
    <w:rsid w:val="00CC4533"/>
    <w:rsid w:val="00CC5FD8"/>
    <w:rsid w:val="00CF030E"/>
    <w:rsid w:val="00D04400"/>
    <w:rsid w:val="00D07ECD"/>
    <w:rsid w:val="00D115CF"/>
    <w:rsid w:val="00D31AB6"/>
    <w:rsid w:val="00D40133"/>
    <w:rsid w:val="00D425A0"/>
    <w:rsid w:val="00D45C2A"/>
    <w:rsid w:val="00D83E92"/>
    <w:rsid w:val="00DC051B"/>
    <w:rsid w:val="00DC0D28"/>
    <w:rsid w:val="00DD22D3"/>
    <w:rsid w:val="00DF0D09"/>
    <w:rsid w:val="00DF0DD8"/>
    <w:rsid w:val="00DF2116"/>
    <w:rsid w:val="00DF7C02"/>
    <w:rsid w:val="00E143C7"/>
    <w:rsid w:val="00E42836"/>
    <w:rsid w:val="00E52269"/>
    <w:rsid w:val="00E802E4"/>
    <w:rsid w:val="00E80AD5"/>
    <w:rsid w:val="00E82D18"/>
    <w:rsid w:val="00E87263"/>
    <w:rsid w:val="00E93460"/>
    <w:rsid w:val="00EB5124"/>
    <w:rsid w:val="00EC0753"/>
    <w:rsid w:val="00EC47A6"/>
    <w:rsid w:val="00F32ABF"/>
    <w:rsid w:val="00F40DBE"/>
    <w:rsid w:val="00F66FDF"/>
    <w:rsid w:val="00F73E53"/>
    <w:rsid w:val="00F82417"/>
    <w:rsid w:val="00F83097"/>
    <w:rsid w:val="00F85A70"/>
    <w:rsid w:val="00FA5B3B"/>
    <w:rsid w:val="00FE36D1"/>
    <w:rsid w:val="0AF85D40"/>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43722E7-0E40-4B75-9321-4BBE908F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Times New Roman" w:eastAsia="Times New Roman" w:hAnsi="Times New Roman" w:cs="Times New Roman"/>
      <w:sz w:val="24"/>
      <w:szCs w:val="24"/>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lang w:eastAsia="es-ES"/>
    </w:rPr>
  </w:style>
  <w:style w:type="paragraph" w:styleId="Ttulo3">
    <w:name w:val="heading 3"/>
    <w:basedOn w:val="Normal"/>
    <w:next w:val="Normal"/>
    <w:link w:val="Ttulo3C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unhideWhenUsed/>
    <w:qFormat/>
    <w:rPr>
      <w:vertAlign w:val="superscript"/>
    </w:rPr>
  </w:style>
  <w:style w:type="character" w:styleId="Hipervnculo">
    <w:name w:val="Hyperlink"/>
    <w:basedOn w:val="Fuentedeprrafopredeter"/>
    <w:uiPriority w:val="99"/>
    <w:unhideWhenUsed/>
    <w:qFormat/>
    <w:rPr>
      <w:color w:val="0563C1" w:themeColor="hyperlink"/>
      <w:u w:val="single"/>
    </w:rPr>
  </w:style>
  <w:style w:type="paragraph" w:styleId="Textonotapie">
    <w:name w:val="footnote text"/>
    <w:basedOn w:val="Normal"/>
    <w:link w:val="TextonotapieCar"/>
    <w:uiPriority w:val="99"/>
    <w:unhideWhenUsed/>
    <w:qFormat/>
    <w:rPr>
      <w:rFonts w:asciiTheme="minorHAnsi" w:eastAsiaTheme="minorHAnsi" w:hAnsiTheme="minorHAnsi" w:cstheme="minorBidi"/>
      <w:sz w:val="20"/>
      <w:szCs w:val="20"/>
      <w:lang w:eastAsia="en-US"/>
    </w:rPr>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paragraph" w:styleId="Puesto">
    <w:name w:val="Title"/>
    <w:basedOn w:val="Normal"/>
    <w:next w:val="Normal"/>
    <w:link w:val="PuestoCar"/>
    <w:qFormat/>
    <w:pPr>
      <w:keepNext/>
      <w:keepLines/>
      <w:spacing w:before="480" w:after="120"/>
    </w:pPr>
    <w:rPr>
      <w:rFonts w:ascii="Calibri" w:eastAsiaTheme="minorEastAsia" w:hAnsi="Calibri" w:cs="Calibri"/>
      <w:b/>
      <w:sz w:val="72"/>
      <w:szCs w:val="72"/>
      <w:lang w:eastAsia="es-ES"/>
    </w:rPr>
  </w:style>
  <w:style w:type="character" w:customStyle="1" w:styleId="Ttulo2Car">
    <w:name w:val="Título 2 Car"/>
    <w:basedOn w:val="Fuentedeprrafopredeter"/>
    <w:link w:val="Ttulo2"/>
    <w:uiPriority w:val="9"/>
    <w:rPr>
      <w:rFonts w:asciiTheme="majorHAnsi" w:eastAsiaTheme="majorEastAsia" w:hAnsiTheme="majorHAnsi" w:cstheme="majorBidi"/>
      <w:color w:val="2E74B5" w:themeColor="accent1" w:themeShade="BF"/>
      <w:sz w:val="26"/>
      <w:szCs w:val="26"/>
      <w:lang w:eastAsia="es-ES"/>
    </w:rPr>
  </w:style>
  <w:style w:type="paragraph" w:styleId="Prrafodelista">
    <w:name w:val="List Paragraph"/>
    <w:basedOn w:val="Normal"/>
    <w:link w:val="PrrafodelistaCar"/>
    <w:uiPriority w:val="34"/>
    <w:qFormat/>
    <w:pPr>
      <w:ind w:left="720"/>
      <w:contextualSpacing/>
    </w:pPr>
  </w:style>
  <w:style w:type="character" w:customStyle="1" w:styleId="PrrafodelistaCar">
    <w:name w:val="Párrafo de lista Car"/>
    <w:link w:val="Prrafodelista"/>
    <w:uiPriority w:val="34"/>
    <w:qFormat/>
    <w:locked/>
    <w:rPr>
      <w:rFonts w:ascii="Times New Roman" w:eastAsia="Times New Roman" w:hAnsi="Times New Roman" w:cs="Times New Roman"/>
      <w:sz w:val="24"/>
      <w:szCs w:val="24"/>
      <w:lang w:eastAsia="es-MX"/>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4"/>
      <w:szCs w:val="24"/>
      <w:lang w:eastAsia="es-MX"/>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eastAsia="es-ES"/>
    </w:rPr>
  </w:style>
  <w:style w:type="character" w:customStyle="1" w:styleId="Ttulo3Car">
    <w:name w:val="Título 3 Car"/>
    <w:basedOn w:val="Fuentedeprrafopredeter"/>
    <w:link w:val="Ttulo3"/>
    <w:uiPriority w:val="9"/>
    <w:semiHidden/>
    <w:qFormat/>
    <w:rPr>
      <w:rFonts w:asciiTheme="majorHAnsi" w:eastAsiaTheme="majorEastAsia" w:hAnsiTheme="majorHAnsi" w:cstheme="majorBidi"/>
      <w:color w:val="1F4E79" w:themeColor="accent1" w:themeShade="80"/>
      <w:sz w:val="24"/>
      <w:szCs w:val="24"/>
      <w:lang w:eastAsia="es-ES"/>
    </w:rPr>
  </w:style>
  <w:style w:type="character" w:customStyle="1" w:styleId="TextonotapieCar">
    <w:name w:val="Texto nota pie Car"/>
    <w:basedOn w:val="Fuentedeprrafopredeter"/>
    <w:link w:val="Textonotapie"/>
    <w:uiPriority w:val="99"/>
    <w:qFormat/>
    <w:rPr>
      <w:sz w:val="20"/>
      <w:szCs w:val="20"/>
    </w:rPr>
  </w:style>
  <w:style w:type="paragraph" w:customStyle="1" w:styleId="INFOEM">
    <w:name w:val="INFOEM"/>
    <w:basedOn w:val="Normal"/>
    <w:qFormat/>
    <w:pPr>
      <w:spacing w:before="240" w:after="160" w:line="360" w:lineRule="auto"/>
      <w:ind w:left="851" w:right="851"/>
      <w:jc w:val="both"/>
    </w:pPr>
    <w:rPr>
      <w:rFonts w:ascii="Palatino Linotype" w:eastAsiaTheme="minorHAnsi" w:hAnsi="Palatino Linotype" w:cstheme="minorBidi"/>
      <w:i/>
      <w:color w:val="000000"/>
      <w:sz w:val="22"/>
      <w:szCs w:val="14"/>
      <w:lang w:eastAsia="en-US"/>
    </w:rPr>
  </w:style>
  <w:style w:type="character" w:customStyle="1" w:styleId="PuestoCar">
    <w:name w:val="Puesto Car"/>
    <w:basedOn w:val="Fuentedeprrafopredeter"/>
    <w:link w:val="Puesto"/>
    <w:qFormat/>
    <w:rPr>
      <w:rFonts w:ascii="Calibri" w:eastAsiaTheme="minorEastAsia" w:hAnsi="Calibri" w:cs="Calibri"/>
      <w:b/>
      <w:sz w:val="72"/>
      <w:szCs w:val="7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biernocizcalli.com.mx/VUEL/index.ph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javascript:AbrirModal(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40</Pages>
  <Words>10129</Words>
  <Characters>55710</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INFOEM403</cp:lastModifiedBy>
  <cp:revision>7</cp:revision>
  <dcterms:created xsi:type="dcterms:W3CDTF">2024-12-16T18:19:00Z</dcterms:created>
  <dcterms:modified xsi:type="dcterms:W3CDTF">2025-01-24T16:23:00Z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2058-12.2.0.18911</vt:lpwstr>
  </property>
  <property fmtid="{D5CDD505-2E9C-101B-9397-08002B2CF9AE}" pid="3" name="ICV">
    <vt:lpwstr>615863F5E4E543608D7FC9C72BC863C4_13</vt:lpwstr>
  </property>
</Properties>
</file>