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FE3D52" w:rsidRDefault="009461D1" w:rsidP="009461D1">
          <w:pPr>
            <w:pStyle w:val="TtulodeTDC"/>
            <w:rPr>
              <w:sz w:val="24"/>
              <w:szCs w:val="24"/>
            </w:rPr>
          </w:pPr>
          <w:r w:rsidRPr="00FE3D52">
            <w:rPr>
              <w:sz w:val="24"/>
              <w:szCs w:val="24"/>
              <w:lang w:val="es-ES"/>
            </w:rPr>
            <w:t>Contenido</w:t>
          </w:r>
        </w:p>
        <w:p w14:paraId="60416812" w14:textId="18CF5D19" w:rsidR="00364EFF" w:rsidRPr="00FE3D52" w:rsidRDefault="009461D1">
          <w:pPr>
            <w:pStyle w:val="TDC1"/>
            <w:tabs>
              <w:tab w:val="right" w:leader="dot" w:pos="9062"/>
            </w:tabs>
            <w:rPr>
              <w:rFonts w:asciiTheme="minorHAnsi" w:eastAsiaTheme="minorEastAsia" w:hAnsiTheme="minorHAnsi" w:cstheme="minorBidi"/>
              <w:noProof/>
              <w:color w:val="auto"/>
            </w:rPr>
          </w:pPr>
          <w:r w:rsidRPr="00FE3D52">
            <w:fldChar w:fldCharType="begin"/>
          </w:r>
          <w:r w:rsidRPr="00FE3D52">
            <w:instrText xml:space="preserve"> TOC \o "1-3" \h \z \u </w:instrText>
          </w:r>
          <w:r w:rsidRPr="00FE3D52">
            <w:fldChar w:fldCharType="separate"/>
          </w:r>
          <w:hyperlink w:anchor="_Toc180624189" w:history="1">
            <w:r w:rsidR="00364EFF" w:rsidRPr="00FE3D52">
              <w:rPr>
                <w:rStyle w:val="Hipervnculo"/>
                <w:noProof/>
              </w:rPr>
              <w:t>A N T E C E D E N T E S</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_Toc180624189 \h </w:instrText>
            </w:r>
            <w:r w:rsidR="00364EFF" w:rsidRPr="00FE3D52">
              <w:rPr>
                <w:noProof/>
                <w:webHidden/>
              </w:rPr>
            </w:r>
            <w:r w:rsidR="00364EFF" w:rsidRPr="00FE3D52">
              <w:rPr>
                <w:noProof/>
                <w:webHidden/>
              </w:rPr>
              <w:fldChar w:fldCharType="separate"/>
            </w:r>
            <w:r w:rsidR="005627CA">
              <w:rPr>
                <w:noProof/>
                <w:webHidden/>
              </w:rPr>
              <w:t>2</w:t>
            </w:r>
            <w:r w:rsidR="00364EFF" w:rsidRPr="00FE3D52">
              <w:rPr>
                <w:noProof/>
                <w:webHidden/>
              </w:rPr>
              <w:fldChar w:fldCharType="end"/>
            </w:r>
          </w:hyperlink>
        </w:p>
        <w:p w14:paraId="484266E3" w14:textId="4F600E3F"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190" w:history="1">
            <w:r w:rsidR="00364EFF" w:rsidRPr="00FE3D52">
              <w:rPr>
                <w:rStyle w:val="Hipervnculo"/>
                <w:noProof/>
              </w:rPr>
              <w:t>I. Presentación de la solicitud de acceso a datos personales</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_Toc180624190 \h </w:instrText>
            </w:r>
            <w:r w:rsidR="00364EFF" w:rsidRPr="00FE3D52">
              <w:rPr>
                <w:noProof/>
                <w:webHidden/>
              </w:rPr>
            </w:r>
            <w:r w:rsidR="00364EFF" w:rsidRPr="00FE3D52">
              <w:rPr>
                <w:noProof/>
                <w:webHidden/>
              </w:rPr>
              <w:fldChar w:fldCharType="separate"/>
            </w:r>
            <w:r w:rsidR="005627CA">
              <w:rPr>
                <w:noProof/>
                <w:webHidden/>
              </w:rPr>
              <w:t>2</w:t>
            </w:r>
            <w:r w:rsidR="00364EFF" w:rsidRPr="00FE3D52">
              <w:rPr>
                <w:noProof/>
                <w:webHidden/>
              </w:rPr>
              <w:fldChar w:fldCharType="end"/>
            </w:r>
          </w:hyperlink>
        </w:p>
        <w:p w14:paraId="3671DEF8" w14:textId="517CF8A6"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191" w:history="1">
            <w:r w:rsidR="00364EFF" w:rsidRPr="00FE3D52">
              <w:rPr>
                <w:rStyle w:val="Hipervnculo"/>
                <w:noProof/>
              </w:rPr>
              <w:t>II. Solicitud de aclaración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_Toc180624191 \h </w:instrText>
            </w:r>
            <w:r w:rsidR="00364EFF" w:rsidRPr="00FE3D52">
              <w:rPr>
                <w:noProof/>
                <w:webHidden/>
              </w:rPr>
            </w:r>
            <w:r w:rsidR="00364EFF" w:rsidRPr="00FE3D52">
              <w:rPr>
                <w:noProof/>
                <w:webHidden/>
              </w:rPr>
              <w:fldChar w:fldCharType="separate"/>
            </w:r>
            <w:r w:rsidR="005627CA">
              <w:rPr>
                <w:noProof/>
                <w:webHidden/>
              </w:rPr>
              <w:t>3</w:t>
            </w:r>
            <w:r w:rsidR="00364EFF" w:rsidRPr="00FE3D52">
              <w:rPr>
                <w:noProof/>
                <w:webHidden/>
              </w:rPr>
              <w:fldChar w:fldCharType="end"/>
            </w:r>
          </w:hyperlink>
        </w:p>
        <w:p w14:paraId="49839507" w14:textId="5CA04387"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192" w:history="1">
            <w:r w:rsidR="00364EFF" w:rsidRPr="00FE3D52">
              <w:rPr>
                <w:rStyle w:val="Hipervnculo"/>
                <w:noProof/>
              </w:rPr>
              <w:t>III. Respuesta a la solicitud</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_Toc180624192 \h </w:instrText>
            </w:r>
            <w:r w:rsidR="00364EFF" w:rsidRPr="00FE3D52">
              <w:rPr>
                <w:noProof/>
                <w:webHidden/>
              </w:rPr>
            </w:r>
            <w:r w:rsidR="00364EFF" w:rsidRPr="00FE3D52">
              <w:rPr>
                <w:noProof/>
                <w:webHidden/>
              </w:rPr>
              <w:fldChar w:fldCharType="separate"/>
            </w:r>
            <w:r w:rsidR="005627CA">
              <w:rPr>
                <w:noProof/>
                <w:webHidden/>
              </w:rPr>
              <w:t>3</w:t>
            </w:r>
            <w:r w:rsidR="00364EFF" w:rsidRPr="00FE3D52">
              <w:rPr>
                <w:noProof/>
                <w:webHidden/>
              </w:rPr>
              <w:fldChar w:fldCharType="end"/>
            </w:r>
          </w:hyperlink>
        </w:p>
        <w:p w14:paraId="57F90B94" w14:textId="6F66AEAA"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193" w:history="1">
            <w:r w:rsidR="00364EFF" w:rsidRPr="00FE3D52">
              <w:rPr>
                <w:rStyle w:val="Hipervnculo"/>
                <w:noProof/>
              </w:rPr>
              <w:t>IV. Interposición del Recurso de Revisión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_Toc180624193 \h </w:instrText>
            </w:r>
            <w:r w:rsidR="00364EFF" w:rsidRPr="00FE3D52">
              <w:rPr>
                <w:noProof/>
                <w:webHidden/>
              </w:rPr>
            </w:r>
            <w:r w:rsidR="00364EFF" w:rsidRPr="00FE3D52">
              <w:rPr>
                <w:noProof/>
                <w:webHidden/>
              </w:rPr>
              <w:fldChar w:fldCharType="separate"/>
            </w:r>
            <w:r w:rsidR="005627CA">
              <w:rPr>
                <w:noProof/>
                <w:webHidden/>
              </w:rPr>
              <w:t>4</w:t>
            </w:r>
            <w:r w:rsidR="00364EFF" w:rsidRPr="00FE3D52">
              <w:rPr>
                <w:noProof/>
                <w:webHidden/>
              </w:rPr>
              <w:fldChar w:fldCharType="end"/>
            </w:r>
          </w:hyperlink>
        </w:p>
        <w:p w14:paraId="083E0509" w14:textId="3A9B4C23"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194" w:history="1">
            <w:r w:rsidR="00364EFF" w:rsidRPr="00FE3D52">
              <w:rPr>
                <w:rStyle w:val="Hipervnculo"/>
                <w:noProof/>
              </w:rPr>
              <w:t>V. Trámite del Recurso de Revisión ante este Instituto</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_Toc180624194 \h </w:instrText>
            </w:r>
            <w:r w:rsidR="00364EFF" w:rsidRPr="00FE3D52">
              <w:rPr>
                <w:noProof/>
                <w:webHidden/>
              </w:rPr>
            </w:r>
            <w:r w:rsidR="00364EFF" w:rsidRPr="00FE3D52">
              <w:rPr>
                <w:noProof/>
                <w:webHidden/>
              </w:rPr>
              <w:fldChar w:fldCharType="separate"/>
            </w:r>
            <w:r w:rsidR="005627CA">
              <w:rPr>
                <w:noProof/>
                <w:webHidden/>
              </w:rPr>
              <w:t>5</w:t>
            </w:r>
            <w:r w:rsidR="00364EFF" w:rsidRPr="00FE3D52">
              <w:rPr>
                <w:noProof/>
                <w:webHidden/>
              </w:rPr>
              <w:fldChar w:fldCharType="end"/>
            </w:r>
          </w:hyperlink>
        </w:p>
        <w:p w14:paraId="4E53DCB2" w14:textId="3BE7B064"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195" w:history="1">
            <w:r w:rsidR="00364EFF" w:rsidRPr="00FE3D52">
              <w:rPr>
                <w:rStyle w:val="Hipervnculo"/>
                <w:noProof/>
              </w:rPr>
              <w:t>a)</w:t>
            </w:r>
            <w:r w:rsidR="00364EFF" w:rsidRPr="00FE3D52">
              <w:rPr>
                <w:rFonts w:asciiTheme="minorHAnsi" w:eastAsiaTheme="minorEastAsia" w:hAnsiTheme="minorHAnsi" w:cstheme="minorBidi"/>
                <w:noProof/>
                <w:color w:val="auto"/>
              </w:rPr>
              <w:tab/>
            </w:r>
            <w:r w:rsidR="00364EFF" w:rsidRPr="00FE3D52">
              <w:rPr>
                <w:rStyle w:val="Hipervnculo"/>
                <w:noProof/>
              </w:rPr>
              <w:t>Turno del Medio de Impugnación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_Toc180624195 \h </w:instrText>
            </w:r>
            <w:r w:rsidR="00364EFF" w:rsidRPr="00FE3D52">
              <w:rPr>
                <w:noProof/>
                <w:webHidden/>
              </w:rPr>
            </w:r>
            <w:r w:rsidR="00364EFF" w:rsidRPr="00FE3D52">
              <w:rPr>
                <w:noProof/>
                <w:webHidden/>
              </w:rPr>
              <w:fldChar w:fldCharType="separate"/>
            </w:r>
            <w:r w:rsidR="005627CA">
              <w:rPr>
                <w:noProof/>
                <w:webHidden/>
              </w:rPr>
              <w:t>5</w:t>
            </w:r>
            <w:r w:rsidR="00364EFF" w:rsidRPr="00FE3D52">
              <w:rPr>
                <w:noProof/>
                <w:webHidden/>
              </w:rPr>
              <w:fldChar w:fldCharType="end"/>
            </w:r>
          </w:hyperlink>
        </w:p>
        <w:p w14:paraId="02467BE0" w14:textId="22080262"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196" w:history="1">
            <w:r w:rsidR="00364EFF" w:rsidRPr="00FE3D52">
              <w:rPr>
                <w:rStyle w:val="Hipervnculo"/>
                <w:noProof/>
              </w:rPr>
              <w:t>b)</w:t>
            </w:r>
            <w:r w:rsidR="00364EFF" w:rsidRPr="00FE3D52">
              <w:rPr>
                <w:rFonts w:asciiTheme="minorHAnsi" w:eastAsiaTheme="minorEastAsia" w:hAnsiTheme="minorHAnsi" w:cstheme="minorBidi"/>
                <w:noProof/>
                <w:color w:val="auto"/>
              </w:rPr>
              <w:tab/>
            </w:r>
            <w:r w:rsidR="00364EFF" w:rsidRPr="00FE3D52">
              <w:rPr>
                <w:rStyle w:val="Hipervnculo"/>
                <w:noProof/>
              </w:rPr>
              <w:t>Admisión del Medio de Impugnación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_Toc180624196 \h </w:instrText>
            </w:r>
            <w:r w:rsidR="00364EFF" w:rsidRPr="00FE3D52">
              <w:rPr>
                <w:noProof/>
                <w:webHidden/>
              </w:rPr>
            </w:r>
            <w:r w:rsidR="00364EFF" w:rsidRPr="00FE3D52">
              <w:rPr>
                <w:noProof/>
                <w:webHidden/>
              </w:rPr>
              <w:fldChar w:fldCharType="separate"/>
            </w:r>
            <w:r w:rsidR="005627CA">
              <w:rPr>
                <w:noProof/>
                <w:webHidden/>
              </w:rPr>
              <w:t>5</w:t>
            </w:r>
            <w:r w:rsidR="00364EFF" w:rsidRPr="00FE3D52">
              <w:rPr>
                <w:noProof/>
                <w:webHidden/>
              </w:rPr>
              <w:fldChar w:fldCharType="end"/>
            </w:r>
          </w:hyperlink>
        </w:p>
        <w:p w14:paraId="650AE05E" w14:textId="283DFCFF"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197" w:history="1">
            <w:r w:rsidR="00364EFF" w:rsidRPr="00FE3D52">
              <w:rPr>
                <w:rStyle w:val="Hipervnculo"/>
                <w:rFonts w:cs="Tahoma"/>
                <w:iCs/>
                <w:noProof/>
              </w:rPr>
              <w:t>c)</w:t>
            </w:r>
            <w:r w:rsidR="00364EFF" w:rsidRPr="00FE3D52">
              <w:rPr>
                <w:rFonts w:asciiTheme="minorHAnsi" w:eastAsiaTheme="minorEastAsia" w:hAnsiTheme="minorHAnsi" w:cstheme="minorBidi"/>
                <w:noProof/>
                <w:color w:val="auto"/>
              </w:rPr>
              <w:tab/>
            </w:r>
            <w:r w:rsidR="00364EFF" w:rsidRPr="00FE3D52">
              <w:rPr>
                <w:rStyle w:val="Hipervnculo"/>
                <w:noProof/>
              </w:rPr>
              <w:t>Apertura de la Etapa de Conciliación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_Toc180624197 \h </w:instrText>
            </w:r>
            <w:r w:rsidR="00364EFF" w:rsidRPr="00FE3D52">
              <w:rPr>
                <w:noProof/>
                <w:webHidden/>
              </w:rPr>
            </w:r>
            <w:r w:rsidR="00364EFF" w:rsidRPr="00FE3D52">
              <w:rPr>
                <w:noProof/>
                <w:webHidden/>
              </w:rPr>
              <w:fldChar w:fldCharType="separate"/>
            </w:r>
            <w:r w:rsidR="005627CA">
              <w:rPr>
                <w:noProof/>
                <w:webHidden/>
              </w:rPr>
              <w:t>5</w:t>
            </w:r>
            <w:r w:rsidR="00364EFF" w:rsidRPr="00FE3D52">
              <w:rPr>
                <w:noProof/>
                <w:webHidden/>
              </w:rPr>
              <w:fldChar w:fldCharType="end"/>
            </w:r>
          </w:hyperlink>
        </w:p>
        <w:p w14:paraId="6D4E657E" w14:textId="0AE9681A"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198" w:history="1">
            <w:r w:rsidR="00364EFF" w:rsidRPr="00FE3D52">
              <w:rPr>
                <w:rStyle w:val="Hipervnculo"/>
                <w:noProof/>
              </w:rPr>
              <w:t>d)</w:t>
            </w:r>
            <w:r w:rsidR="00364EFF" w:rsidRPr="00FE3D52">
              <w:rPr>
                <w:rFonts w:asciiTheme="minorHAnsi" w:eastAsiaTheme="minorEastAsia" w:hAnsiTheme="minorHAnsi" w:cstheme="minorBidi"/>
                <w:noProof/>
                <w:color w:val="auto"/>
              </w:rPr>
              <w:tab/>
            </w:r>
            <w:r w:rsidR="00364EFF" w:rsidRPr="00FE3D52">
              <w:rPr>
                <w:rStyle w:val="Hipervnculo"/>
                <w:noProof/>
              </w:rPr>
              <w:t>Informe Justificado</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_Toc180624198 \h </w:instrText>
            </w:r>
            <w:r w:rsidR="00364EFF" w:rsidRPr="00FE3D52">
              <w:rPr>
                <w:noProof/>
                <w:webHidden/>
              </w:rPr>
            </w:r>
            <w:r w:rsidR="00364EFF" w:rsidRPr="00FE3D52">
              <w:rPr>
                <w:noProof/>
                <w:webHidden/>
              </w:rPr>
              <w:fldChar w:fldCharType="separate"/>
            </w:r>
            <w:r w:rsidR="005627CA">
              <w:rPr>
                <w:noProof/>
                <w:webHidden/>
              </w:rPr>
              <w:t>5</w:t>
            </w:r>
            <w:r w:rsidR="00364EFF" w:rsidRPr="00FE3D52">
              <w:rPr>
                <w:noProof/>
                <w:webHidden/>
              </w:rPr>
              <w:fldChar w:fldCharType="end"/>
            </w:r>
          </w:hyperlink>
        </w:p>
        <w:p w14:paraId="73988077" w14:textId="50EE36C0"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199" w:history="1">
            <w:r w:rsidR="00364EFF" w:rsidRPr="00FE3D52">
              <w:rPr>
                <w:rStyle w:val="Hipervnculo"/>
                <w:noProof/>
              </w:rPr>
              <w:t>e)</w:t>
            </w:r>
            <w:r w:rsidR="00364EFF" w:rsidRPr="00FE3D52">
              <w:rPr>
                <w:rFonts w:asciiTheme="minorHAnsi" w:eastAsiaTheme="minorEastAsia" w:hAnsiTheme="minorHAnsi" w:cstheme="minorBidi"/>
                <w:noProof/>
                <w:color w:val="auto"/>
              </w:rPr>
              <w:tab/>
            </w:r>
            <w:r w:rsidR="00364EFF" w:rsidRPr="00FE3D52">
              <w:rPr>
                <w:rStyle w:val="Hipervnculo"/>
                <w:noProof/>
              </w:rPr>
              <w:t>Manifestaciones</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_Toc180624199 \h </w:instrText>
            </w:r>
            <w:r w:rsidR="00364EFF" w:rsidRPr="00FE3D52">
              <w:rPr>
                <w:noProof/>
                <w:webHidden/>
              </w:rPr>
            </w:r>
            <w:r w:rsidR="00364EFF" w:rsidRPr="00FE3D52">
              <w:rPr>
                <w:noProof/>
                <w:webHidden/>
              </w:rPr>
              <w:fldChar w:fldCharType="separate"/>
            </w:r>
            <w:r w:rsidR="005627CA">
              <w:rPr>
                <w:noProof/>
                <w:webHidden/>
              </w:rPr>
              <w:t>6</w:t>
            </w:r>
            <w:r w:rsidR="00364EFF" w:rsidRPr="00FE3D52">
              <w:rPr>
                <w:noProof/>
                <w:webHidden/>
              </w:rPr>
              <w:fldChar w:fldCharType="end"/>
            </w:r>
          </w:hyperlink>
        </w:p>
        <w:p w14:paraId="3C855270" w14:textId="184CEFAC"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200" w:history="1">
            <w:r w:rsidR="00364EFF" w:rsidRPr="00FE3D52">
              <w:rPr>
                <w:rStyle w:val="Hipervnculo"/>
                <w:rFonts w:cs="Tahoma"/>
                <w:bCs/>
                <w:iCs/>
                <w:noProof/>
              </w:rPr>
              <w:t>f)</w:t>
            </w:r>
            <w:r w:rsidR="00364EFF" w:rsidRPr="00FE3D52">
              <w:rPr>
                <w:rFonts w:asciiTheme="minorHAnsi" w:eastAsiaTheme="minorEastAsia" w:hAnsiTheme="minorHAnsi" w:cstheme="minorBidi"/>
                <w:noProof/>
                <w:color w:val="auto"/>
              </w:rPr>
              <w:tab/>
            </w:r>
            <w:r w:rsidR="00364EFF" w:rsidRPr="00FE3D52">
              <w:rPr>
                <w:rStyle w:val="Hipervnculo"/>
                <w:rFonts w:cs="Tahoma"/>
                <w:bCs/>
                <w:iCs/>
                <w:noProof/>
              </w:rPr>
              <w:t>Acuerdo de ampliación de plazo</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_Toc180624200 \h </w:instrText>
            </w:r>
            <w:r w:rsidR="00364EFF" w:rsidRPr="00FE3D52">
              <w:rPr>
                <w:noProof/>
                <w:webHidden/>
              </w:rPr>
            </w:r>
            <w:r w:rsidR="00364EFF" w:rsidRPr="00FE3D52">
              <w:rPr>
                <w:noProof/>
                <w:webHidden/>
              </w:rPr>
              <w:fldChar w:fldCharType="separate"/>
            </w:r>
            <w:r w:rsidR="005627CA">
              <w:rPr>
                <w:noProof/>
                <w:webHidden/>
              </w:rPr>
              <w:t>6</w:t>
            </w:r>
            <w:r w:rsidR="00364EFF" w:rsidRPr="00FE3D52">
              <w:rPr>
                <w:noProof/>
                <w:webHidden/>
              </w:rPr>
              <w:fldChar w:fldCharType="end"/>
            </w:r>
          </w:hyperlink>
        </w:p>
        <w:p w14:paraId="61B85A3E" w14:textId="7DCC4E24" w:rsidR="00364EFF" w:rsidRPr="00FE3D52" w:rsidRDefault="0057104F">
          <w:pPr>
            <w:pStyle w:val="TDC2"/>
            <w:tabs>
              <w:tab w:val="left" w:pos="660"/>
              <w:tab w:val="right" w:leader="dot" w:pos="9062"/>
            </w:tabs>
            <w:rPr>
              <w:rFonts w:asciiTheme="minorHAnsi" w:eastAsiaTheme="minorEastAsia" w:hAnsiTheme="minorHAnsi" w:cstheme="minorBidi"/>
              <w:noProof/>
              <w:color w:val="auto"/>
            </w:rPr>
          </w:pPr>
          <w:hyperlink w:anchor="_Toc180624201" w:history="1">
            <w:r w:rsidR="00364EFF" w:rsidRPr="00FE3D52">
              <w:rPr>
                <w:rStyle w:val="Hipervnculo"/>
                <w:rFonts w:cs="Tahoma"/>
                <w:bCs/>
                <w:iCs/>
                <w:noProof/>
              </w:rPr>
              <w:t>g)</w:t>
            </w:r>
            <w:r w:rsidR="00364EFF" w:rsidRPr="00FE3D52">
              <w:rPr>
                <w:rFonts w:asciiTheme="minorHAnsi" w:eastAsiaTheme="minorEastAsia" w:hAnsiTheme="minorHAnsi" w:cstheme="minorBidi"/>
                <w:noProof/>
                <w:color w:val="auto"/>
              </w:rPr>
              <w:tab/>
            </w:r>
            <w:r w:rsidR="00364EFF" w:rsidRPr="00FE3D52">
              <w:rPr>
                <w:rStyle w:val="Hipervnculo"/>
                <w:rFonts w:cs="Tahoma"/>
                <w:bCs/>
                <w:iCs/>
                <w:noProof/>
              </w:rPr>
              <w:t>Cierre de instrucción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_Toc180624201 \h </w:instrText>
            </w:r>
            <w:r w:rsidR="00364EFF" w:rsidRPr="00FE3D52">
              <w:rPr>
                <w:noProof/>
                <w:webHidden/>
              </w:rPr>
            </w:r>
            <w:r w:rsidR="00364EFF" w:rsidRPr="00FE3D52">
              <w:rPr>
                <w:noProof/>
                <w:webHidden/>
              </w:rPr>
              <w:fldChar w:fldCharType="separate"/>
            </w:r>
            <w:r w:rsidR="005627CA">
              <w:rPr>
                <w:noProof/>
                <w:webHidden/>
              </w:rPr>
              <w:t>9</w:t>
            </w:r>
            <w:r w:rsidR="00364EFF" w:rsidRPr="00FE3D52">
              <w:rPr>
                <w:noProof/>
                <w:webHidden/>
              </w:rPr>
              <w:fldChar w:fldCharType="end"/>
            </w:r>
          </w:hyperlink>
        </w:p>
        <w:p w14:paraId="786AE844" w14:textId="37A4E232" w:rsidR="00364EFF" w:rsidRPr="00FE3D52" w:rsidRDefault="0057104F">
          <w:pPr>
            <w:pStyle w:val="TDC1"/>
            <w:tabs>
              <w:tab w:val="right" w:leader="dot" w:pos="9062"/>
            </w:tabs>
            <w:rPr>
              <w:rFonts w:asciiTheme="minorHAnsi" w:eastAsiaTheme="minorEastAsia" w:hAnsiTheme="minorHAnsi" w:cstheme="minorBidi"/>
              <w:noProof/>
              <w:color w:val="auto"/>
            </w:rPr>
          </w:pPr>
          <w:hyperlink w:anchor="_Toc180624202" w:history="1">
            <w:r w:rsidR="00364EFF" w:rsidRPr="00FE3D52">
              <w:rPr>
                <w:rStyle w:val="Hipervnculo"/>
                <w:rFonts w:eastAsia="Times New Roman"/>
                <w:noProof/>
                <w:lang w:val="es-ES" w:eastAsia="es-ES"/>
              </w:rPr>
              <w:t>C O N S I D E R A N D O S</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_Toc180624202 \h </w:instrText>
            </w:r>
            <w:r w:rsidR="00364EFF" w:rsidRPr="00FE3D52">
              <w:rPr>
                <w:noProof/>
                <w:webHidden/>
              </w:rPr>
            </w:r>
            <w:r w:rsidR="00364EFF" w:rsidRPr="00FE3D52">
              <w:rPr>
                <w:noProof/>
                <w:webHidden/>
              </w:rPr>
              <w:fldChar w:fldCharType="separate"/>
            </w:r>
            <w:r w:rsidR="005627CA">
              <w:rPr>
                <w:noProof/>
                <w:webHidden/>
              </w:rPr>
              <w:t>10</w:t>
            </w:r>
            <w:r w:rsidR="00364EFF" w:rsidRPr="00FE3D52">
              <w:rPr>
                <w:noProof/>
                <w:webHidden/>
              </w:rPr>
              <w:fldChar w:fldCharType="end"/>
            </w:r>
          </w:hyperlink>
        </w:p>
        <w:p w14:paraId="385D808D" w14:textId="6AED525A"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203" w:history="1">
            <w:r w:rsidR="00364EFF" w:rsidRPr="00FE3D52">
              <w:rPr>
                <w:rStyle w:val="Hipervnculo"/>
                <w:rFonts w:eastAsia="Batang"/>
                <w:noProof/>
              </w:rPr>
              <w:t>PRIMERO. Competencia</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_Toc180624203 \h </w:instrText>
            </w:r>
            <w:r w:rsidR="00364EFF" w:rsidRPr="00FE3D52">
              <w:rPr>
                <w:noProof/>
                <w:webHidden/>
              </w:rPr>
            </w:r>
            <w:r w:rsidR="00364EFF" w:rsidRPr="00FE3D52">
              <w:rPr>
                <w:noProof/>
                <w:webHidden/>
              </w:rPr>
              <w:fldChar w:fldCharType="separate"/>
            </w:r>
            <w:r w:rsidR="005627CA">
              <w:rPr>
                <w:noProof/>
                <w:webHidden/>
              </w:rPr>
              <w:t>10</w:t>
            </w:r>
            <w:r w:rsidR="00364EFF" w:rsidRPr="00FE3D52">
              <w:rPr>
                <w:noProof/>
                <w:webHidden/>
              </w:rPr>
              <w:fldChar w:fldCharType="end"/>
            </w:r>
          </w:hyperlink>
        </w:p>
        <w:p w14:paraId="761960D5" w14:textId="5BF4F57E"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204" w:history="1">
            <w:r w:rsidR="00364EFF" w:rsidRPr="00FE3D52">
              <w:rPr>
                <w:rStyle w:val="Hipervnculo"/>
                <w:rFonts w:eastAsia="Calibri"/>
                <w:noProof/>
              </w:rPr>
              <w:t>SEGUNDO. Causales de improcedencia y sobreseimiento</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_Toc180624204 \h </w:instrText>
            </w:r>
            <w:r w:rsidR="00364EFF" w:rsidRPr="00FE3D52">
              <w:rPr>
                <w:noProof/>
                <w:webHidden/>
              </w:rPr>
            </w:r>
            <w:r w:rsidR="00364EFF" w:rsidRPr="00FE3D52">
              <w:rPr>
                <w:noProof/>
                <w:webHidden/>
              </w:rPr>
              <w:fldChar w:fldCharType="separate"/>
            </w:r>
            <w:r w:rsidR="005627CA">
              <w:rPr>
                <w:noProof/>
                <w:webHidden/>
              </w:rPr>
              <w:t>10</w:t>
            </w:r>
            <w:r w:rsidR="00364EFF" w:rsidRPr="00FE3D52">
              <w:rPr>
                <w:noProof/>
                <w:webHidden/>
              </w:rPr>
              <w:fldChar w:fldCharType="end"/>
            </w:r>
          </w:hyperlink>
        </w:p>
        <w:p w14:paraId="46A4D3C0" w14:textId="7C3DB030"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205" w:history="1">
            <w:r w:rsidR="00364EFF" w:rsidRPr="00FE3D52">
              <w:rPr>
                <w:rStyle w:val="Hipervnculo"/>
                <w:rFonts w:eastAsia="Calibri"/>
                <w:noProof/>
                <w:lang w:eastAsia="es-ES_tradnl"/>
              </w:rPr>
              <w:t>TERCERO. Estudio del sobreseimiento</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_Toc180624205 \h </w:instrText>
            </w:r>
            <w:r w:rsidR="00364EFF" w:rsidRPr="00FE3D52">
              <w:rPr>
                <w:noProof/>
                <w:webHidden/>
              </w:rPr>
            </w:r>
            <w:r w:rsidR="00364EFF" w:rsidRPr="00FE3D52">
              <w:rPr>
                <w:noProof/>
                <w:webHidden/>
              </w:rPr>
              <w:fldChar w:fldCharType="separate"/>
            </w:r>
            <w:r w:rsidR="005627CA">
              <w:rPr>
                <w:noProof/>
                <w:webHidden/>
              </w:rPr>
              <w:t>12</w:t>
            </w:r>
            <w:r w:rsidR="00364EFF" w:rsidRPr="00FE3D52">
              <w:rPr>
                <w:noProof/>
                <w:webHidden/>
              </w:rPr>
              <w:fldChar w:fldCharType="end"/>
            </w:r>
          </w:hyperlink>
        </w:p>
        <w:p w14:paraId="3C5C36B4" w14:textId="6A26ADA0" w:rsidR="00364EFF" w:rsidRPr="00FE3D52" w:rsidRDefault="0057104F">
          <w:pPr>
            <w:pStyle w:val="TDC2"/>
            <w:tabs>
              <w:tab w:val="right" w:leader="dot" w:pos="9062"/>
            </w:tabs>
            <w:rPr>
              <w:rFonts w:asciiTheme="minorHAnsi" w:eastAsiaTheme="minorEastAsia" w:hAnsiTheme="minorHAnsi" w:cstheme="minorBidi"/>
              <w:noProof/>
              <w:color w:val="auto"/>
            </w:rPr>
          </w:pPr>
          <w:hyperlink w:anchor="_Toc180624206" w:history="1">
            <w:r w:rsidR="00364EFF" w:rsidRPr="00FE3D52">
              <w:rPr>
                <w:rStyle w:val="Hipervnculo"/>
                <w:noProof/>
              </w:rPr>
              <w:t>CUARTO. Decisión</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_Toc180624206 \h </w:instrText>
            </w:r>
            <w:r w:rsidR="00364EFF" w:rsidRPr="00FE3D52">
              <w:rPr>
                <w:noProof/>
                <w:webHidden/>
              </w:rPr>
            </w:r>
            <w:r w:rsidR="00364EFF" w:rsidRPr="00FE3D52">
              <w:rPr>
                <w:noProof/>
                <w:webHidden/>
              </w:rPr>
              <w:fldChar w:fldCharType="separate"/>
            </w:r>
            <w:r w:rsidR="005627CA">
              <w:rPr>
                <w:noProof/>
                <w:webHidden/>
              </w:rPr>
              <w:t>17</w:t>
            </w:r>
            <w:r w:rsidR="00364EFF" w:rsidRPr="00FE3D52">
              <w:rPr>
                <w:noProof/>
                <w:webHidden/>
              </w:rPr>
              <w:fldChar w:fldCharType="end"/>
            </w:r>
          </w:hyperlink>
        </w:p>
        <w:p w14:paraId="38AB7BF2" w14:textId="40471FF1" w:rsidR="00364EFF" w:rsidRPr="00FE3D52" w:rsidRDefault="0057104F">
          <w:pPr>
            <w:pStyle w:val="TDC1"/>
            <w:tabs>
              <w:tab w:val="right" w:leader="dot" w:pos="9062"/>
            </w:tabs>
            <w:rPr>
              <w:rFonts w:asciiTheme="minorHAnsi" w:eastAsiaTheme="minorEastAsia" w:hAnsiTheme="minorHAnsi" w:cstheme="minorBidi"/>
              <w:noProof/>
              <w:color w:val="auto"/>
            </w:rPr>
          </w:pPr>
          <w:hyperlink w:anchor="_Toc180624207" w:history="1">
            <w:r w:rsidR="00364EFF" w:rsidRPr="00FE3D52">
              <w:rPr>
                <w:rStyle w:val="Hipervnculo"/>
                <w:noProof/>
                <w:lang w:val="pt-BR"/>
              </w:rPr>
              <w:t>R E S U E L V E</w:t>
            </w:r>
            <w:r w:rsidR="00364EFF" w:rsidRPr="00FE3D52">
              <w:rPr>
                <w:noProof/>
                <w:webHidden/>
              </w:rPr>
              <w:tab/>
            </w:r>
            <w:r w:rsidR="00364EFF" w:rsidRPr="00FE3D52">
              <w:rPr>
                <w:noProof/>
                <w:webHidden/>
              </w:rPr>
              <w:fldChar w:fldCharType="begin"/>
            </w:r>
            <w:r w:rsidR="00364EFF" w:rsidRPr="00FE3D52">
              <w:rPr>
                <w:noProof/>
                <w:webHidden/>
              </w:rPr>
              <w:instrText xml:space="preserve"> PAGEREF _Toc180624207 \h </w:instrText>
            </w:r>
            <w:r w:rsidR="00364EFF" w:rsidRPr="00FE3D52">
              <w:rPr>
                <w:noProof/>
                <w:webHidden/>
              </w:rPr>
            </w:r>
            <w:r w:rsidR="00364EFF" w:rsidRPr="00FE3D52">
              <w:rPr>
                <w:noProof/>
                <w:webHidden/>
              </w:rPr>
              <w:fldChar w:fldCharType="separate"/>
            </w:r>
            <w:r w:rsidR="005627CA">
              <w:rPr>
                <w:noProof/>
                <w:webHidden/>
              </w:rPr>
              <w:t>18</w:t>
            </w:r>
            <w:r w:rsidR="00364EFF" w:rsidRPr="00FE3D52">
              <w:rPr>
                <w:noProof/>
                <w:webHidden/>
              </w:rPr>
              <w:fldChar w:fldCharType="end"/>
            </w:r>
          </w:hyperlink>
        </w:p>
        <w:p w14:paraId="0944E079" w14:textId="25BEC39D" w:rsidR="009461D1" w:rsidRPr="00FE3D52" w:rsidRDefault="009461D1" w:rsidP="009461D1">
          <w:pPr>
            <w:rPr>
              <w:b/>
              <w:bCs/>
              <w:lang w:val="es-ES"/>
            </w:rPr>
          </w:pPr>
          <w:r w:rsidRPr="00FE3D52">
            <w:rPr>
              <w:b/>
              <w:bCs/>
              <w:lang w:val="es-ES"/>
            </w:rPr>
            <w:fldChar w:fldCharType="end"/>
          </w:r>
        </w:p>
      </w:sdtContent>
    </w:sdt>
    <w:p w14:paraId="23FD4821" w14:textId="3B9CE64B" w:rsidR="00D62ACF" w:rsidRPr="00FE3D52" w:rsidRDefault="00D62ACF">
      <w:pPr>
        <w:jc w:val="left"/>
        <w:rPr>
          <w:rFonts w:cs="Tahoma"/>
          <w:bCs/>
        </w:rPr>
      </w:pPr>
      <w:r w:rsidRPr="00FE3D52">
        <w:rPr>
          <w:rFonts w:cs="Tahoma"/>
          <w:bCs/>
        </w:rPr>
        <w:br w:type="page"/>
      </w:r>
    </w:p>
    <w:p w14:paraId="0D3B96ED" w14:textId="77777777" w:rsidR="003C57FF" w:rsidRPr="00FE3D52" w:rsidRDefault="003C57FF" w:rsidP="00395EF6">
      <w:pPr>
        <w:spacing w:after="0" w:line="360" w:lineRule="auto"/>
        <w:contextualSpacing/>
        <w:rPr>
          <w:rFonts w:cs="Tahoma"/>
          <w:bCs/>
        </w:rPr>
      </w:pPr>
    </w:p>
    <w:p w14:paraId="71D1AC16" w14:textId="192B099F" w:rsidR="00D51763" w:rsidRPr="00FE3D52" w:rsidRDefault="00D51763" w:rsidP="00395EF6">
      <w:pPr>
        <w:spacing w:after="0" w:line="360" w:lineRule="auto"/>
        <w:contextualSpacing/>
        <w:rPr>
          <w:rFonts w:cs="Tahoma"/>
          <w:bCs/>
        </w:rPr>
      </w:pPr>
      <w:r w:rsidRPr="00FE3D52">
        <w:rPr>
          <w:rFonts w:cs="Tahoma"/>
          <w:bCs/>
        </w:rPr>
        <w:t xml:space="preserve">Resolución del Pleno del Instituto de Transparencia, Acceso a la Información Pública y Protección de Datos Personales del Estado de México y Municipios, con domicilio en Metepec, Estado de México, de fecha </w:t>
      </w:r>
      <w:r w:rsidR="00E52970" w:rsidRPr="00FE3D52">
        <w:rPr>
          <w:rFonts w:cs="Tahoma"/>
          <w:bCs/>
        </w:rPr>
        <w:t>seis</w:t>
      </w:r>
      <w:r w:rsidR="00B408D4" w:rsidRPr="00FE3D52">
        <w:rPr>
          <w:rFonts w:cs="Tahoma"/>
          <w:bCs/>
        </w:rPr>
        <w:t xml:space="preserve"> </w:t>
      </w:r>
      <w:r w:rsidRPr="00FE3D52">
        <w:rPr>
          <w:rFonts w:cs="Tahoma"/>
          <w:bCs/>
        </w:rPr>
        <w:t xml:space="preserve">de </w:t>
      </w:r>
      <w:r w:rsidR="00E52970" w:rsidRPr="00FE3D52">
        <w:rPr>
          <w:rFonts w:cs="Tahoma"/>
          <w:bCs/>
        </w:rPr>
        <w:t>noviembre</w:t>
      </w:r>
      <w:r w:rsidRPr="00FE3D52">
        <w:rPr>
          <w:rFonts w:cs="Tahoma"/>
          <w:bCs/>
        </w:rPr>
        <w:t xml:space="preserve"> de dos mil </w:t>
      </w:r>
      <w:r w:rsidR="00697F4C" w:rsidRPr="00FE3D52">
        <w:rPr>
          <w:rFonts w:cs="Tahoma"/>
          <w:bCs/>
        </w:rPr>
        <w:t>veinticuatro</w:t>
      </w:r>
      <w:r w:rsidRPr="00FE3D52">
        <w:rPr>
          <w:rFonts w:cs="Tahoma"/>
          <w:bCs/>
        </w:rPr>
        <w:t>.</w:t>
      </w:r>
    </w:p>
    <w:p w14:paraId="13C3A954" w14:textId="77777777" w:rsidR="00D51763" w:rsidRPr="00FE3D52" w:rsidRDefault="00D51763" w:rsidP="00395EF6">
      <w:pPr>
        <w:spacing w:after="0" w:line="360" w:lineRule="auto"/>
        <w:contextualSpacing/>
        <w:rPr>
          <w:rFonts w:cs="Tahoma"/>
          <w:bCs/>
        </w:rPr>
      </w:pPr>
    </w:p>
    <w:p w14:paraId="5443AD31" w14:textId="40231B70" w:rsidR="00D51763" w:rsidRPr="00FE3D52" w:rsidRDefault="00D51763" w:rsidP="00395EF6">
      <w:pPr>
        <w:tabs>
          <w:tab w:val="left" w:pos="284"/>
          <w:tab w:val="left" w:pos="6946"/>
        </w:tabs>
        <w:spacing w:after="0" w:line="360" w:lineRule="auto"/>
        <w:contextualSpacing/>
        <w:rPr>
          <w:rFonts w:cs="Tahoma"/>
          <w:bCs/>
        </w:rPr>
      </w:pPr>
      <w:r w:rsidRPr="00FE3D52">
        <w:rPr>
          <w:rFonts w:cs="Tahoma"/>
          <w:b/>
          <w:bCs/>
          <w:color w:val="0D0D0D" w:themeColor="text1" w:themeTint="F2"/>
        </w:rPr>
        <w:t xml:space="preserve">VISTO </w:t>
      </w:r>
      <w:r w:rsidRPr="00FE3D52">
        <w:rPr>
          <w:rFonts w:cs="Tahoma"/>
          <w:bCs/>
          <w:color w:val="0D0D0D" w:themeColor="text1" w:themeTint="F2"/>
        </w:rPr>
        <w:t xml:space="preserve">el expediente conformado con motivo del Recurso de Revisión </w:t>
      </w:r>
      <w:r w:rsidR="009461D1" w:rsidRPr="00FE3D52">
        <w:rPr>
          <w:b/>
          <w:bCs/>
        </w:rPr>
        <w:t>03436/INFOEM/AD/RR/2024</w:t>
      </w:r>
      <w:r w:rsidRPr="00FE3D52">
        <w:rPr>
          <w:rFonts w:cs="Tahoma"/>
          <w:b/>
          <w:bCs/>
          <w:color w:val="0D0D0D" w:themeColor="text1" w:themeTint="F2"/>
        </w:rPr>
        <w:t>,</w:t>
      </w:r>
      <w:r w:rsidRPr="00FE3D52">
        <w:rPr>
          <w:rFonts w:cs="Tahoma"/>
          <w:bCs/>
          <w:color w:val="0D0D0D" w:themeColor="text1" w:themeTint="F2"/>
        </w:rPr>
        <w:t xml:space="preserve"> interpuesto por </w:t>
      </w:r>
      <w:proofErr w:type="spellStart"/>
      <w:r w:rsidR="00CD7E85" w:rsidRPr="00CD7E85">
        <w:rPr>
          <w:rFonts w:cs="Tahoma"/>
          <w:b/>
          <w:color w:val="0D0D0D" w:themeColor="text1" w:themeTint="F2"/>
          <w:highlight w:val="black"/>
        </w:rPr>
        <w:t>xxxxxxxxxxxxxxxxxxxxxxx</w:t>
      </w:r>
      <w:bookmarkStart w:id="0" w:name="_GoBack"/>
      <w:bookmarkEnd w:id="0"/>
      <w:proofErr w:type="spellEnd"/>
      <w:r w:rsidRPr="00FE3D52">
        <w:rPr>
          <w:rFonts w:cs="Tahoma"/>
          <w:bCs/>
          <w:color w:val="0D0D0D" w:themeColor="text1" w:themeTint="F2"/>
        </w:rPr>
        <w:t xml:space="preserve">, en adelante el Recurrente o Particular, en contra de la </w:t>
      </w:r>
      <w:r w:rsidR="00D00012">
        <w:rPr>
          <w:rFonts w:cs="Tahoma"/>
          <w:bCs/>
          <w:color w:val="0D0D0D" w:themeColor="text1" w:themeTint="F2"/>
        </w:rPr>
        <w:t xml:space="preserve">falta de </w:t>
      </w:r>
      <w:r w:rsidRPr="00FE3D52">
        <w:rPr>
          <w:rFonts w:cs="Tahoma"/>
          <w:bCs/>
          <w:color w:val="0D0D0D" w:themeColor="text1" w:themeTint="F2"/>
        </w:rPr>
        <w:t xml:space="preserve">respuesta </w:t>
      </w:r>
      <w:r w:rsidR="007379D6" w:rsidRPr="00FE3D52">
        <w:rPr>
          <w:rFonts w:cs="Tahoma"/>
          <w:bCs/>
          <w:color w:val="0D0D0D" w:themeColor="text1" w:themeTint="F2"/>
        </w:rPr>
        <w:t xml:space="preserve">a la solicitud </w:t>
      </w:r>
      <w:r w:rsidR="009461D1" w:rsidRPr="00FE3D52">
        <w:rPr>
          <w:rFonts w:cs="Tahoma"/>
          <w:b/>
          <w:color w:val="0D0D0D" w:themeColor="text1" w:themeTint="F2"/>
        </w:rPr>
        <w:t>00372/ISSEMYM/AD/2024</w:t>
      </w:r>
      <w:r w:rsidR="007379D6" w:rsidRPr="00FE3D52">
        <w:rPr>
          <w:rFonts w:cs="Tahoma"/>
          <w:bCs/>
          <w:color w:val="0D0D0D" w:themeColor="text1" w:themeTint="F2"/>
        </w:rPr>
        <w:t>, formulada por el</w:t>
      </w:r>
      <w:r w:rsidRPr="00FE3D52">
        <w:rPr>
          <w:rFonts w:cs="Tahoma"/>
          <w:bCs/>
          <w:color w:val="0D0D0D" w:themeColor="text1" w:themeTint="F2"/>
        </w:rPr>
        <w:t xml:space="preserve"> Sujeto Obligado </w:t>
      </w:r>
      <w:r w:rsidR="009461D1" w:rsidRPr="00FE3D52">
        <w:rPr>
          <w:rFonts w:eastAsia="Calibri" w:cs="Tahoma"/>
          <w:b/>
          <w:bCs/>
        </w:rPr>
        <w:t>Instituto de Seguridad Social del Estado de México y Municipios</w:t>
      </w:r>
      <w:r w:rsidRPr="00FE3D52">
        <w:rPr>
          <w:rFonts w:cs="Tahoma"/>
          <w:b/>
          <w:color w:val="0D0D0D" w:themeColor="text1" w:themeTint="F2"/>
        </w:rPr>
        <w:t xml:space="preserve">, </w:t>
      </w:r>
      <w:r w:rsidRPr="00FE3D52">
        <w:rPr>
          <w:rFonts w:cs="Tahoma"/>
          <w:bCs/>
          <w:color w:val="0D0D0D" w:themeColor="text1" w:themeTint="F2"/>
        </w:rPr>
        <w:t>se emite la presente Resolución, con base en los Antecedentes y C</w:t>
      </w:r>
      <w:r w:rsidRPr="00FE3D52">
        <w:rPr>
          <w:rFonts w:cs="Tahoma"/>
          <w:bCs/>
        </w:rPr>
        <w:t>onsiderandos que a continuación se exponen:</w:t>
      </w:r>
    </w:p>
    <w:p w14:paraId="43581B0D" w14:textId="77777777" w:rsidR="00D51763" w:rsidRPr="00FE3D52" w:rsidRDefault="00D51763" w:rsidP="00395EF6">
      <w:pPr>
        <w:spacing w:after="0" w:line="360" w:lineRule="auto"/>
        <w:contextualSpacing/>
        <w:rPr>
          <w:rFonts w:cs="Tahoma"/>
          <w:bCs/>
        </w:rPr>
      </w:pPr>
    </w:p>
    <w:p w14:paraId="26128AEE" w14:textId="1F3F84C2" w:rsidR="00D51763" w:rsidRPr="00FE3D52" w:rsidRDefault="00D51763" w:rsidP="009461D1">
      <w:pPr>
        <w:pStyle w:val="Ttulo1"/>
        <w:rPr>
          <w:b w:val="0"/>
        </w:rPr>
      </w:pPr>
      <w:bookmarkStart w:id="1" w:name="_Toc180624189"/>
      <w:r w:rsidRPr="00FE3D52">
        <w:t>A N T E C E D E N T E S</w:t>
      </w:r>
      <w:bookmarkEnd w:id="1"/>
    </w:p>
    <w:p w14:paraId="62D4D30D" w14:textId="77777777" w:rsidR="00A336FF" w:rsidRPr="00FE3D52" w:rsidRDefault="00A336FF" w:rsidP="00395EF6">
      <w:pPr>
        <w:tabs>
          <w:tab w:val="center" w:pos="4522"/>
          <w:tab w:val="left" w:pos="7245"/>
        </w:tabs>
        <w:spacing w:after="0" w:line="360" w:lineRule="auto"/>
        <w:contextualSpacing/>
        <w:jc w:val="center"/>
        <w:rPr>
          <w:rFonts w:cs="Tahoma"/>
          <w:b/>
        </w:rPr>
      </w:pPr>
    </w:p>
    <w:p w14:paraId="306891B2" w14:textId="5803EC52" w:rsidR="00D51763" w:rsidRPr="00FE3D52" w:rsidRDefault="00D51763" w:rsidP="009461D1">
      <w:pPr>
        <w:pStyle w:val="Ttulo2"/>
        <w:rPr>
          <w:b w:val="0"/>
        </w:rPr>
      </w:pPr>
      <w:bookmarkStart w:id="2" w:name="_Toc180624190"/>
      <w:r w:rsidRPr="00FE3D52">
        <w:t xml:space="preserve">I. Presentación de la solicitud de </w:t>
      </w:r>
      <w:r w:rsidR="009461D1" w:rsidRPr="00FE3D52">
        <w:rPr>
          <w:b w:val="0"/>
        </w:rPr>
        <w:t>acceso a datos personales</w:t>
      </w:r>
      <w:bookmarkEnd w:id="2"/>
    </w:p>
    <w:p w14:paraId="4A66A352" w14:textId="77777777" w:rsidR="00A336FF" w:rsidRPr="00FE3D52" w:rsidRDefault="00A336FF" w:rsidP="00395EF6">
      <w:pPr>
        <w:pStyle w:val="Prrafodelista"/>
        <w:tabs>
          <w:tab w:val="left" w:pos="567"/>
        </w:tabs>
        <w:spacing w:after="0" w:line="360" w:lineRule="auto"/>
        <w:ind w:left="0"/>
        <w:rPr>
          <w:rFonts w:cs="Tahoma"/>
          <w:b/>
        </w:rPr>
      </w:pPr>
    </w:p>
    <w:p w14:paraId="39953866" w14:textId="31689E16" w:rsidR="00D51763" w:rsidRPr="00FE3D52" w:rsidRDefault="00D51763" w:rsidP="00B53186">
      <w:pPr>
        <w:tabs>
          <w:tab w:val="left" w:pos="567"/>
        </w:tabs>
        <w:spacing w:after="0" w:line="360" w:lineRule="auto"/>
        <w:rPr>
          <w:rFonts w:cs="Tahoma"/>
        </w:rPr>
      </w:pPr>
      <w:r w:rsidRPr="00FE3D52">
        <w:rPr>
          <w:rFonts w:cs="Tahoma"/>
        </w:rPr>
        <w:t xml:space="preserve">Con fecha </w:t>
      </w:r>
      <w:r w:rsidR="003913D5" w:rsidRPr="00FE3D52">
        <w:rPr>
          <w:rFonts w:cs="Tahoma"/>
        </w:rPr>
        <w:t>siete</w:t>
      </w:r>
      <w:r w:rsidR="00A336FF" w:rsidRPr="00FE3D52">
        <w:rPr>
          <w:rFonts w:cs="Tahoma"/>
        </w:rPr>
        <w:t xml:space="preserve"> de </w:t>
      </w:r>
      <w:r w:rsidR="009461D1" w:rsidRPr="00FE3D52">
        <w:rPr>
          <w:rFonts w:cs="Tahoma"/>
        </w:rPr>
        <w:t>mayo</w:t>
      </w:r>
      <w:r w:rsidR="00A336FF" w:rsidRPr="00FE3D52">
        <w:rPr>
          <w:rFonts w:cs="Tahoma"/>
        </w:rPr>
        <w:t xml:space="preserve"> de</w:t>
      </w:r>
      <w:r w:rsidR="009461D1" w:rsidRPr="00FE3D52">
        <w:rPr>
          <w:rFonts w:cs="Tahoma"/>
        </w:rPr>
        <w:t xml:space="preserve"> dos mil veinticuatro</w:t>
      </w:r>
      <w:r w:rsidRPr="00FE3D52">
        <w:rPr>
          <w:rFonts w:cs="Tahoma"/>
        </w:rPr>
        <w:t xml:space="preserve">, </w:t>
      </w:r>
      <w:r w:rsidR="00B53186" w:rsidRPr="00FE3D52">
        <w:rPr>
          <w:rFonts w:cs="Tahoma"/>
        </w:rPr>
        <w:t>el</w:t>
      </w:r>
      <w:r w:rsidRPr="00FE3D52">
        <w:rPr>
          <w:rFonts w:cs="Tahoma"/>
        </w:rPr>
        <w:t xml:space="preserve"> Particular presentó</w:t>
      </w:r>
      <w:r w:rsidR="00B53186" w:rsidRPr="00FE3D52">
        <w:rPr>
          <w:rFonts w:cs="Tahoma"/>
        </w:rPr>
        <w:t>, a través del S</w:t>
      </w:r>
      <w:r w:rsidR="009D13CD" w:rsidRPr="00FE3D52">
        <w:rPr>
          <w:rFonts w:cs="Tahoma"/>
        </w:rPr>
        <w:t>istema de Acceso, Rectificación, Cancelación y Oposición de Datos Personales del Estado de México (SARCOEM)</w:t>
      </w:r>
      <w:r w:rsidR="00B53186" w:rsidRPr="00FE3D52">
        <w:rPr>
          <w:rFonts w:cs="Tahoma"/>
        </w:rPr>
        <w:t xml:space="preserve">, una solicitud de acceso a </w:t>
      </w:r>
      <w:r w:rsidR="009D13CD" w:rsidRPr="00FE3D52">
        <w:rPr>
          <w:rFonts w:cs="Tahoma"/>
        </w:rPr>
        <w:t>datos personales de terceros</w:t>
      </w:r>
      <w:r w:rsidR="00B53186" w:rsidRPr="00FE3D52">
        <w:rPr>
          <w:rFonts w:cs="Tahoma"/>
        </w:rPr>
        <w:t xml:space="preserve"> con número </w:t>
      </w:r>
      <w:r w:rsidR="009461D1" w:rsidRPr="00FE3D52">
        <w:rPr>
          <w:rFonts w:cs="Tahoma"/>
          <w:b/>
          <w:bCs/>
        </w:rPr>
        <w:t>00372/ISSEMYM/AD/2024</w:t>
      </w:r>
      <w:r w:rsidR="00B53186" w:rsidRPr="00FE3D52">
        <w:rPr>
          <w:rFonts w:cs="Tahoma"/>
        </w:rPr>
        <w:t>,</w:t>
      </w:r>
      <w:r w:rsidRPr="00FE3D52">
        <w:rPr>
          <w:rFonts w:cs="Tahoma"/>
        </w:rPr>
        <w:t xml:space="preserve"> mediante el cual requirió lo siguiente:</w:t>
      </w:r>
    </w:p>
    <w:p w14:paraId="2CA17B58" w14:textId="77777777" w:rsidR="00D51763" w:rsidRPr="00FE3D52" w:rsidRDefault="00D51763" w:rsidP="00395EF6">
      <w:pPr>
        <w:spacing w:after="0" w:line="240" w:lineRule="auto"/>
        <w:rPr>
          <w:rFonts w:eastAsia="Times New Roman" w:cs="Times New Roman"/>
          <w:b/>
          <w:bCs/>
          <w:color w:val="auto"/>
          <w:lang w:eastAsia="es-MX"/>
        </w:rPr>
      </w:pPr>
    </w:p>
    <w:p w14:paraId="4A05B416" w14:textId="380019EA" w:rsidR="00D51763" w:rsidRPr="00FE3D52" w:rsidRDefault="00120D5A" w:rsidP="00395EF6">
      <w:pPr>
        <w:tabs>
          <w:tab w:val="left" w:pos="567"/>
        </w:tabs>
        <w:spacing w:after="0" w:line="360" w:lineRule="auto"/>
        <w:ind w:left="567" w:right="616"/>
        <w:rPr>
          <w:rFonts w:eastAsia="Times New Roman" w:cs="Times New Roman"/>
          <w:color w:val="auto"/>
          <w:sz w:val="20"/>
          <w:szCs w:val="20"/>
          <w:lang w:eastAsia="es-MX"/>
        </w:rPr>
      </w:pPr>
      <w:r w:rsidRPr="00FE3D52">
        <w:rPr>
          <w:b/>
          <w:bCs/>
          <w:i/>
          <w:iCs/>
          <w:sz w:val="20"/>
          <w:szCs w:val="20"/>
        </w:rPr>
        <w:t>“</w:t>
      </w:r>
      <w:r w:rsidRPr="00FE3D52">
        <w:rPr>
          <w:b/>
          <w:bCs/>
          <w:i/>
          <w:iCs/>
          <w:sz w:val="20"/>
          <w:szCs w:val="20"/>
        </w:rPr>
        <w:tab/>
      </w:r>
      <w:r w:rsidR="00667E5F" w:rsidRPr="00FE3D52">
        <w:rPr>
          <w:b/>
          <w:bCs/>
          <w:i/>
          <w:iCs/>
          <w:sz w:val="20"/>
          <w:szCs w:val="20"/>
        </w:rPr>
        <w:t>DATOS PERSONALES A LOS QUE DESEA TENER EL ACCESO</w:t>
      </w:r>
    </w:p>
    <w:p w14:paraId="57DA9704" w14:textId="00E344A1" w:rsidR="00D51763" w:rsidRPr="00FE3D52" w:rsidRDefault="009461D1" w:rsidP="00395EF6">
      <w:pPr>
        <w:tabs>
          <w:tab w:val="left" w:pos="567"/>
        </w:tabs>
        <w:spacing w:after="0" w:line="360" w:lineRule="auto"/>
        <w:ind w:left="567" w:right="616"/>
        <w:rPr>
          <w:i/>
          <w:iCs/>
          <w:sz w:val="20"/>
          <w:szCs w:val="20"/>
        </w:rPr>
      </w:pPr>
      <w:r w:rsidRPr="00FE3D52">
        <w:rPr>
          <w:i/>
          <w:iCs/>
          <w:sz w:val="20"/>
          <w:szCs w:val="20"/>
        </w:rPr>
        <w:t xml:space="preserve">Solicito se me proporcione el usuario y contraseña del Sistema Único de Citas Administrativas de ese ISSEMYM a nombre de mi difunto esposo </w:t>
      </w:r>
      <w:r w:rsidR="00D62ACF" w:rsidRPr="00FE3D52">
        <w:rPr>
          <w:i/>
          <w:iCs/>
          <w:sz w:val="20"/>
          <w:szCs w:val="20"/>
        </w:rPr>
        <w:t>(…………………)</w:t>
      </w:r>
      <w:r w:rsidRPr="00FE3D52">
        <w:rPr>
          <w:i/>
          <w:iCs/>
          <w:sz w:val="20"/>
          <w:szCs w:val="20"/>
        </w:rPr>
        <w:t xml:space="preserve"> con número de clave ISSEMyM </w:t>
      </w:r>
      <w:r w:rsidR="00D62ACF" w:rsidRPr="00FE3D52">
        <w:rPr>
          <w:i/>
          <w:iCs/>
          <w:sz w:val="20"/>
          <w:szCs w:val="20"/>
        </w:rPr>
        <w:t>(…..…)</w:t>
      </w:r>
      <w:r w:rsidRPr="00FE3D52">
        <w:rPr>
          <w:i/>
          <w:iCs/>
          <w:sz w:val="20"/>
          <w:szCs w:val="20"/>
        </w:rPr>
        <w:t xml:space="preserve"> y CURP </w:t>
      </w:r>
      <w:r w:rsidR="00D62ACF" w:rsidRPr="00FE3D52">
        <w:rPr>
          <w:i/>
          <w:iCs/>
          <w:sz w:val="20"/>
          <w:szCs w:val="20"/>
        </w:rPr>
        <w:t>(…..………………..)</w:t>
      </w:r>
      <w:r w:rsidRPr="00FE3D52">
        <w:rPr>
          <w:i/>
          <w:iCs/>
          <w:sz w:val="20"/>
          <w:szCs w:val="20"/>
        </w:rPr>
        <w:t>. Para acreditar mi personalidad exhibo credencial para votar de la suscrita, credencial para votar de mi difunto esposo, acta de matrimonio y acta de defunción de mi esposo.</w:t>
      </w:r>
      <w:r w:rsidR="004B3796" w:rsidRPr="00FE3D52">
        <w:rPr>
          <w:i/>
          <w:iCs/>
          <w:sz w:val="20"/>
          <w:szCs w:val="20"/>
        </w:rPr>
        <w:t>” (Sic)</w:t>
      </w:r>
      <w:r w:rsidR="00A875E5" w:rsidRPr="00FE3D52">
        <w:rPr>
          <w:i/>
          <w:iCs/>
          <w:sz w:val="20"/>
          <w:szCs w:val="20"/>
        </w:rPr>
        <w:t>.</w:t>
      </w:r>
    </w:p>
    <w:p w14:paraId="2BA836C8" w14:textId="77777777" w:rsidR="004B3796" w:rsidRPr="00FE3D52" w:rsidRDefault="004B3796" w:rsidP="00395EF6">
      <w:pPr>
        <w:tabs>
          <w:tab w:val="left" w:pos="567"/>
        </w:tabs>
        <w:spacing w:after="0" w:line="360" w:lineRule="auto"/>
        <w:ind w:left="567" w:right="616"/>
        <w:rPr>
          <w:i/>
          <w:iCs/>
          <w:sz w:val="20"/>
          <w:szCs w:val="20"/>
        </w:rPr>
      </w:pPr>
    </w:p>
    <w:p w14:paraId="329A5DF8" w14:textId="2A32C6DA" w:rsidR="00550607" w:rsidRPr="00FE3D52" w:rsidRDefault="00667E5F" w:rsidP="00395EF6">
      <w:pPr>
        <w:tabs>
          <w:tab w:val="left" w:pos="567"/>
        </w:tabs>
        <w:spacing w:after="0" w:line="360" w:lineRule="auto"/>
        <w:ind w:left="567" w:right="616"/>
        <w:rPr>
          <w:i/>
          <w:iCs/>
          <w:sz w:val="20"/>
          <w:szCs w:val="20"/>
        </w:rPr>
      </w:pPr>
      <w:r w:rsidRPr="00FE3D52">
        <w:rPr>
          <w:b/>
          <w:bCs/>
          <w:i/>
          <w:iCs/>
          <w:sz w:val="20"/>
          <w:szCs w:val="20"/>
        </w:rPr>
        <w:t>MODALIDAD DE ACCESO</w:t>
      </w:r>
      <w:r w:rsidR="00A336FF" w:rsidRPr="00FE3D52">
        <w:rPr>
          <w:b/>
          <w:bCs/>
          <w:i/>
          <w:iCs/>
          <w:sz w:val="20"/>
          <w:szCs w:val="20"/>
        </w:rPr>
        <w:t>:</w:t>
      </w:r>
      <w:r w:rsidR="00C4493F" w:rsidRPr="00FE3D52">
        <w:rPr>
          <w:b/>
          <w:bCs/>
          <w:i/>
          <w:iCs/>
          <w:sz w:val="20"/>
          <w:szCs w:val="20"/>
        </w:rPr>
        <w:t xml:space="preserve"> </w:t>
      </w:r>
      <w:r w:rsidR="009461D1" w:rsidRPr="00FE3D52">
        <w:rPr>
          <w:i/>
          <w:iCs/>
          <w:sz w:val="20"/>
          <w:szCs w:val="20"/>
        </w:rPr>
        <w:t>Consulta directa</w:t>
      </w:r>
    </w:p>
    <w:p w14:paraId="6BAD2F71" w14:textId="77777777" w:rsidR="00B53186" w:rsidRPr="00FE3D52" w:rsidRDefault="00B53186" w:rsidP="00395EF6">
      <w:pPr>
        <w:tabs>
          <w:tab w:val="left" w:pos="567"/>
        </w:tabs>
        <w:spacing w:after="0" w:line="360" w:lineRule="auto"/>
        <w:ind w:left="567" w:right="616"/>
        <w:rPr>
          <w:b/>
          <w:bCs/>
          <w:i/>
          <w:iCs/>
          <w:sz w:val="20"/>
          <w:szCs w:val="20"/>
        </w:rPr>
      </w:pPr>
    </w:p>
    <w:p w14:paraId="0D5D0FDC" w14:textId="68647C2A" w:rsidR="004B3796" w:rsidRPr="00FE3D52" w:rsidRDefault="00B53186" w:rsidP="00395EF6">
      <w:pPr>
        <w:tabs>
          <w:tab w:val="left" w:pos="4667"/>
        </w:tabs>
        <w:spacing w:after="0" w:line="360" w:lineRule="auto"/>
        <w:contextualSpacing/>
        <w:rPr>
          <w:rFonts w:cs="Tahoma"/>
          <w:bCs/>
          <w:iCs/>
        </w:rPr>
      </w:pPr>
      <w:r w:rsidRPr="00FE3D52">
        <w:rPr>
          <w:rFonts w:cs="Tahoma"/>
          <w:bCs/>
          <w:iCs/>
        </w:rPr>
        <w:t xml:space="preserve">A su </w:t>
      </w:r>
      <w:r w:rsidR="00667E5F" w:rsidRPr="00FE3D52">
        <w:rPr>
          <w:rFonts w:cs="Tahoma"/>
          <w:bCs/>
          <w:iCs/>
        </w:rPr>
        <w:t>solicitud adjuntó:</w:t>
      </w:r>
    </w:p>
    <w:p w14:paraId="3D200D77" w14:textId="11B15CFC" w:rsidR="00667E5F" w:rsidRPr="00FE3D52" w:rsidRDefault="00667E5F" w:rsidP="00395EF6">
      <w:pPr>
        <w:tabs>
          <w:tab w:val="left" w:pos="4667"/>
        </w:tabs>
        <w:spacing w:after="0" w:line="360" w:lineRule="auto"/>
        <w:contextualSpacing/>
        <w:rPr>
          <w:rFonts w:cs="Tahoma"/>
          <w:bCs/>
          <w:iCs/>
        </w:rPr>
      </w:pPr>
    </w:p>
    <w:p w14:paraId="5C48DF5A" w14:textId="50DF090C" w:rsidR="00667E5F" w:rsidRPr="00FE3D52" w:rsidRDefault="00831F48" w:rsidP="00E56F1B">
      <w:pPr>
        <w:pStyle w:val="Prrafodelista"/>
        <w:numPr>
          <w:ilvl w:val="0"/>
          <w:numId w:val="2"/>
        </w:numPr>
        <w:tabs>
          <w:tab w:val="left" w:pos="4667"/>
        </w:tabs>
        <w:spacing w:after="0" w:line="360" w:lineRule="auto"/>
        <w:rPr>
          <w:rFonts w:cs="Tahoma"/>
          <w:bCs/>
          <w:iCs/>
        </w:rPr>
      </w:pPr>
      <w:r w:rsidRPr="00FE3D52">
        <w:rPr>
          <w:rFonts w:cs="Tahoma"/>
          <w:bCs/>
          <w:iCs/>
        </w:rPr>
        <w:t>C</w:t>
      </w:r>
      <w:r w:rsidR="009461D1" w:rsidRPr="00FE3D52">
        <w:rPr>
          <w:rFonts w:cs="Tahoma"/>
          <w:bCs/>
          <w:iCs/>
        </w:rPr>
        <w:t>redencial para votar expedida a nombre de la solicitante.</w:t>
      </w:r>
    </w:p>
    <w:p w14:paraId="63ACB4B9" w14:textId="37791D1F" w:rsidR="00667E5F" w:rsidRPr="00FE3D52" w:rsidRDefault="00831F48" w:rsidP="00E56F1B">
      <w:pPr>
        <w:pStyle w:val="Prrafodelista"/>
        <w:numPr>
          <w:ilvl w:val="0"/>
          <w:numId w:val="2"/>
        </w:numPr>
        <w:tabs>
          <w:tab w:val="left" w:pos="4667"/>
        </w:tabs>
        <w:spacing w:after="0" w:line="360" w:lineRule="auto"/>
        <w:rPr>
          <w:rFonts w:cs="Tahoma"/>
          <w:bCs/>
          <w:iCs/>
        </w:rPr>
      </w:pPr>
      <w:r w:rsidRPr="00FE3D52">
        <w:rPr>
          <w:rFonts w:cs="Tahoma"/>
          <w:bCs/>
          <w:iCs/>
        </w:rPr>
        <w:t>Credencial para votar, de la persona que la Solicitante, indicó que es una persona finada y que es su esposo</w:t>
      </w:r>
      <w:r w:rsidR="00C77BA2" w:rsidRPr="00FE3D52">
        <w:rPr>
          <w:rFonts w:cs="Tahoma"/>
          <w:bCs/>
          <w:iCs/>
        </w:rPr>
        <w:t>.</w:t>
      </w:r>
    </w:p>
    <w:p w14:paraId="3C5F09C0" w14:textId="0FE48122" w:rsidR="00831F48" w:rsidRPr="00FE3D52" w:rsidRDefault="00831F48" w:rsidP="00E56F1B">
      <w:pPr>
        <w:pStyle w:val="Prrafodelista"/>
        <w:numPr>
          <w:ilvl w:val="0"/>
          <w:numId w:val="2"/>
        </w:numPr>
        <w:tabs>
          <w:tab w:val="left" w:pos="4667"/>
        </w:tabs>
        <w:spacing w:after="0" w:line="360" w:lineRule="auto"/>
        <w:rPr>
          <w:rFonts w:cs="Tahoma"/>
          <w:bCs/>
          <w:iCs/>
        </w:rPr>
      </w:pPr>
      <w:r w:rsidRPr="00FE3D52">
        <w:rPr>
          <w:rFonts w:cs="Tahoma"/>
          <w:bCs/>
          <w:iCs/>
        </w:rPr>
        <w:t>Acta de matrimonio entre la solicitante y el finado.</w:t>
      </w:r>
    </w:p>
    <w:p w14:paraId="4C3AA17C" w14:textId="17FF14BA" w:rsidR="00831F48" w:rsidRPr="00FE3D52" w:rsidRDefault="00831F48" w:rsidP="00E56F1B">
      <w:pPr>
        <w:pStyle w:val="Prrafodelista"/>
        <w:numPr>
          <w:ilvl w:val="0"/>
          <w:numId w:val="2"/>
        </w:numPr>
        <w:tabs>
          <w:tab w:val="left" w:pos="4667"/>
        </w:tabs>
        <w:spacing w:after="0" w:line="360" w:lineRule="auto"/>
        <w:rPr>
          <w:rFonts w:cs="Tahoma"/>
          <w:bCs/>
          <w:iCs/>
        </w:rPr>
      </w:pPr>
      <w:r w:rsidRPr="00FE3D52">
        <w:rPr>
          <w:rFonts w:cs="Tahoma"/>
          <w:bCs/>
          <w:iCs/>
        </w:rPr>
        <w:t>Acta de defunción del Titular de los Datos.</w:t>
      </w:r>
    </w:p>
    <w:p w14:paraId="57B94213" w14:textId="77777777" w:rsidR="00D51763" w:rsidRPr="00FE3D52" w:rsidRDefault="00D51763" w:rsidP="00395EF6">
      <w:pPr>
        <w:tabs>
          <w:tab w:val="left" w:pos="567"/>
        </w:tabs>
        <w:spacing w:after="0" w:line="360" w:lineRule="auto"/>
        <w:ind w:right="616"/>
      </w:pPr>
    </w:p>
    <w:p w14:paraId="7928B069" w14:textId="00FB20D0" w:rsidR="00D51763" w:rsidRPr="00FE3D52" w:rsidRDefault="00D51763" w:rsidP="009461D1">
      <w:pPr>
        <w:pStyle w:val="Ttulo2"/>
      </w:pPr>
      <w:bookmarkStart w:id="3" w:name="_Toc180624191"/>
      <w:r w:rsidRPr="00FE3D52">
        <w:t>II.</w:t>
      </w:r>
      <w:r w:rsidR="008E3ABB" w:rsidRPr="00FE3D52">
        <w:t xml:space="preserve"> </w:t>
      </w:r>
      <w:r w:rsidR="00831F48" w:rsidRPr="00FE3D52">
        <w:t>Solicitud de aclaración</w:t>
      </w:r>
      <w:bookmarkEnd w:id="3"/>
    </w:p>
    <w:p w14:paraId="7F138EEA" w14:textId="77777777" w:rsidR="00831F48" w:rsidRPr="00FE3D52" w:rsidRDefault="00831F48" w:rsidP="00831F48"/>
    <w:p w14:paraId="2C5E9574" w14:textId="5DAF21C7" w:rsidR="00831F48" w:rsidRPr="00FE3D52" w:rsidRDefault="00831F48" w:rsidP="00831F48">
      <w:pPr>
        <w:pStyle w:val="Prrafodelista"/>
        <w:tabs>
          <w:tab w:val="left" w:pos="567"/>
        </w:tabs>
        <w:spacing w:after="0" w:line="360" w:lineRule="auto"/>
        <w:ind w:left="0"/>
        <w:rPr>
          <w:rFonts w:cs="Tahoma"/>
          <w:bCs/>
        </w:rPr>
      </w:pPr>
      <w:r w:rsidRPr="00FE3D52">
        <w:rPr>
          <w:rFonts w:cs="Tahoma"/>
          <w:bCs/>
        </w:rPr>
        <w:t xml:space="preserve">El trece de mayo de dos mil veinticuatro, el Responsable del Tratamiento de los Datos Personales, solicitó </w:t>
      </w:r>
      <w:r w:rsidR="003913D5" w:rsidRPr="00FE3D52">
        <w:rPr>
          <w:rFonts w:cs="Tahoma"/>
          <w:bCs/>
        </w:rPr>
        <w:t xml:space="preserve">el documento a través del </w:t>
      </w:r>
      <w:r w:rsidR="00D62ACF" w:rsidRPr="00FE3D52">
        <w:rPr>
          <w:rFonts w:cs="Tahoma"/>
          <w:bCs/>
        </w:rPr>
        <w:t>cual</w:t>
      </w:r>
      <w:r w:rsidR="003913D5" w:rsidRPr="00FE3D52">
        <w:rPr>
          <w:rFonts w:cs="Tahoma"/>
          <w:bCs/>
        </w:rPr>
        <w:t xml:space="preserve"> el </w:t>
      </w:r>
      <w:r w:rsidR="00D62ACF" w:rsidRPr="00FE3D52">
        <w:rPr>
          <w:rFonts w:cs="Tahoma"/>
          <w:bCs/>
        </w:rPr>
        <w:t>titular de los datos personales solicitados</w:t>
      </w:r>
      <w:r w:rsidR="003913D5" w:rsidRPr="00FE3D52">
        <w:rPr>
          <w:rFonts w:cs="Tahoma"/>
          <w:bCs/>
        </w:rPr>
        <w:t xml:space="preserve"> expresó su voluntad testamentari</w:t>
      </w:r>
      <w:r w:rsidR="00D62ACF" w:rsidRPr="00FE3D52">
        <w:rPr>
          <w:rFonts w:cs="Tahoma"/>
          <w:bCs/>
        </w:rPr>
        <w:t>a</w:t>
      </w:r>
      <w:r w:rsidR="003913D5" w:rsidRPr="00FE3D52">
        <w:rPr>
          <w:rFonts w:cs="Tahoma"/>
          <w:bCs/>
        </w:rPr>
        <w:t xml:space="preserve"> para que la </w:t>
      </w:r>
      <w:r w:rsidR="00D62ACF" w:rsidRPr="00FE3D52">
        <w:rPr>
          <w:rFonts w:cs="Tahoma"/>
          <w:bCs/>
        </w:rPr>
        <w:t xml:space="preserve"> persona </w:t>
      </w:r>
      <w:r w:rsidR="003913D5" w:rsidRPr="00FE3D52">
        <w:rPr>
          <w:rFonts w:cs="Tahoma"/>
          <w:bCs/>
        </w:rPr>
        <w:t xml:space="preserve">Solicitante, pueda ejercer sus derechos ARCO </w:t>
      </w:r>
      <w:r w:rsidR="003913D5" w:rsidRPr="00FE3D52">
        <w:rPr>
          <w:rFonts w:cs="Tahoma"/>
          <w:bCs/>
          <w:i/>
        </w:rPr>
        <w:t>post mortem</w:t>
      </w:r>
      <w:r w:rsidR="00D62ACF" w:rsidRPr="00FE3D52">
        <w:rPr>
          <w:rFonts w:cs="Tahoma"/>
          <w:bCs/>
          <w:iCs/>
        </w:rPr>
        <w:t xml:space="preserve"> (después de su muerte)</w:t>
      </w:r>
      <w:r w:rsidR="003913D5" w:rsidRPr="00FE3D52">
        <w:rPr>
          <w:rFonts w:cs="Tahoma"/>
          <w:bCs/>
          <w:i/>
        </w:rPr>
        <w:t>.</w:t>
      </w:r>
    </w:p>
    <w:p w14:paraId="07C4F810" w14:textId="3AE2B013" w:rsidR="009D13CD" w:rsidRPr="00FE3D52" w:rsidRDefault="009D13CD" w:rsidP="00395EF6">
      <w:pPr>
        <w:pStyle w:val="Prrafodelista"/>
        <w:tabs>
          <w:tab w:val="left" w:pos="567"/>
        </w:tabs>
        <w:spacing w:after="0" w:line="360" w:lineRule="auto"/>
        <w:ind w:left="0"/>
        <w:rPr>
          <w:rFonts w:cs="Tahoma"/>
          <w:bCs/>
        </w:rPr>
      </w:pPr>
    </w:p>
    <w:p w14:paraId="25898A2B" w14:textId="0873352B" w:rsidR="009D13CD" w:rsidRPr="00FE3D52" w:rsidRDefault="003913D5" w:rsidP="00395EF6">
      <w:pPr>
        <w:pStyle w:val="Prrafodelista"/>
        <w:tabs>
          <w:tab w:val="left" w:pos="567"/>
        </w:tabs>
        <w:spacing w:after="0" w:line="360" w:lineRule="auto"/>
        <w:ind w:left="0"/>
        <w:rPr>
          <w:rFonts w:cs="Tahoma"/>
          <w:bCs/>
        </w:rPr>
      </w:pPr>
      <w:r w:rsidRPr="00FE3D52">
        <w:rPr>
          <w:rFonts w:cs="Tahoma"/>
          <w:bCs/>
        </w:rPr>
        <w:t xml:space="preserve"> La Particular no aclaró ni hizo entrega de documentos para acreditar lo requerido por el Sujeto Obligado.</w:t>
      </w:r>
    </w:p>
    <w:p w14:paraId="02C6D8EC" w14:textId="77777777" w:rsidR="003913D5" w:rsidRPr="00FE3D52" w:rsidRDefault="003913D5" w:rsidP="00395EF6">
      <w:pPr>
        <w:pStyle w:val="Prrafodelista"/>
        <w:tabs>
          <w:tab w:val="left" w:pos="567"/>
        </w:tabs>
        <w:spacing w:after="0" w:line="360" w:lineRule="auto"/>
        <w:ind w:left="0"/>
        <w:rPr>
          <w:rFonts w:cs="Tahoma"/>
          <w:bCs/>
        </w:rPr>
      </w:pPr>
    </w:p>
    <w:p w14:paraId="403AC70D" w14:textId="47C23FE9" w:rsidR="003913D5" w:rsidRPr="00FE3D52" w:rsidRDefault="003913D5" w:rsidP="0038278C">
      <w:pPr>
        <w:pStyle w:val="Ttulo2"/>
      </w:pPr>
      <w:bookmarkStart w:id="4" w:name="_Toc180624192"/>
      <w:r w:rsidRPr="00FE3D52">
        <w:t>III. Respuesta</w:t>
      </w:r>
      <w:r w:rsidR="0038278C" w:rsidRPr="00FE3D52">
        <w:t xml:space="preserve"> a la solicitud</w:t>
      </w:r>
      <w:bookmarkEnd w:id="4"/>
    </w:p>
    <w:p w14:paraId="6F2931FB" w14:textId="77777777" w:rsidR="003913D5" w:rsidRPr="00FE3D52" w:rsidRDefault="003913D5" w:rsidP="00395EF6">
      <w:pPr>
        <w:pStyle w:val="Prrafodelista"/>
        <w:tabs>
          <w:tab w:val="left" w:pos="567"/>
        </w:tabs>
        <w:spacing w:after="0" w:line="360" w:lineRule="auto"/>
        <w:ind w:left="0"/>
        <w:rPr>
          <w:rFonts w:cs="Tahoma"/>
          <w:bCs/>
        </w:rPr>
      </w:pPr>
    </w:p>
    <w:p w14:paraId="217C9581" w14:textId="4BD8E1C9" w:rsidR="003913D5" w:rsidRPr="00FE3D52" w:rsidRDefault="003913D5" w:rsidP="00395EF6">
      <w:pPr>
        <w:pStyle w:val="Prrafodelista"/>
        <w:tabs>
          <w:tab w:val="left" w:pos="567"/>
        </w:tabs>
        <w:spacing w:after="0" w:line="360" w:lineRule="auto"/>
        <w:ind w:left="0"/>
        <w:rPr>
          <w:rFonts w:cs="Tahoma"/>
          <w:bCs/>
        </w:rPr>
      </w:pPr>
      <w:r w:rsidRPr="00FE3D52">
        <w:rPr>
          <w:rFonts w:cs="Tahoma"/>
          <w:bCs/>
        </w:rPr>
        <w:t>El cuatro de junio de dos mil veinticuatro</w:t>
      </w:r>
      <w:r w:rsidR="0038278C" w:rsidRPr="00FE3D52">
        <w:rPr>
          <w:rFonts w:cs="Tahoma"/>
          <w:bCs/>
        </w:rPr>
        <w:t>, al no haberse presentado el desahogo de la aclaración, se tuvo por no presentad</w:t>
      </w:r>
      <w:r w:rsidR="00D62ACF" w:rsidRPr="00FE3D52">
        <w:rPr>
          <w:rFonts w:cs="Tahoma"/>
          <w:bCs/>
        </w:rPr>
        <w:t xml:space="preserve">a </w:t>
      </w:r>
      <w:r w:rsidR="0038278C" w:rsidRPr="00FE3D52">
        <w:rPr>
          <w:rFonts w:cs="Tahoma"/>
          <w:bCs/>
        </w:rPr>
        <w:t xml:space="preserve"> </w:t>
      </w:r>
      <w:r w:rsidR="00D62ACF" w:rsidRPr="00FE3D52">
        <w:rPr>
          <w:rFonts w:cs="Tahoma"/>
          <w:bCs/>
        </w:rPr>
        <w:t>la solicitud</w:t>
      </w:r>
      <w:r w:rsidR="0038278C" w:rsidRPr="00FE3D52">
        <w:rPr>
          <w:rFonts w:cs="Tahoma"/>
          <w:bCs/>
        </w:rPr>
        <w:t>.</w:t>
      </w:r>
    </w:p>
    <w:p w14:paraId="23D764C2" w14:textId="77777777" w:rsidR="00B24F7A" w:rsidRPr="00FE3D52" w:rsidRDefault="00B24F7A" w:rsidP="00395EF6">
      <w:pPr>
        <w:pStyle w:val="Prrafodelista"/>
        <w:tabs>
          <w:tab w:val="left" w:pos="567"/>
        </w:tabs>
        <w:spacing w:after="0" w:line="360" w:lineRule="auto"/>
        <w:ind w:left="0"/>
        <w:rPr>
          <w:rFonts w:cs="Tahoma"/>
          <w:b/>
        </w:rPr>
      </w:pPr>
    </w:p>
    <w:p w14:paraId="67CAAAA9" w14:textId="5E3C6FE6" w:rsidR="008E3ABB" w:rsidRPr="00FE3D52" w:rsidRDefault="0038278C" w:rsidP="009461D1">
      <w:pPr>
        <w:pStyle w:val="Ttulo2"/>
      </w:pPr>
      <w:bookmarkStart w:id="5" w:name="_Toc180624193"/>
      <w:r w:rsidRPr="00FE3D52">
        <w:lastRenderedPageBreak/>
        <w:t>IV</w:t>
      </w:r>
      <w:r w:rsidR="00E04852" w:rsidRPr="00FE3D52">
        <w:t>. Interposición del Recurso de Revisión</w:t>
      </w:r>
      <w:bookmarkEnd w:id="5"/>
    </w:p>
    <w:p w14:paraId="2343165B" w14:textId="77777777" w:rsidR="005E2840" w:rsidRPr="00FE3D52" w:rsidRDefault="005E2840" w:rsidP="00395EF6">
      <w:pPr>
        <w:tabs>
          <w:tab w:val="left" w:pos="4667"/>
        </w:tabs>
        <w:spacing w:after="0" w:line="360" w:lineRule="auto"/>
        <w:contextualSpacing/>
        <w:rPr>
          <w:rFonts w:cs="Tahoma"/>
          <w:b/>
          <w:iCs/>
        </w:rPr>
      </w:pPr>
    </w:p>
    <w:p w14:paraId="278853F8" w14:textId="35D75316" w:rsidR="008E3ABB" w:rsidRPr="00FE3D52" w:rsidRDefault="00E04852" w:rsidP="00395EF6">
      <w:pPr>
        <w:tabs>
          <w:tab w:val="left" w:pos="4667"/>
        </w:tabs>
        <w:spacing w:after="0" w:line="360" w:lineRule="auto"/>
        <w:contextualSpacing/>
        <w:rPr>
          <w:rFonts w:cs="Tahoma"/>
          <w:bCs/>
          <w:iCs/>
        </w:rPr>
      </w:pPr>
      <w:r w:rsidRPr="00FE3D52">
        <w:rPr>
          <w:rFonts w:cs="Tahoma"/>
          <w:bCs/>
          <w:iCs/>
        </w:rPr>
        <w:t xml:space="preserve">Con fecha </w:t>
      </w:r>
      <w:r w:rsidR="0038278C" w:rsidRPr="00FE3D52">
        <w:rPr>
          <w:rFonts w:cs="Tahoma"/>
          <w:bCs/>
          <w:iCs/>
        </w:rPr>
        <w:t>cuatro</w:t>
      </w:r>
      <w:r w:rsidR="009D13CD" w:rsidRPr="00FE3D52">
        <w:rPr>
          <w:rFonts w:cs="Tahoma"/>
          <w:bCs/>
          <w:iCs/>
        </w:rPr>
        <w:t xml:space="preserve"> de </w:t>
      </w:r>
      <w:r w:rsidR="0038278C" w:rsidRPr="00FE3D52">
        <w:rPr>
          <w:rFonts w:cs="Tahoma"/>
          <w:bCs/>
          <w:iCs/>
        </w:rPr>
        <w:t>junio</w:t>
      </w:r>
      <w:r w:rsidR="009D13CD" w:rsidRPr="00FE3D52">
        <w:rPr>
          <w:rFonts w:cs="Tahoma"/>
          <w:bCs/>
          <w:iCs/>
        </w:rPr>
        <w:t xml:space="preserve"> de dos mil </w:t>
      </w:r>
      <w:r w:rsidR="006C388A" w:rsidRPr="00FE3D52">
        <w:rPr>
          <w:rFonts w:cs="Tahoma"/>
          <w:bCs/>
          <w:iCs/>
        </w:rPr>
        <w:t>veinticuatro</w:t>
      </w:r>
      <w:r w:rsidRPr="00FE3D52">
        <w:rPr>
          <w:rFonts w:cs="Tahoma"/>
          <w:bCs/>
          <w:iCs/>
        </w:rPr>
        <w:t xml:space="preserve">, a través del </w:t>
      </w:r>
      <w:r w:rsidR="009D13CD" w:rsidRPr="00FE3D52">
        <w:rPr>
          <w:rFonts w:cs="Tahoma"/>
          <w:bCs/>
          <w:iCs/>
        </w:rPr>
        <w:t>SARCOEM</w:t>
      </w:r>
      <w:r w:rsidRPr="00FE3D52">
        <w:rPr>
          <w:rFonts w:cs="Tahoma"/>
          <w:bCs/>
          <w:iCs/>
        </w:rPr>
        <w:t xml:space="preserve">, se interpuso el presente Recurso de Revisión por la Recurrente, </w:t>
      </w:r>
      <w:r w:rsidR="009D13CD" w:rsidRPr="00FE3D52">
        <w:rPr>
          <w:rFonts w:cs="Tahoma"/>
          <w:bCs/>
          <w:iCs/>
        </w:rPr>
        <w:t>en donde expresó lo siguiente:</w:t>
      </w:r>
    </w:p>
    <w:p w14:paraId="006F3A6E" w14:textId="77777777" w:rsidR="008E3ABB" w:rsidRPr="00FE3D52" w:rsidRDefault="008E3ABB" w:rsidP="00395EF6">
      <w:pPr>
        <w:tabs>
          <w:tab w:val="left" w:pos="4667"/>
        </w:tabs>
        <w:spacing w:after="0" w:line="360" w:lineRule="auto"/>
        <w:contextualSpacing/>
        <w:rPr>
          <w:rFonts w:cs="Tahoma"/>
          <w:bCs/>
          <w:iCs/>
        </w:rPr>
      </w:pPr>
    </w:p>
    <w:p w14:paraId="039925B8" w14:textId="6F0367D3" w:rsidR="008E3ABB" w:rsidRPr="00FE3D52" w:rsidRDefault="000D5A18" w:rsidP="00395EF6">
      <w:pPr>
        <w:tabs>
          <w:tab w:val="left" w:pos="567"/>
        </w:tabs>
        <w:spacing w:after="0" w:line="360" w:lineRule="auto"/>
        <w:ind w:left="567" w:right="616"/>
        <w:rPr>
          <w:b/>
          <w:bCs/>
          <w:i/>
          <w:iCs/>
          <w:sz w:val="20"/>
          <w:szCs w:val="20"/>
        </w:rPr>
      </w:pPr>
      <w:r w:rsidRPr="00FE3D52">
        <w:rPr>
          <w:b/>
          <w:bCs/>
          <w:i/>
          <w:iCs/>
          <w:sz w:val="20"/>
          <w:szCs w:val="20"/>
        </w:rPr>
        <w:t>“</w:t>
      </w:r>
      <w:r w:rsidR="00E04852" w:rsidRPr="00FE3D52">
        <w:rPr>
          <w:b/>
          <w:bCs/>
          <w:i/>
          <w:iCs/>
          <w:sz w:val="20"/>
          <w:szCs w:val="20"/>
        </w:rPr>
        <w:t xml:space="preserve">ACTO IMPUGNADO: </w:t>
      </w:r>
    </w:p>
    <w:p w14:paraId="2D7487B5" w14:textId="6C61BA87" w:rsidR="008E3ABB" w:rsidRPr="00FE3D52" w:rsidRDefault="0038278C" w:rsidP="00395EF6">
      <w:pPr>
        <w:tabs>
          <w:tab w:val="left" w:pos="567"/>
        </w:tabs>
        <w:spacing w:after="0" w:line="360" w:lineRule="auto"/>
        <w:ind w:left="567" w:right="616"/>
        <w:rPr>
          <w:i/>
          <w:iCs/>
          <w:sz w:val="20"/>
          <w:szCs w:val="20"/>
        </w:rPr>
      </w:pPr>
      <w:r w:rsidRPr="00FE3D52">
        <w:rPr>
          <w:i/>
          <w:iCs/>
          <w:sz w:val="20"/>
          <w:szCs w:val="20"/>
        </w:rPr>
        <w:t>Determinación de no tener por presentada la solicitud de derechos ARCO</w:t>
      </w:r>
      <w:r w:rsidR="007C10FB" w:rsidRPr="00FE3D52">
        <w:rPr>
          <w:i/>
          <w:iCs/>
          <w:sz w:val="20"/>
          <w:szCs w:val="20"/>
        </w:rPr>
        <w:t>”</w:t>
      </w:r>
    </w:p>
    <w:p w14:paraId="29B86BE3" w14:textId="77777777" w:rsidR="007C10FB" w:rsidRPr="00FE3D52" w:rsidRDefault="007C10FB" w:rsidP="00395EF6">
      <w:pPr>
        <w:tabs>
          <w:tab w:val="left" w:pos="567"/>
        </w:tabs>
        <w:spacing w:after="0" w:line="360" w:lineRule="auto"/>
        <w:ind w:left="567" w:right="616"/>
        <w:rPr>
          <w:i/>
          <w:iCs/>
          <w:sz w:val="20"/>
          <w:szCs w:val="20"/>
        </w:rPr>
      </w:pPr>
    </w:p>
    <w:p w14:paraId="44DDE5CC" w14:textId="77777777" w:rsidR="008E3ABB" w:rsidRPr="00FE3D52" w:rsidRDefault="00E04852" w:rsidP="00395EF6">
      <w:pPr>
        <w:tabs>
          <w:tab w:val="left" w:pos="567"/>
        </w:tabs>
        <w:spacing w:after="0" w:line="360" w:lineRule="auto"/>
        <w:ind w:left="567" w:right="616"/>
        <w:rPr>
          <w:b/>
          <w:bCs/>
          <w:i/>
          <w:iCs/>
          <w:sz w:val="20"/>
          <w:szCs w:val="20"/>
        </w:rPr>
      </w:pPr>
      <w:r w:rsidRPr="00FE3D52">
        <w:rPr>
          <w:b/>
          <w:bCs/>
          <w:i/>
          <w:iCs/>
          <w:sz w:val="20"/>
          <w:szCs w:val="20"/>
        </w:rPr>
        <w:t xml:space="preserve">RAZONES O MOTIVOS DE LA INCONFORMIDAD. </w:t>
      </w:r>
    </w:p>
    <w:p w14:paraId="7B796C64" w14:textId="76C0C89B" w:rsidR="008E3ABB" w:rsidRPr="00FE3D52" w:rsidRDefault="0038278C" w:rsidP="00395EF6">
      <w:pPr>
        <w:tabs>
          <w:tab w:val="left" w:pos="567"/>
        </w:tabs>
        <w:spacing w:after="0" w:line="360" w:lineRule="auto"/>
        <w:ind w:left="567" w:right="616"/>
        <w:rPr>
          <w:i/>
          <w:iCs/>
          <w:sz w:val="20"/>
          <w:szCs w:val="20"/>
        </w:rPr>
      </w:pPr>
      <w:r w:rsidRPr="00FE3D52">
        <w:rPr>
          <w:i/>
          <w:iCs/>
          <w:sz w:val="20"/>
          <w:szCs w:val="20"/>
        </w:rPr>
        <w:t xml:space="preserve">La prevención resulta excesiva, la única intención es negarme el acceso a los datos personales de mi fallecido esposo pasando por alto las documentales que se anexaron, esto se afirma porque cuento con el interés jurídico para acceder a los datos personales de mi fallecido esposo, pues conforme a los artículos 6.144 y 6.155 del código civil vigente en el Estado de México al ser cónyuge de mi fallecido esposo, cuento con el interés jurídico para heredar sus derechos y obligaciones. Uno de ellos, es el derecho de acceso, rectificación, cancelación y oposición de sus datos personales, tal y como se encuentra previsto en el artículo 16 de la Constitución Política de los Estados Unidos Mexicanos. Asimismo, considero que el acta de matrimonio y defunción es suficiente para acceder a su información; por lo que, se encuentran colmados los requisitos previstos en el Capítulo II "Del Ejercicio de los Derechos de Acceso, Rectificación, Cancelación y Oposición" de la Ley General de Protección de Datos Personales en Posesión de Sujetos Obligados que es una directriz obligatoria y las leyes locales no pueden establecer mayores requisitos que dicho ordenamiento legal, por lo que, la prevención debe tenerse por cumplida y otorgarme acceso a los datos personales de mi fallecido esposo. Anexo el acta de matrimonio de la suscrita y el fallecido titular de la información para robustecer mi dicho. </w:t>
      </w:r>
      <w:r w:rsidR="009D13CD" w:rsidRPr="00FE3D52">
        <w:rPr>
          <w:i/>
          <w:iCs/>
          <w:sz w:val="20"/>
          <w:szCs w:val="20"/>
        </w:rPr>
        <w:t>“</w:t>
      </w:r>
      <w:r w:rsidR="000D5A18" w:rsidRPr="00FE3D52">
        <w:rPr>
          <w:i/>
          <w:iCs/>
          <w:sz w:val="20"/>
          <w:szCs w:val="20"/>
        </w:rPr>
        <w:t>(</w:t>
      </w:r>
      <w:r w:rsidR="00147A5F" w:rsidRPr="00FE3D52">
        <w:rPr>
          <w:i/>
          <w:iCs/>
          <w:sz w:val="20"/>
          <w:szCs w:val="20"/>
        </w:rPr>
        <w:t>Sic)</w:t>
      </w:r>
    </w:p>
    <w:p w14:paraId="0D963439" w14:textId="738CA9FB" w:rsidR="008E3ABB" w:rsidRPr="00FE3D52" w:rsidRDefault="008E3ABB" w:rsidP="00395EF6">
      <w:pPr>
        <w:tabs>
          <w:tab w:val="left" w:pos="4667"/>
        </w:tabs>
        <w:spacing w:after="0" w:line="360" w:lineRule="auto"/>
        <w:contextualSpacing/>
        <w:rPr>
          <w:rFonts w:cs="Tahoma"/>
          <w:bCs/>
          <w:iCs/>
        </w:rPr>
      </w:pPr>
    </w:p>
    <w:p w14:paraId="76620049" w14:textId="2D91BB78" w:rsidR="003E3C03" w:rsidRPr="00FE3D52" w:rsidRDefault="000D5A18" w:rsidP="00395EF6">
      <w:pPr>
        <w:tabs>
          <w:tab w:val="left" w:pos="4667"/>
        </w:tabs>
        <w:spacing w:after="0" w:line="360" w:lineRule="auto"/>
        <w:contextualSpacing/>
        <w:rPr>
          <w:rFonts w:cs="Tahoma"/>
          <w:bCs/>
          <w:iCs/>
        </w:rPr>
      </w:pPr>
      <w:r w:rsidRPr="00FE3D52">
        <w:rPr>
          <w:rFonts w:cs="Tahoma"/>
          <w:bCs/>
          <w:iCs/>
        </w:rPr>
        <w:t>Al medio de impugnación interpuesto</w:t>
      </w:r>
      <w:r w:rsidR="006C388A" w:rsidRPr="00FE3D52">
        <w:rPr>
          <w:rFonts w:cs="Tahoma"/>
          <w:bCs/>
          <w:iCs/>
        </w:rPr>
        <w:t xml:space="preserve"> adjuntó el Acta de Matrimonio, que ya había sido entregada desde la solicitud.</w:t>
      </w:r>
    </w:p>
    <w:p w14:paraId="28FB7A05" w14:textId="77777777" w:rsidR="004B3796" w:rsidRPr="00FE3D52" w:rsidRDefault="004B3796" w:rsidP="00395EF6">
      <w:pPr>
        <w:tabs>
          <w:tab w:val="left" w:pos="4667"/>
        </w:tabs>
        <w:spacing w:after="0" w:line="360" w:lineRule="auto"/>
        <w:contextualSpacing/>
        <w:rPr>
          <w:rFonts w:cs="Tahoma"/>
          <w:bCs/>
          <w:iCs/>
        </w:rPr>
      </w:pPr>
    </w:p>
    <w:p w14:paraId="018B858A" w14:textId="6ED7FB6E" w:rsidR="005C1065" w:rsidRPr="00FE3D52" w:rsidRDefault="0038278C" w:rsidP="009461D1">
      <w:pPr>
        <w:pStyle w:val="Ttulo2"/>
      </w:pPr>
      <w:bookmarkStart w:id="6" w:name="_Toc180624194"/>
      <w:r w:rsidRPr="00FE3D52">
        <w:lastRenderedPageBreak/>
        <w:t>V</w:t>
      </w:r>
      <w:r w:rsidR="008E3ABB" w:rsidRPr="00FE3D52">
        <w:t xml:space="preserve">. </w:t>
      </w:r>
      <w:r w:rsidR="00A875E5" w:rsidRPr="00FE3D52">
        <w:t>Trámite del Recurso de Revisión ante este Instituto</w:t>
      </w:r>
      <w:bookmarkEnd w:id="6"/>
    </w:p>
    <w:p w14:paraId="067C1350" w14:textId="77777777" w:rsidR="00A875E5" w:rsidRPr="00FE3D52" w:rsidRDefault="00A875E5" w:rsidP="00395EF6">
      <w:pPr>
        <w:tabs>
          <w:tab w:val="left" w:pos="4667"/>
        </w:tabs>
        <w:spacing w:after="0" w:line="360" w:lineRule="auto"/>
        <w:contextualSpacing/>
        <w:rPr>
          <w:rFonts w:cs="Tahoma"/>
          <w:b/>
          <w:iCs/>
        </w:rPr>
      </w:pPr>
    </w:p>
    <w:p w14:paraId="03FA7B08" w14:textId="25711C0D" w:rsidR="008E3ABB" w:rsidRPr="00FE3D52" w:rsidRDefault="008E3ABB" w:rsidP="00E56F1B">
      <w:pPr>
        <w:pStyle w:val="Ttulo2"/>
        <w:numPr>
          <w:ilvl w:val="0"/>
          <w:numId w:val="3"/>
        </w:numPr>
      </w:pPr>
      <w:bookmarkStart w:id="7" w:name="_Toc180624195"/>
      <w:r w:rsidRPr="00FE3D52">
        <w:t>Turno del</w:t>
      </w:r>
      <w:r w:rsidR="005C1065" w:rsidRPr="00FE3D52">
        <w:t xml:space="preserve"> Medio de Impugnación</w:t>
      </w:r>
      <w:bookmarkEnd w:id="7"/>
    </w:p>
    <w:p w14:paraId="5145D876" w14:textId="77777777" w:rsidR="00A336FF" w:rsidRPr="00FE3D52" w:rsidRDefault="00A336FF" w:rsidP="00395EF6">
      <w:pPr>
        <w:tabs>
          <w:tab w:val="left" w:pos="4667"/>
        </w:tabs>
        <w:spacing w:after="0" w:line="360" w:lineRule="auto"/>
        <w:contextualSpacing/>
        <w:rPr>
          <w:rFonts w:cs="Tahoma"/>
          <w:b/>
          <w:iCs/>
        </w:rPr>
      </w:pPr>
    </w:p>
    <w:p w14:paraId="5F60C595" w14:textId="06C06F27" w:rsidR="005C1065" w:rsidRPr="00FE3D52" w:rsidRDefault="00E04852" w:rsidP="00395EF6">
      <w:pPr>
        <w:tabs>
          <w:tab w:val="left" w:pos="4667"/>
        </w:tabs>
        <w:spacing w:after="0" w:line="360" w:lineRule="auto"/>
        <w:contextualSpacing/>
        <w:rPr>
          <w:rFonts w:cs="Tahoma"/>
          <w:bCs/>
          <w:iCs/>
        </w:rPr>
      </w:pPr>
      <w:r w:rsidRPr="00FE3D52">
        <w:rPr>
          <w:rFonts w:cs="Tahoma"/>
          <w:bCs/>
          <w:iCs/>
        </w:rPr>
        <w:t xml:space="preserve">El </w:t>
      </w:r>
      <w:r w:rsidR="006C388A" w:rsidRPr="00FE3D52">
        <w:rPr>
          <w:rFonts w:cs="Tahoma"/>
          <w:bCs/>
          <w:iCs/>
        </w:rPr>
        <w:t>cuatro</w:t>
      </w:r>
      <w:r w:rsidR="005C1065" w:rsidRPr="00FE3D52">
        <w:rPr>
          <w:rFonts w:cs="Tahoma"/>
          <w:bCs/>
          <w:iCs/>
        </w:rPr>
        <w:t xml:space="preserve"> </w:t>
      </w:r>
      <w:r w:rsidRPr="00FE3D52">
        <w:rPr>
          <w:rFonts w:cs="Tahoma"/>
          <w:bCs/>
          <w:iCs/>
        </w:rPr>
        <w:t xml:space="preserve">de </w:t>
      </w:r>
      <w:r w:rsidR="006C388A" w:rsidRPr="00FE3D52">
        <w:rPr>
          <w:rFonts w:cs="Tahoma"/>
          <w:bCs/>
          <w:iCs/>
        </w:rPr>
        <w:t>junio</w:t>
      </w:r>
      <w:r w:rsidRPr="00FE3D52">
        <w:rPr>
          <w:rFonts w:cs="Tahoma"/>
          <w:bCs/>
          <w:iCs/>
        </w:rPr>
        <w:t xml:space="preserve"> de dos mil </w:t>
      </w:r>
      <w:r w:rsidR="006C388A" w:rsidRPr="00FE3D52">
        <w:rPr>
          <w:rFonts w:cs="Tahoma"/>
          <w:bCs/>
          <w:iCs/>
        </w:rPr>
        <w:t>veinticuatro</w:t>
      </w:r>
      <w:r w:rsidRPr="00FE3D52">
        <w:rPr>
          <w:rFonts w:cs="Tahoma"/>
          <w:bCs/>
          <w:iCs/>
        </w:rPr>
        <w:t xml:space="preserve">, </w:t>
      </w:r>
      <w:r w:rsidR="009D13CD" w:rsidRPr="00FE3D52">
        <w:rPr>
          <w:rFonts w:cs="Tahoma"/>
          <w:bCs/>
          <w:iCs/>
        </w:rPr>
        <w:t>el SARCOEM</w:t>
      </w:r>
      <w:r w:rsidRPr="00FE3D52">
        <w:rPr>
          <w:rFonts w:cs="Tahoma"/>
          <w:bCs/>
          <w:iCs/>
        </w:rPr>
        <w:t xml:space="preserve">, asignó el número de expediente </w:t>
      </w:r>
      <w:r w:rsidR="006C388A" w:rsidRPr="00FE3D52">
        <w:rPr>
          <w:b/>
          <w:bCs/>
        </w:rPr>
        <w:t>03436/INFOEM/AD/RR/2024</w:t>
      </w:r>
      <w:r w:rsidRPr="00FE3D52">
        <w:rPr>
          <w:rFonts w:cs="Tahoma"/>
          <w:bCs/>
          <w:iCs/>
        </w:rPr>
        <w:t xml:space="preserve">, al medio de impugnación que nos ocupa, con base en el sistema aprobado por el Pleno de este </w:t>
      </w:r>
      <w:r w:rsidR="00D62ACF" w:rsidRPr="00FE3D52">
        <w:rPr>
          <w:rFonts w:cs="Tahoma"/>
          <w:bCs/>
          <w:iCs/>
        </w:rPr>
        <w:t>Organismo</w:t>
      </w:r>
      <w:r w:rsidRPr="00FE3D52">
        <w:rPr>
          <w:rFonts w:cs="Tahoma"/>
          <w:bCs/>
          <w:iCs/>
        </w:rPr>
        <w:t xml:space="preserve"> Garante y lo turnó al Comisionado Ponente Luis Gustavo Parra Noriega, para los efectos del artículo 185, fracción I de la Ley de Transparencia y Acceso a la Información Pública del Estado de México y Municipios. </w:t>
      </w:r>
    </w:p>
    <w:p w14:paraId="30FA9839" w14:textId="77777777" w:rsidR="004312CD" w:rsidRPr="00FE3D52" w:rsidRDefault="004312CD" w:rsidP="00395EF6">
      <w:pPr>
        <w:tabs>
          <w:tab w:val="left" w:pos="4667"/>
        </w:tabs>
        <w:spacing w:after="0" w:line="360" w:lineRule="auto"/>
        <w:contextualSpacing/>
        <w:rPr>
          <w:rFonts w:cs="Tahoma"/>
          <w:bCs/>
          <w:iCs/>
        </w:rPr>
      </w:pPr>
    </w:p>
    <w:p w14:paraId="36A1BC75" w14:textId="0BC77D5D" w:rsidR="004312CD" w:rsidRPr="00FE3D52" w:rsidRDefault="009D13CD" w:rsidP="00E56F1B">
      <w:pPr>
        <w:pStyle w:val="Ttulo2"/>
        <w:numPr>
          <w:ilvl w:val="0"/>
          <w:numId w:val="3"/>
        </w:numPr>
      </w:pPr>
      <w:bookmarkStart w:id="8" w:name="_Toc180624196"/>
      <w:r w:rsidRPr="00FE3D52">
        <w:t>Admisión del Medio de Impugnación</w:t>
      </w:r>
      <w:bookmarkEnd w:id="8"/>
    </w:p>
    <w:p w14:paraId="1831681B" w14:textId="77777777" w:rsidR="00A336FF" w:rsidRPr="00FE3D52" w:rsidRDefault="00A336FF" w:rsidP="00395EF6">
      <w:pPr>
        <w:tabs>
          <w:tab w:val="left" w:pos="4667"/>
        </w:tabs>
        <w:spacing w:after="0" w:line="360" w:lineRule="auto"/>
        <w:contextualSpacing/>
        <w:rPr>
          <w:rFonts w:cs="Tahoma"/>
          <w:b/>
          <w:iCs/>
        </w:rPr>
      </w:pPr>
    </w:p>
    <w:p w14:paraId="510F9623" w14:textId="202457FD" w:rsidR="003C0F4A" w:rsidRPr="00FE3D52" w:rsidRDefault="003C0F4A" w:rsidP="009D13CD">
      <w:pPr>
        <w:tabs>
          <w:tab w:val="left" w:pos="4667"/>
        </w:tabs>
        <w:spacing w:after="0" w:line="360" w:lineRule="auto"/>
        <w:contextualSpacing/>
        <w:rPr>
          <w:rFonts w:cs="Tahoma"/>
          <w:bCs/>
          <w:iCs/>
        </w:rPr>
      </w:pPr>
      <w:r w:rsidRPr="00FE3D52">
        <w:rPr>
          <w:rFonts w:cs="Tahoma"/>
          <w:bCs/>
          <w:iCs/>
        </w:rPr>
        <w:t xml:space="preserve">El Particular, </w:t>
      </w:r>
      <w:r w:rsidR="009D13CD" w:rsidRPr="00FE3D52">
        <w:rPr>
          <w:rFonts w:cs="Tahoma"/>
          <w:bCs/>
          <w:iCs/>
        </w:rPr>
        <w:t xml:space="preserve">una vez realizado el estudio de las constancias digitales, este Organismo Garante determinó la admisión del medio de impugnación, por acuerdo del </w:t>
      </w:r>
      <w:r w:rsidR="000B049E" w:rsidRPr="00FE3D52">
        <w:rPr>
          <w:rFonts w:cs="Tahoma"/>
          <w:bCs/>
          <w:iCs/>
        </w:rPr>
        <w:t>catorce</w:t>
      </w:r>
      <w:r w:rsidR="009D13CD" w:rsidRPr="00FE3D52">
        <w:rPr>
          <w:rFonts w:cs="Tahoma"/>
          <w:bCs/>
          <w:iCs/>
        </w:rPr>
        <w:t xml:space="preserve"> de </w:t>
      </w:r>
      <w:r w:rsidR="000B049E" w:rsidRPr="00FE3D52">
        <w:rPr>
          <w:rFonts w:cs="Tahoma"/>
          <w:bCs/>
          <w:iCs/>
        </w:rPr>
        <w:t>junio</w:t>
      </w:r>
      <w:r w:rsidR="009D13CD" w:rsidRPr="00FE3D52">
        <w:rPr>
          <w:rFonts w:cs="Tahoma"/>
          <w:bCs/>
          <w:iCs/>
        </w:rPr>
        <w:t xml:space="preserve"> de dos mil </w:t>
      </w:r>
      <w:r w:rsidR="000B049E" w:rsidRPr="00FE3D52">
        <w:rPr>
          <w:rFonts w:cs="Tahoma"/>
          <w:bCs/>
          <w:iCs/>
        </w:rPr>
        <w:t>veinticuatro</w:t>
      </w:r>
      <w:r w:rsidR="009D13CD" w:rsidRPr="00FE3D52">
        <w:rPr>
          <w:rFonts w:cs="Tahoma"/>
          <w:bCs/>
          <w:iCs/>
        </w:rPr>
        <w:t>, notificado a las partes el diecisiete del mismo mes y año.</w:t>
      </w:r>
    </w:p>
    <w:p w14:paraId="534C27E1" w14:textId="0D441B05" w:rsidR="00A1132A" w:rsidRPr="00FE3D52" w:rsidRDefault="00A1132A" w:rsidP="00395EF6">
      <w:pPr>
        <w:tabs>
          <w:tab w:val="left" w:pos="4667"/>
        </w:tabs>
        <w:spacing w:after="0" w:line="360" w:lineRule="auto"/>
        <w:contextualSpacing/>
        <w:rPr>
          <w:rFonts w:cs="Tahoma"/>
          <w:bCs/>
          <w:iCs/>
        </w:rPr>
      </w:pPr>
    </w:p>
    <w:p w14:paraId="3A64E9A6" w14:textId="19AD8C8E" w:rsidR="00664856" w:rsidRPr="00FE3D52" w:rsidRDefault="004312CD" w:rsidP="00E56F1B">
      <w:pPr>
        <w:pStyle w:val="Ttulo2"/>
        <w:numPr>
          <w:ilvl w:val="0"/>
          <w:numId w:val="3"/>
        </w:numPr>
        <w:rPr>
          <w:rFonts w:cs="Tahoma"/>
          <w:b w:val="0"/>
          <w:iCs/>
        </w:rPr>
      </w:pPr>
      <w:bookmarkStart w:id="9" w:name="_Toc180624197"/>
      <w:r w:rsidRPr="00FE3D52">
        <w:t>Apertura de la Etapa de Conciliación</w:t>
      </w:r>
      <w:bookmarkEnd w:id="9"/>
    </w:p>
    <w:p w14:paraId="4C64466B" w14:textId="77777777" w:rsidR="00664856" w:rsidRPr="00FE3D52" w:rsidRDefault="00664856" w:rsidP="00395EF6">
      <w:pPr>
        <w:tabs>
          <w:tab w:val="left" w:pos="4667"/>
        </w:tabs>
        <w:spacing w:after="0" w:line="360" w:lineRule="auto"/>
        <w:contextualSpacing/>
        <w:rPr>
          <w:rFonts w:cs="Tahoma"/>
          <w:bCs/>
          <w:iCs/>
        </w:rPr>
      </w:pPr>
    </w:p>
    <w:p w14:paraId="02BEFB9C" w14:textId="7EA0080D" w:rsidR="009D13CD" w:rsidRPr="00FE3D52" w:rsidRDefault="00664856" w:rsidP="006E431E">
      <w:pPr>
        <w:tabs>
          <w:tab w:val="left" w:pos="4667"/>
        </w:tabs>
        <w:spacing w:after="0" w:line="360" w:lineRule="auto"/>
        <w:contextualSpacing/>
        <w:rPr>
          <w:rFonts w:cs="Tahoma"/>
          <w:bCs/>
          <w:iCs/>
        </w:rPr>
      </w:pPr>
      <w:r w:rsidRPr="00FE3D52">
        <w:rPr>
          <w:rFonts w:cs="Tahoma"/>
          <w:bCs/>
          <w:iCs/>
        </w:rPr>
        <w:t xml:space="preserve">A través de </w:t>
      </w:r>
      <w:r w:rsidR="003C0F4A" w:rsidRPr="00FE3D52">
        <w:rPr>
          <w:rFonts w:cs="Tahoma"/>
          <w:bCs/>
          <w:iCs/>
        </w:rPr>
        <w:t xml:space="preserve">la apertura en </w:t>
      </w:r>
      <w:r w:rsidR="00745443" w:rsidRPr="00FE3D52">
        <w:rPr>
          <w:rFonts w:cs="Tahoma"/>
          <w:bCs/>
          <w:iCs/>
        </w:rPr>
        <w:t xml:space="preserve">el </w:t>
      </w:r>
      <w:r w:rsidR="009D13CD" w:rsidRPr="00FE3D52">
        <w:rPr>
          <w:rFonts w:cs="Tahoma"/>
          <w:bCs/>
          <w:iCs/>
        </w:rPr>
        <w:t>SARCOEM</w:t>
      </w:r>
      <w:r w:rsidR="003C0F4A" w:rsidRPr="00FE3D52">
        <w:rPr>
          <w:rFonts w:cs="Tahoma"/>
          <w:bCs/>
          <w:iCs/>
        </w:rPr>
        <w:t xml:space="preserve"> de la etapa de conciliación, el </w:t>
      </w:r>
      <w:r w:rsidR="000B049E" w:rsidRPr="00FE3D52">
        <w:rPr>
          <w:rFonts w:cs="Tahoma"/>
          <w:bCs/>
          <w:iCs/>
        </w:rPr>
        <w:t>diecisiete</w:t>
      </w:r>
      <w:r w:rsidR="003C0F4A" w:rsidRPr="00FE3D52">
        <w:rPr>
          <w:rFonts w:cs="Tahoma"/>
          <w:bCs/>
          <w:iCs/>
        </w:rPr>
        <w:t xml:space="preserve"> de junio de dos mil </w:t>
      </w:r>
      <w:r w:rsidR="000B049E" w:rsidRPr="00FE3D52">
        <w:rPr>
          <w:rFonts w:cs="Tahoma"/>
          <w:bCs/>
          <w:iCs/>
        </w:rPr>
        <w:t>veinticuatro</w:t>
      </w:r>
      <w:r w:rsidR="00DE27AC" w:rsidRPr="00FE3D52">
        <w:rPr>
          <w:rFonts w:cs="Tahoma"/>
          <w:bCs/>
          <w:iCs/>
        </w:rPr>
        <w:t>, se invitó a las partes a conciliar en el presente asunto</w:t>
      </w:r>
      <w:r w:rsidR="000B049E" w:rsidRPr="00FE3D52">
        <w:rPr>
          <w:rFonts w:cs="Tahoma"/>
          <w:bCs/>
          <w:iCs/>
        </w:rPr>
        <w:t xml:space="preserve">; el Sujeto Obligado, exteriorizó su intención para conciliar mientras que el Particular, no realizó pronunciamiento en el presente asunto, </w:t>
      </w:r>
      <w:r w:rsidR="006E431E" w:rsidRPr="00FE3D52">
        <w:rPr>
          <w:rFonts w:cs="Tahoma"/>
          <w:bCs/>
          <w:iCs/>
        </w:rPr>
        <w:t>ni</w:t>
      </w:r>
      <w:r w:rsidR="009D13CD" w:rsidRPr="00FE3D52">
        <w:rPr>
          <w:rFonts w:cs="Tahoma"/>
          <w:bCs/>
          <w:iCs/>
        </w:rPr>
        <w:t xml:space="preserve"> exteriorizó su intención de conciliar. </w:t>
      </w:r>
    </w:p>
    <w:p w14:paraId="7E160148" w14:textId="77777777" w:rsidR="00745443" w:rsidRPr="00FE3D52" w:rsidRDefault="00745443" w:rsidP="00395EF6">
      <w:pPr>
        <w:tabs>
          <w:tab w:val="left" w:pos="4667"/>
        </w:tabs>
        <w:spacing w:after="0" w:line="360" w:lineRule="auto"/>
        <w:contextualSpacing/>
        <w:rPr>
          <w:rFonts w:cs="Tahoma"/>
          <w:bCs/>
          <w:iCs/>
        </w:rPr>
      </w:pPr>
    </w:p>
    <w:p w14:paraId="4B590D3E" w14:textId="760C036F" w:rsidR="00843451" w:rsidRPr="00FE3D52" w:rsidRDefault="00013FE7" w:rsidP="00E56F1B">
      <w:pPr>
        <w:pStyle w:val="Ttulo2"/>
        <w:numPr>
          <w:ilvl w:val="0"/>
          <w:numId w:val="3"/>
        </w:numPr>
      </w:pPr>
      <w:bookmarkStart w:id="10" w:name="_Toc180624198"/>
      <w:r w:rsidRPr="00FE3D52">
        <w:t>Informe Justificado</w:t>
      </w:r>
      <w:bookmarkEnd w:id="10"/>
    </w:p>
    <w:p w14:paraId="0F4024C5" w14:textId="3B11B93F" w:rsidR="003A0DB6" w:rsidRPr="00FE3D52" w:rsidRDefault="003A0DB6" w:rsidP="00395EF6">
      <w:pPr>
        <w:tabs>
          <w:tab w:val="left" w:pos="4667"/>
        </w:tabs>
        <w:spacing w:after="0" w:line="360" w:lineRule="auto"/>
        <w:contextualSpacing/>
        <w:rPr>
          <w:rFonts w:cs="Tahoma"/>
          <w:bCs/>
          <w:iCs/>
        </w:rPr>
      </w:pPr>
    </w:p>
    <w:p w14:paraId="31FC7A8C" w14:textId="3A554146" w:rsidR="00843451" w:rsidRPr="00FE3D52" w:rsidRDefault="000B049E" w:rsidP="00395EF6">
      <w:pPr>
        <w:tabs>
          <w:tab w:val="left" w:pos="4667"/>
        </w:tabs>
        <w:spacing w:after="0" w:line="360" w:lineRule="auto"/>
        <w:contextualSpacing/>
        <w:rPr>
          <w:rFonts w:cs="Tahoma"/>
          <w:bCs/>
          <w:iCs/>
        </w:rPr>
      </w:pPr>
      <w:r w:rsidRPr="00FE3D52">
        <w:rPr>
          <w:rFonts w:cs="Tahoma"/>
          <w:bCs/>
          <w:iCs/>
        </w:rPr>
        <w:t>E</w:t>
      </w:r>
      <w:r w:rsidR="00013FE7" w:rsidRPr="00FE3D52">
        <w:rPr>
          <w:rFonts w:cs="Tahoma"/>
          <w:bCs/>
          <w:iCs/>
        </w:rPr>
        <w:t>l Sujeto Obligado, remitió a través de dos documentos, sus manifestaciones</w:t>
      </w:r>
      <w:r w:rsidR="006373EF" w:rsidRPr="00FE3D52">
        <w:rPr>
          <w:rFonts w:cs="Tahoma"/>
          <w:bCs/>
          <w:iCs/>
        </w:rPr>
        <w:t>, los cuales contienen la siguiente información:</w:t>
      </w:r>
    </w:p>
    <w:p w14:paraId="654D4A35" w14:textId="6124CFDC" w:rsidR="00B14C90" w:rsidRPr="00FE3D52" w:rsidRDefault="00B14C90" w:rsidP="00395EF6">
      <w:pPr>
        <w:tabs>
          <w:tab w:val="left" w:pos="4667"/>
        </w:tabs>
        <w:spacing w:after="0" w:line="360" w:lineRule="auto"/>
        <w:contextualSpacing/>
        <w:rPr>
          <w:rFonts w:cs="Tahoma"/>
          <w:bCs/>
          <w:iCs/>
        </w:rPr>
      </w:pPr>
    </w:p>
    <w:p w14:paraId="4DFC7508" w14:textId="2DC2E46D" w:rsidR="006373EF" w:rsidRPr="00FE3D52" w:rsidRDefault="006373EF" w:rsidP="00395EF6">
      <w:pPr>
        <w:tabs>
          <w:tab w:val="left" w:pos="4667"/>
        </w:tabs>
        <w:spacing w:after="0" w:line="360" w:lineRule="auto"/>
        <w:contextualSpacing/>
        <w:rPr>
          <w:rFonts w:cs="Tahoma"/>
          <w:bCs/>
          <w:iCs/>
        </w:rPr>
      </w:pPr>
      <w:r w:rsidRPr="00FE3D52">
        <w:rPr>
          <w:rFonts w:cs="Tahoma"/>
          <w:b/>
          <w:bCs/>
          <w:iCs/>
        </w:rPr>
        <w:t xml:space="preserve">CORREO ELECTRÓNICO PRESTACIONES 372.AD.pdf. </w:t>
      </w:r>
      <w:r w:rsidRPr="00FE3D52">
        <w:rPr>
          <w:rFonts w:cs="Tahoma"/>
          <w:bCs/>
          <w:iCs/>
        </w:rPr>
        <w:t>Documento de una foja, que contiene el correo electrónico emitido por el Enlace de la Coordinación de Prestaciones y Seguridad Social, en donde respondió en lo central, lo siguiente:</w:t>
      </w:r>
    </w:p>
    <w:p w14:paraId="28C1EF22" w14:textId="77777777" w:rsidR="006373EF" w:rsidRPr="00FE3D52" w:rsidRDefault="006373EF" w:rsidP="00395EF6">
      <w:pPr>
        <w:tabs>
          <w:tab w:val="left" w:pos="4667"/>
        </w:tabs>
        <w:spacing w:after="0" w:line="360" w:lineRule="auto"/>
        <w:contextualSpacing/>
        <w:rPr>
          <w:rFonts w:cs="Tahoma"/>
          <w:bCs/>
          <w:iCs/>
        </w:rPr>
      </w:pPr>
    </w:p>
    <w:p w14:paraId="4D69D1F5" w14:textId="63479EA9" w:rsidR="006373EF" w:rsidRPr="00FE3D52" w:rsidRDefault="006373EF" w:rsidP="006373EF">
      <w:pPr>
        <w:tabs>
          <w:tab w:val="left" w:pos="567"/>
        </w:tabs>
        <w:spacing w:after="0" w:line="360" w:lineRule="auto"/>
        <w:ind w:left="567" w:right="616"/>
        <w:rPr>
          <w:i/>
          <w:iCs/>
          <w:sz w:val="20"/>
          <w:szCs w:val="20"/>
        </w:rPr>
      </w:pPr>
      <w:r w:rsidRPr="00FE3D52">
        <w:rPr>
          <w:i/>
          <w:iCs/>
          <w:sz w:val="20"/>
          <w:szCs w:val="20"/>
        </w:rPr>
        <w:t>“…</w:t>
      </w:r>
    </w:p>
    <w:p w14:paraId="32FFB468" w14:textId="6FA88A6E" w:rsidR="006373EF" w:rsidRPr="00FE3D52" w:rsidRDefault="006373EF" w:rsidP="006373EF">
      <w:pPr>
        <w:tabs>
          <w:tab w:val="left" w:pos="567"/>
        </w:tabs>
        <w:spacing w:after="0" w:line="360" w:lineRule="auto"/>
        <w:ind w:left="567" w:right="616"/>
        <w:rPr>
          <w:i/>
          <w:iCs/>
          <w:sz w:val="20"/>
          <w:szCs w:val="20"/>
        </w:rPr>
      </w:pPr>
      <w:r w:rsidRPr="00FE3D52">
        <w:rPr>
          <w:i/>
          <w:iCs/>
          <w:sz w:val="20"/>
          <w:szCs w:val="20"/>
        </w:rPr>
        <w:t>De lo anterior, se advierte que al solicitar usuario y contraseña no se ejerce el derecho a datos personales, que, en el caso de personas fallecidas, no se actúa en representación, sino la información se utilizaría de forma personal, como si fuera el titular de los datos personales, por ello, no se pueden entregar dicha información a la solicitante.</w:t>
      </w:r>
    </w:p>
    <w:p w14:paraId="4D9E9B07" w14:textId="64995822" w:rsidR="006373EF" w:rsidRPr="00FE3D52" w:rsidRDefault="006373EF" w:rsidP="006373EF">
      <w:pPr>
        <w:tabs>
          <w:tab w:val="left" w:pos="567"/>
        </w:tabs>
        <w:spacing w:after="0" w:line="360" w:lineRule="auto"/>
        <w:ind w:left="567" w:right="616"/>
        <w:rPr>
          <w:i/>
          <w:iCs/>
          <w:sz w:val="20"/>
          <w:szCs w:val="20"/>
        </w:rPr>
      </w:pPr>
      <w:r w:rsidRPr="00FE3D52">
        <w:rPr>
          <w:i/>
          <w:iCs/>
          <w:sz w:val="20"/>
          <w:szCs w:val="20"/>
        </w:rPr>
        <w:t>…”</w:t>
      </w:r>
    </w:p>
    <w:p w14:paraId="05612B99" w14:textId="77777777" w:rsidR="006373EF" w:rsidRPr="00FE3D52" w:rsidRDefault="006373EF" w:rsidP="00395EF6">
      <w:pPr>
        <w:tabs>
          <w:tab w:val="left" w:pos="4667"/>
        </w:tabs>
        <w:spacing w:after="0" w:line="360" w:lineRule="auto"/>
        <w:contextualSpacing/>
        <w:rPr>
          <w:rFonts w:cs="Tahoma"/>
          <w:bCs/>
          <w:iCs/>
        </w:rPr>
      </w:pPr>
    </w:p>
    <w:p w14:paraId="7BD24B12" w14:textId="2C6846B7" w:rsidR="006373EF" w:rsidRPr="00FE3D52" w:rsidRDefault="006373EF" w:rsidP="00395EF6">
      <w:pPr>
        <w:tabs>
          <w:tab w:val="left" w:pos="4667"/>
        </w:tabs>
        <w:spacing w:after="0" w:line="360" w:lineRule="auto"/>
        <w:contextualSpacing/>
        <w:rPr>
          <w:rFonts w:cs="Tahoma"/>
          <w:b/>
          <w:bCs/>
          <w:iCs/>
        </w:rPr>
      </w:pPr>
      <w:r w:rsidRPr="00FE3D52">
        <w:rPr>
          <w:rFonts w:cs="Tahoma"/>
          <w:b/>
          <w:bCs/>
          <w:iCs/>
        </w:rPr>
        <w:t xml:space="preserve">INFORME JUSTIFICADO 372.AD.2024.pdf. </w:t>
      </w:r>
      <w:r w:rsidRPr="00FE3D52">
        <w:rPr>
          <w:rFonts w:cs="Tahoma"/>
          <w:bCs/>
          <w:iCs/>
        </w:rPr>
        <w:t>Documento de cuatro fojas, en el que el responsable y Titular de la Unidad de Transparencia, que en lo toral, señala lo entregado por la Directora de Atención al Derechohabiente.</w:t>
      </w:r>
    </w:p>
    <w:p w14:paraId="69228042" w14:textId="77777777" w:rsidR="006373EF" w:rsidRPr="00FE3D52" w:rsidRDefault="006373EF" w:rsidP="00395EF6">
      <w:pPr>
        <w:tabs>
          <w:tab w:val="left" w:pos="4667"/>
        </w:tabs>
        <w:spacing w:after="0" w:line="360" w:lineRule="auto"/>
        <w:contextualSpacing/>
        <w:rPr>
          <w:rFonts w:cs="Tahoma"/>
          <w:bCs/>
          <w:iCs/>
        </w:rPr>
      </w:pPr>
    </w:p>
    <w:p w14:paraId="7C3C879E" w14:textId="2850385C" w:rsidR="002D747F" w:rsidRPr="00FE3D52" w:rsidRDefault="002D747F" w:rsidP="00395EF6">
      <w:pPr>
        <w:tabs>
          <w:tab w:val="left" w:pos="4667"/>
        </w:tabs>
        <w:spacing w:after="0" w:line="360" w:lineRule="auto"/>
        <w:contextualSpacing/>
        <w:rPr>
          <w:rFonts w:cs="Tahoma"/>
          <w:bCs/>
          <w:iCs/>
        </w:rPr>
      </w:pPr>
      <w:r w:rsidRPr="00FE3D52">
        <w:rPr>
          <w:rFonts w:cs="Tahoma"/>
          <w:bCs/>
          <w:iCs/>
        </w:rPr>
        <w:t>Estos documentos fueron puestos a la vista del Particular el dieciocho de octubre de dos mil veinticuatro, con la finalidad de que realice manifestaciones al respecto.</w:t>
      </w:r>
    </w:p>
    <w:p w14:paraId="3EFC9DBF" w14:textId="77777777" w:rsidR="002D747F" w:rsidRPr="00FE3D52" w:rsidRDefault="002D747F" w:rsidP="00395EF6">
      <w:pPr>
        <w:tabs>
          <w:tab w:val="left" w:pos="4667"/>
        </w:tabs>
        <w:spacing w:after="0" w:line="360" w:lineRule="auto"/>
        <w:contextualSpacing/>
        <w:rPr>
          <w:rFonts w:cs="Tahoma"/>
          <w:bCs/>
          <w:iCs/>
        </w:rPr>
      </w:pPr>
    </w:p>
    <w:p w14:paraId="057A7C1C" w14:textId="77E54FCA" w:rsidR="006373EF" w:rsidRPr="00FE3D52" w:rsidRDefault="006373EF" w:rsidP="00E56F1B">
      <w:pPr>
        <w:pStyle w:val="Ttulo2"/>
        <w:numPr>
          <w:ilvl w:val="0"/>
          <w:numId w:val="3"/>
        </w:numPr>
      </w:pPr>
      <w:bookmarkStart w:id="11" w:name="_Toc180624199"/>
      <w:r w:rsidRPr="00FE3D52">
        <w:t>Manifestaciones</w:t>
      </w:r>
      <w:bookmarkEnd w:id="11"/>
    </w:p>
    <w:p w14:paraId="31E6FCBC" w14:textId="77777777" w:rsidR="006373EF" w:rsidRPr="00FE3D52" w:rsidRDefault="006373EF" w:rsidP="00395EF6">
      <w:pPr>
        <w:tabs>
          <w:tab w:val="left" w:pos="4667"/>
        </w:tabs>
        <w:spacing w:after="0" w:line="360" w:lineRule="auto"/>
        <w:contextualSpacing/>
        <w:rPr>
          <w:rFonts w:cs="Tahoma"/>
          <w:bCs/>
          <w:iCs/>
        </w:rPr>
      </w:pPr>
    </w:p>
    <w:p w14:paraId="38A0FE12" w14:textId="092602D0" w:rsidR="002D747F" w:rsidRPr="00FE3D52" w:rsidRDefault="002D747F" w:rsidP="00395EF6">
      <w:pPr>
        <w:tabs>
          <w:tab w:val="left" w:pos="4667"/>
        </w:tabs>
        <w:spacing w:after="0" w:line="360" w:lineRule="auto"/>
        <w:contextualSpacing/>
        <w:rPr>
          <w:rFonts w:cs="Tahoma"/>
          <w:bCs/>
          <w:iCs/>
        </w:rPr>
      </w:pPr>
      <w:r w:rsidRPr="00FE3D52">
        <w:rPr>
          <w:rFonts w:cs="Tahoma"/>
          <w:bCs/>
          <w:iCs/>
        </w:rPr>
        <w:t>Transcurrido el plazo que la ley le otorga a las partes para emitir sus manifestaciones, el Particular, fue omiso en realizar pronunciamiento alguno que a su derecho convenga.</w:t>
      </w:r>
    </w:p>
    <w:p w14:paraId="3BEDC956" w14:textId="77777777" w:rsidR="002D747F" w:rsidRPr="00FE3D52" w:rsidRDefault="002D747F" w:rsidP="00395EF6">
      <w:pPr>
        <w:tabs>
          <w:tab w:val="left" w:pos="4667"/>
        </w:tabs>
        <w:spacing w:after="0" w:line="360" w:lineRule="auto"/>
        <w:contextualSpacing/>
        <w:rPr>
          <w:rFonts w:cs="Tahoma"/>
          <w:bCs/>
          <w:iCs/>
        </w:rPr>
      </w:pPr>
    </w:p>
    <w:p w14:paraId="442EC851" w14:textId="3B62559B" w:rsidR="006373EF" w:rsidRPr="00FE3D52" w:rsidRDefault="002D747F" w:rsidP="00E56F1B">
      <w:pPr>
        <w:pStyle w:val="Ttulo2"/>
        <w:numPr>
          <w:ilvl w:val="0"/>
          <w:numId w:val="3"/>
        </w:numPr>
        <w:rPr>
          <w:rFonts w:cs="Tahoma"/>
          <w:bCs/>
          <w:iCs/>
        </w:rPr>
      </w:pPr>
      <w:bookmarkStart w:id="12" w:name="_Toc180624200"/>
      <w:r w:rsidRPr="00FE3D52">
        <w:rPr>
          <w:rFonts w:cs="Tahoma"/>
          <w:bCs/>
          <w:iCs/>
        </w:rPr>
        <w:t>Acuerdo de ampliación de plazo</w:t>
      </w:r>
      <w:bookmarkEnd w:id="12"/>
    </w:p>
    <w:p w14:paraId="22D3E310" w14:textId="77777777" w:rsidR="002D747F" w:rsidRPr="00FE3D52" w:rsidRDefault="002D747F" w:rsidP="002D747F"/>
    <w:p w14:paraId="5118DA3C" w14:textId="24251E00" w:rsidR="002D747F" w:rsidRPr="00FE3D52" w:rsidRDefault="002D747F" w:rsidP="002D747F">
      <w:pPr>
        <w:spacing w:after="0" w:line="360" w:lineRule="auto"/>
        <w:rPr>
          <w:rFonts w:cs="Tahoma"/>
          <w:bCs/>
          <w:iCs/>
        </w:rPr>
      </w:pPr>
      <w:r w:rsidRPr="00FE3D52">
        <w:rPr>
          <w:rFonts w:cs="Tahoma"/>
          <w:bCs/>
          <w:iCs/>
        </w:rPr>
        <w:lastRenderedPageBreak/>
        <w:t>Por acuerdo de veintitrés de agosto de dos mil veinticuatro, notificado el dieciocho de octubre de la presente anualidad, se notificó a las partes, la ampliación de plazo para resolver el presente medio de impugnación por un periodo razonable, a efecto de contar con los elementos suficientes para la emisión de una resolución debidamente fundada y motivada.</w:t>
      </w:r>
    </w:p>
    <w:p w14:paraId="41791866" w14:textId="77777777" w:rsidR="002D747F" w:rsidRPr="00FE3D52" w:rsidRDefault="002D747F" w:rsidP="002D747F">
      <w:pPr>
        <w:spacing w:after="0" w:line="360" w:lineRule="auto"/>
        <w:rPr>
          <w:rFonts w:cs="Tahoma"/>
          <w:bCs/>
          <w:iCs/>
        </w:rPr>
      </w:pPr>
    </w:p>
    <w:p w14:paraId="5DA9CA68" w14:textId="77777777" w:rsidR="002D747F" w:rsidRPr="00FE3D52" w:rsidRDefault="002D747F" w:rsidP="002D747F">
      <w:pPr>
        <w:spacing w:after="0" w:line="360" w:lineRule="auto"/>
        <w:contextualSpacing/>
        <w:rPr>
          <w:rFonts w:cs="Tahoma"/>
        </w:rPr>
      </w:pPr>
      <w:r w:rsidRPr="00FE3D52">
        <w:rPr>
          <w:rFonts w:cs="Tahoma"/>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5C6F150" w14:textId="77777777" w:rsidR="002D747F" w:rsidRPr="00FE3D52" w:rsidRDefault="002D747F" w:rsidP="002D747F">
      <w:pPr>
        <w:spacing w:after="0" w:line="360" w:lineRule="auto"/>
        <w:contextualSpacing/>
        <w:rPr>
          <w:rFonts w:cs="Tahoma"/>
        </w:rPr>
      </w:pPr>
    </w:p>
    <w:p w14:paraId="4C247BBA" w14:textId="77777777" w:rsidR="002D747F" w:rsidRPr="00FE3D52" w:rsidRDefault="002D747F" w:rsidP="002D747F">
      <w:pPr>
        <w:spacing w:after="0" w:line="360" w:lineRule="auto"/>
        <w:contextualSpacing/>
        <w:rPr>
          <w:rFonts w:cs="Tahoma"/>
        </w:rPr>
      </w:pPr>
      <w:r w:rsidRPr="00FE3D52">
        <w:rPr>
          <w:rFonts w:cs="Tahoma"/>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AB7D77" w14:textId="77777777" w:rsidR="002D747F" w:rsidRPr="00FE3D52" w:rsidRDefault="002D747F" w:rsidP="002D747F">
      <w:pPr>
        <w:spacing w:after="0" w:line="360" w:lineRule="auto"/>
        <w:contextualSpacing/>
        <w:rPr>
          <w:rFonts w:cs="Tahoma"/>
        </w:rPr>
      </w:pPr>
      <w:r w:rsidRPr="00FE3D52">
        <w:rPr>
          <w:rFonts w:cs="Tahoma"/>
        </w:rPr>
        <w:t xml:space="preserve"> </w:t>
      </w:r>
    </w:p>
    <w:p w14:paraId="03F9117B"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Por ello, excepcionalmente, si un asunto es resuelto con posterioridad a los plazos señalados por la norma debe analizarse la razonabilidad del tiempo necesario para su resolución, atentos a los siguientes criterios:  </w:t>
      </w:r>
    </w:p>
    <w:p w14:paraId="05204798"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 </w:t>
      </w:r>
    </w:p>
    <w:p w14:paraId="426756A1" w14:textId="77777777" w:rsidR="002D747F" w:rsidRPr="00FE3D52" w:rsidRDefault="002D747F" w:rsidP="00E56F1B">
      <w:pPr>
        <w:numPr>
          <w:ilvl w:val="0"/>
          <w:numId w:val="4"/>
        </w:numPr>
        <w:spacing w:after="0" w:line="360" w:lineRule="auto"/>
        <w:contextualSpacing/>
      </w:pPr>
      <w:r w:rsidRPr="00FE3D52">
        <w:rPr>
          <w:b/>
          <w:bCs/>
        </w:rPr>
        <w:t>Complejidad del asunto:</w:t>
      </w:r>
      <w:r w:rsidRPr="00FE3D52">
        <w:t xml:space="preserve"> La complejidad de la prueba, la pluralidad de sujetos procesales, el tiempo transcurrido, las características y contexto del recurso.</w:t>
      </w:r>
    </w:p>
    <w:p w14:paraId="1173321D" w14:textId="77777777" w:rsidR="002D747F" w:rsidRPr="00FE3D52" w:rsidRDefault="002D747F" w:rsidP="002D747F">
      <w:pPr>
        <w:spacing w:after="0" w:line="360" w:lineRule="auto"/>
        <w:ind w:left="720"/>
        <w:contextualSpacing/>
      </w:pPr>
    </w:p>
    <w:p w14:paraId="0B562AED" w14:textId="77777777" w:rsidR="002D747F" w:rsidRPr="00FE3D52" w:rsidRDefault="002D747F" w:rsidP="00E56F1B">
      <w:pPr>
        <w:numPr>
          <w:ilvl w:val="0"/>
          <w:numId w:val="4"/>
        </w:numPr>
        <w:spacing w:after="0" w:line="360" w:lineRule="auto"/>
        <w:contextualSpacing/>
      </w:pPr>
      <w:r w:rsidRPr="00FE3D52">
        <w:rPr>
          <w:b/>
          <w:bCs/>
        </w:rPr>
        <w:t>Actividad Procesal del interesado:</w:t>
      </w:r>
      <w:r w:rsidRPr="00FE3D52">
        <w:t xml:space="preserve"> Acciones u omisiones del interesado.</w:t>
      </w:r>
    </w:p>
    <w:p w14:paraId="03B975E8" w14:textId="77777777" w:rsidR="002D747F" w:rsidRPr="00FE3D52" w:rsidRDefault="002D747F" w:rsidP="002D747F">
      <w:pPr>
        <w:spacing w:after="0" w:line="360" w:lineRule="auto"/>
        <w:ind w:left="720"/>
        <w:contextualSpacing/>
      </w:pPr>
    </w:p>
    <w:p w14:paraId="7CECF468" w14:textId="77777777" w:rsidR="002D747F" w:rsidRPr="00FE3D52" w:rsidRDefault="002D747F" w:rsidP="00E56F1B">
      <w:pPr>
        <w:numPr>
          <w:ilvl w:val="0"/>
          <w:numId w:val="4"/>
        </w:numPr>
        <w:spacing w:after="0" w:line="360" w:lineRule="auto"/>
        <w:contextualSpacing/>
      </w:pPr>
      <w:r w:rsidRPr="00FE3D52">
        <w:rPr>
          <w:b/>
          <w:bCs/>
        </w:rPr>
        <w:t>Conducta de la Autoridad:</w:t>
      </w:r>
      <w:r w:rsidRPr="00FE3D52">
        <w:t xml:space="preserve"> Las Acciones u omisiones realizadas en el procedimiento. Así como si la autoridad actuó con la debida diligencia.</w:t>
      </w:r>
    </w:p>
    <w:p w14:paraId="296943A7" w14:textId="77777777" w:rsidR="002D747F" w:rsidRPr="00FE3D52" w:rsidRDefault="002D747F" w:rsidP="002D747F">
      <w:pPr>
        <w:spacing w:after="0" w:line="360" w:lineRule="auto"/>
        <w:ind w:left="720"/>
        <w:contextualSpacing/>
      </w:pPr>
    </w:p>
    <w:p w14:paraId="46551989" w14:textId="77777777" w:rsidR="002D747F" w:rsidRPr="00FE3D52" w:rsidRDefault="002D747F" w:rsidP="00E56F1B">
      <w:pPr>
        <w:numPr>
          <w:ilvl w:val="0"/>
          <w:numId w:val="4"/>
        </w:numPr>
        <w:spacing w:after="0" w:line="360" w:lineRule="auto"/>
        <w:contextualSpacing/>
      </w:pPr>
      <w:r w:rsidRPr="00FE3D52">
        <w:rPr>
          <w:b/>
          <w:bCs/>
        </w:rPr>
        <w:t xml:space="preserve">La afectación generada en la situación jurídica de la persona involucrada en el proceso: </w:t>
      </w:r>
      <w:r w:rsidRPr="00FE3D52">
        <w:t>Violación a sus derechos humanos.</w:t>
      </w:r>
    </w:p>
    <w:p w14:paraId="49C17BA1" w14:textId="77777777" w:rsidR="002D747F" w:rsidRPr="00FE3D52" w:rsidRDefault="002D747F" w:rsidP="002D747F">
      <w:pPr>
        <w:spacing w:after="0" w:line="360" w:lineRule="auto"/>
        <w:contextualSpacing/>
        <w:rPr>
          <w:rFonts w:eastAsia="Calibri" w:cs="Tahoma"/>
          <w:bCs/>
        </w:rPr>
      </w:pPr>
    </w:p>
    <w:p w14:paraId="1EB0A7AE" w14:textId="77777777" w:rsidR="002D747F" w:rsidRPr="00FE3D52" w:rsidRDefault="002D747F" w:rsidP="002D747F">
      <w:pPr>
        <w:spacing w:after="0" w:line="360" w:lineRule="auto"/>
        <w:contextualSpacing/>
        <w:rPr>
          <w:rFonts w:eastAsia="Calibri" w:cs="Tahoma"/>
          <w:bCs/>
        </w:rPr>
      </w:pPr>
      <w:r w:rsidRPr="00FE3D52">
        <w:rPr>
          <w:rFonts w:eastAsia="Calibri" w:cs="Tahoma"/>
          <w:bC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1D9008"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 </w:t>
      </w:r>
    </w:p>
    <w:p w14:paraId="5B2B6A3B"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Argumento que encuentra sustento en la jurisprudencia P./J. 32/92 emitida por el Pleno de la Suprema Corte de Justicia de la Nación de rubro </w:t>
      </w:r>
      <w:r w:rsidRPr="00FE3D52">
        <w:rPr>
          <w:rFonts w:eastAsia="Calibri" w:cs="Tahoma"/>
          <w:b/>
        </w:rPr>
        <w:t>“TÉRMINOS PROCESALES. PARA DETERMINAR SI UN FUNCIONARIO JUDICIAL ACTUÓ INDEBIDAMENTE POR NO RESPETARLOS SE DEBE ATENDER AL PRESUPUESTO QUE CONSIDERÓ EL LEGISLADOR AL FIJARLOS Y LAS CARACTERÍSTICAS DEL CASO.”</w:t>
      </w:r>
      <w:r w:rsidRPr="00FE3D52">
        <w:rPr>
          <w:rFonts w:eastAsia="Calibri" w:cs="Tahoma"/>
          <w:bCs/>
        </w:rPr>
        <w:t>, visible en la Gaceta del Seminario Judicial de la Federación con el registro digital 205635.</w:t>
      </w:r>
    </w:p>
    <w:p w14:paraId="2B9745DB"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 </w:t>
      </w:r>
    </w:p>
    <w:p w14:paraId="655FB607"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FE3D52">
        <w:rPr>
          <w:rFonts w:eastAsia="Calibri" w:cs="Tahoma"/>
          <w:bCs/>
        </w:rPr>
        <w:lastRenderedPageBreak/>
        <w:t>de los términos legales previamente establecidos por la Ley, por tratarse de causas de fuerza mayor.</w:t>
      </w:r>
    </w:p>
    <w:p w14:paraId="23D711B9" w14:textId="77777777" w:rsidR="002D747F" w:rsidRPr="00FE3D52" w:rsidRDefault="002D747F" w:rsidP="002D747F">
      <w:pPr>
        <w:spacing w:after="0" w:line="360" w:lineRule="auto"/>
        <w:contextualSpacing/>
        <w:rPr>
          <w:rFonts w:eastAsia="Calibri" w:cs="Tahoma"/>
          <w:bCs/>
        </w:rPr>
      </w:pPr>
    </w:p>
    <w:p w14:paraId="0CCF9E42" w14:textId="77777777" w:rsidR="002D747F" w:rsidRPr="00FE3D52" w:rsidRDefault="002D747F" w:rsidP="002D747F">
      <w:pPr>
        <w:spacing w:after="0" w:line="360" w:lineRule="auto"/>
        <w:contextualSpacing/>
        <w:rPr>
          <w:rFonts w:eastAsia="Calibri" w:cs="Tahoma"/>
          <w:bCs/>
        </w:rPr>
      </w:pPr>
      <w:r w:rsidRPr="00FE3D52">
        <w:rPr>
          <w:rFonts w:eastAsia="Calibri" w:cs="Tahoma"/>
          <w:bCs/>
        </w:rPr>
        <w:t>Al respecto, también son de considerar los criterios sostenidos por el Cuarto Tribunal Colegiado en Materia Administrativa del Primer Circuito, cuyos rubros y datos de identificación son los siguientes:</w:t>
      </w:r>
    </w:p>
    <w:p w14:paraId="13F6F85C"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 </w:t>
      </w:r>
    </w:p>
    <w:p w14:paraId="04A2A59C" w14:textId="77777777" w:rsidR="002D747F" w:rsidRPr="00FE3D52" w:rsidRDefault="002D747F" w:rsidP="002D747F">
      <w:pPr>
        <w:spacing w:after="0" w:line="360" w:lineRule="auto"/>
        <w:contextualSpacing/>
        <w:rPr>
          <w:rFonts w:eastAsia="Calibri" w:cs="Tahoma"/>
          <w:bCs/>
        </w:rPr>
      </w:pPr>
      <w:r w:rsidRPr="00FE3D52">
        <w:rPr>
          <w:rFonts w:eastAsia="Calibri" w:cs="Tahoma"/>
          <w:b/>
        </w:rPr>
        <w:t>“PLAZO RAZONABLE PARA RESOLVER. DIMENSIÓN Y EFECTOS DE ESTE CONCEPTO CUANDO SE ADUCE EXCESIVA CARGA DE TRABAJO.”</w:t>
      </w:r>
      <w:r w:rsidRPr="00FE3D52">
        <w:rPr>
          <w:rFonts w:eastAsia="Calibri" w:cs="Tahoma"/>
          <w:bCs/>
        </w:rPr>
        <w:t xml:space="preserve"> consultable en el Seminario Judicial de la Federación y su gaceta, con el registro digital 2002351.</w:t>
      </w:r>
    </w:p>
    <w:p w14:paraId="6EB81062" w14:textId="77777777" w:rsidR="002D747F" w:rsidRPr="00FE3D52" w:rsidRDefault="002D747F" w:rsidP="002D747F">
      <w:pPr>
        <w:spacing w:after="0" w:line="360" w:lineRule="auto"/>
        <w:contextualSpacing/>
        <w:rPr>
          <w:rFonts w:eastAsia="Calibri" w:cs="Tahoma"/>
          <w:bCs/>
        </w:rPr>
      </w:pPr>
      <w:r w:rsidRPr="00FE3D52">
        <w:rPr>
          <w:rFonts w:eastAsia="Calibri" w:cs="Tahoma"/>
          <w:bCs/>
        </w:rPr>
        <w:t xml:space="preserve"> </w:t>
      </w:r>
    </w:p>
    <w:p w14:paraId="26598114" w14:textId="77777777" w:rsidR="002D747F" w:rsidRPr="00FE3D52" w:rsidRDefault="002D747F" w:rsidP="002D747F">
      <w:pPr>
        <w:spacing w:after="0" w:line="360" w:lineRule="auto"/>
        <w:contextualSpacing/>
        <w:rPr>
          <w:rFonts w:eastAsia="Calibri" w:cs="Tahoma"/>
          <w:bCs/>
        </w:rPr>
      </w:pPr>
      <w:r w:rsidRPr="00FE3D52">
        <w:rPr>
          <w:rFonts w:eastAsia="Calibri" w:cs="Tahoma"/>
          <w:b/>
        </w:rPr>
        <w:t>“PLAZO RAZONABLE PARA RESOLVER. CONCEPTO Y ELEMENTOS QUE LO INTEGRAN A LA LUZ DEL DERECHO INTERNACIONAL DE LOS DERECHOS HUMANOS.”</w:t>
      </w:r>
      <w:r w:rsidRPr="00FE3D52">
        <w:rPr>
          <w:rFonts w:eastAsia="Calibri" w:cs="Tahoma"/>
          <w:bCs/>
        </w:rPr>
        <w:t>, visible en el Seminario Judicial de la Federación y su gaceta, con el registro digital 2002350.</w:t>
      </w:r>
    </w:p>
    <w:p w14:paraId="52B9B14F" w14:textId="77777777" w:rsidR="002D747F" w:rsidRPr="00FE3D52" w:rsidRDefault="002D747F" w:rsidP="002D747F">
      <w:pPr>
        <w:spacing w:after="0" w:line="360" w:lineRule="auto"/>
        <w:contextualSpacing/>
        <w:rPr>
          <w:rFonts w:eastAsia="Calibri" w:cs="Tahoma"/>
          <w:bCs/>
        </w:rPr>
      </w:pPr>
    </w:p>
    <w:p w14:paraId="38D403C2" w14:textId="77777777" w:rsidR="002D747F" w:rsidRPr="00FE3D52" w:rsidRDefault="002D747F" w:rsidP="002D747F">
      <w:pPr>
        <w:spacing w:after="0" w:line="360" w:lineRule="auto"/>
        <w:contextualSpacing/>
        <w:rPr>
          <w:rFonts w:eastAsia="Calibri" w:cs="Tahoma"/>
          <w:bCs/>
        </w:rPr>
      </w:pPr>
      <w:r w:rsidRPr="00FE3D52">
        <w:rPr>
          <w:rFonts w:eastAsia="Calibri" w:cs="Tahoma"/>
          <w:bCs/>
        </w:rPr>
        <w:t>Por ello, este organismo garante comprometido con la tutela de los derechos humanos confiados, señala que este exceso del plazo legal para resolver el presente asunto, resulta de carácter excepcional.</w:t>
      </w:r>
    </w:p>
    <w:p w14:paraId="35BA8F51" w14:textId="77777777" w:rsidR="002D747F" w:rsidRPr="00FE3D52" w:rsidRDefault="002D747F" w:rsidP="002D747F"/>
    <w:p w14:paraId="786828E0" w14:textId="5FB42313" w:rsidR="00141D34" w:rsidRPr="00FE3D52" w:rsidRDefault="00E04852" w:rsidP="00E56F1B">
      <w:pPr>
        <w:pStyle w:val="Ttulo2"/>
        <w:numPr>
          <w:ilvl w:val="0"/>
          <w:numId w:val="3"/>
        </w:numPr>
        <w:rPr>
          <w:rFonts w:cs="Tahoma"/>
          <w:bCs/>
          <w:iCs/>
        </w:rPr>
      </w:pPr>
      <w:bookmarkStart w:id="13" w:name="_Toc180624201"/>
      <w:r w:rsidRPr="00FE3D52">
        <w:rPr>
          <w:rFonts w:cs="Tahoma"/>
          <w:bCs/>
          <w:iCs/>
        </w:rPr>
        <w:t>Cierre de instrucción</w:t>
      </w:r>
      <w:bookmarkEnd w:id="13"/>
    </w:p>
    <w:p w14:paraId="15434F75" w14:textId="77777777" w:rsidR="009F7E29" w:rsidRPr="00FE3D52" w:rsidRDefault="009F7E29" w:rsidP="00395EF6">
      <w:pPr>
        <w:tabs>
          <w:tab w:val="left" w:pos="4667"/>
        </w:tabs>
        <w:spacing w:after="0" w:line="360" w:lineRule="auto"/>
        <w:contextualSpacing/>
        <w:rPr>
          <w:rFonts w:cs="Tahoma"/>
          <w:b/>
          <w:iCs/>
        </w:rPr>
      </w:pPr>
    </w:p>
    <w:p w14:paraId="1888B223" w14:textId="3D8FA06B" w:rsidR="00141D34" w:rsidRPr="00FE3D52" w:rsidRDefault="00E04852" w:rsidP="00395EF6">
      <w:pPr>
        <w:tabs>
          <w:tab w:val="left" w:pos="4667"/>
        </w:tabs>
        <w:spacing w:after="0" w:line="360" w:lineRule="auto"/>
        <w:contextualSpacing/>
        <w:rPr>
          <w:rFonts w:cs="Tahoma"/>
          <w:bCs/>
          <w:iCs/>
        </w:rPr>
      </w:pPr>
      <w:r w:rsidRPr="00FE3D52">
        <w:rPr>
          <w:rFonts w:cs="Tahoma"/>
          <w:bCs/>
          <w:iCs/>
        </w:rPr>
        <w:t xml:space="preserve">El </w:t>
      </w:r>
      <w:r w:rsidR="002E6E7E" w:rsidRPr="00FE3D52">
        <w:rPr>
          <w:rFonts w:cs="Tahoma"/>
          <w:bCs/>
          <w:iCs/>
        </w:rPr>
        <w:t xml:space="preserve"> </w:t>
      </w:r>
      <w:r w:rsidR="002D747F" w:rsidRPr="00FE3D52">
        <w:rPr>
          <w:rFonts w:cs="Tahoma"/>
          <w:bCs/>
          <w:iCs/>
        </w:rPr>
        <w:t>veinticinco</w:t>
      </w:r>
      <w:r w:rsidR="00B74BC1" w:rsidRPr="00FE3D52">
        <w:rPr>
          <w:rFonts w:cs="Tahoma"/>
          <w:bCs/>
          <w:iCs/>
        </w:rPr>
        <w:t xml:space="preserve"> de </w:t>
      </w:r>
      <w:r w:rsidR="002D747F" w:rsidRPr="00FE3D52">
        <w:rPr>
          <w:rFonts w:cs="Tahoma"/>
          <w:bCs/>
          <w:iCs/>
        </w:rPr>
        <w:t>octubre</w:t>
      </w:r>
      <w:r w:rsidR="00B74BC1" w:rsidRPr="00FE3D52">
        <w:rPr>
          <w:rFonts w:cs="Tahoma"/>
          <w:bCs/>
          <w:iCs/>
        </w:rPr>
        <w:t xml:space="preserve"> </w:t>
      </w:r>
      <w:r w:rsidRPr="00FE3D52">
        <w:rPr>
          <w:rFonts w:cs="Tahoma"/>
          <w:bCs/>
          <w:iCs/>
        </w:rPr>
        <w:t xml:space="preserve">de dos mil </w:t>
      </w:r>
      <w:r w:rsidR="00B74BC1" w:rsidRPr="00FE3D52">
        <w:rPr>
          <w:rFonts w:cs="Tahoma"/>
          <w:bCs/>
          <w:iCs/>
        </w:rPr>
        <w:t>veinticuatro</w:t>
      </w:r>
      <w:r w:rsidRPr="00FE3D52">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Pr="00FE3D52">
        <w:rPr>
          <w:rFonts w:cs="Tahoma"/>
          <w:bCs/>
          <w:iCs/>
        </w:rPr>
        <w:lastRenderedPageBreak/>
        <w:t xml:space="preserve">Sistema de Acceso a la Información Mexiquense (SAIMEX). En razón de que fue debidamente sustanciado el expediente electrónico y no existe diligencia pendiente de desahogo, se emite la resolución que conforme a Derecho proceda, de acuerdo a los siguientes: </w:t>
      </w:r>
    </w:p>
    <w:p w14:paraId="19A15A30" w14:textId="27ADAB36" w:rsidR="00141D34" w:rsidRPr="00FE3D52" w:rsidRDefault="00141D34" w:rsidP="002D747F">
      <w:pPr>
        <w:tabs>
          <w:tab w:val="left" w:pos="4667"/>
        </w:tabs>
        <w:spacing w:after="0" w:line="360" w:lineRule="auto"/>
        <w:contextualSpacing/>
        <w:rPr>
          <w:rFonts w:cs="Tahoma"/>
          <w:bCs/>
          <w:iCs/>
        </w:rPr>
      </w:pPr>
    </w:p>
    <w:p w14:paraId="3F4EB43F" w14:textId="5353D351" w:rsidR="00E854E3" w:rsidRPr="00FE3D52" w:rsidRDefault="00E854E3" w:rsidP="002D747F">
      <w:pPr>
        <w:pStyle w:val="Ttulo1"/>
        <w:rPr>
          <w:rFonts w:eastAsia="Times New Roman"/>
          <w:lang w:val="es-ES" w:eastAsia="es-ES"/>
        </w:rPr>
      </w:pPr>
      <w:bookmarkStart w:id="14" w:name="_Toc180624202"/>
      <w:r w:rsidRPr="00FE3D52">
        <w:rPr>
          <w:rFonts w:eastAsia="Times New Roman"/>
          <w:lang w:val="es-ES" w:eastAsia="es-ES"/>
        </w:rPr>
        <w:t>C O N S I D E R A N D O S</w:t>
      </w:r>
      <w:bookmarkEnd w:id="14"/>
    </w:p>
    <w:p w14:paraId="69E2DD3F" w14:textId="77777777" w:rsidR="00E854E3" w:rsidRPr="00FE3D52" w:rsidRDefault="00E854E3" w:rsidP="002D747F">
      <w:pPr>
        <w:tabs>
          <w:tab w:val="left" w:pos="4667"/>
        </w:tabs>
        <w:spacing w:after="0" w:line="360" w:lineRule="auto"/>
        <w:contextualSpacing/>
        <w:rPr>
          <w:rFonts w:cs="Tahoma"/>
          <w:bCs/>
          <w:iCs/>
        </w:rPr>
      </w:pPr>
    </w:p>
    <w:p w14:paraId="296699C4" w14:textId="68B1CF72" w:rsidR="003706BD" w:rsidRPr="00FE3D52" w:rsidRDefault="003706BD" w:rsidP="002D747F">
      <w:pPr>
        <w:pStyle w:val="Ttulo2"/>
        <w:rPr>
          <w:rFonts w:eastAsia="Batang"/>
        </w:rPr>
      </w:pPr>
      <w:bookmarkStart w:id="15" w:name="_Toc180624203"/>
      <w:r w:rsidRPr="00FE3D52">
        <w:rPr>
          <w:rFonts w:eastAsia="Batang"/>
        </w:rPr>
        <w:t>PRIMERO. Competencia</w:t>
      </w:r>
      <w:bookmarkEnd w:id="15"/>
    </w:p>
    <w:p w14:paraId="6025CABE" w14:textId="77777777" w:rsidR="003706BD" w:rsidRPr="00FE3D52" w:rsidRDefault="003706BD" w:rsidP="002D747F">
      <w:pPr>
        <w:spacing w:after="0" w:line="360" w:lineRule="auto"/>
        <w:rPr>
          <w:rFonts w:eastAsia="Batang" w:cs="Tahoma"/>
          <w:b/>
          <w:bCs/>
        </w:rPr>
      </w:pPr>
    </w:p>
    <w:p w14:paraId="24DFD35C" w14:textId="77777777" w:rsidR="003706BD" w:rsidRPr="00FE3D52" w:rsidRDefault="003706BD" w:rsidP="002D747F">
      <w:pPr>
        <w:spacing w:after="0" w:line="360" w:lineRule="auto"/>
        <w:rPr>
          <w:rFonts w:eastAsia="Calibri" w:cs="Tahoma"/>
          <w:bCs/>
        </w:rPr>
      </w:pPr>
      <w:r w:rsidRPr="00FE3D52">
        <w:rPr>
          <w:rFonts w:eastAsia="Calibri" w:cs="Tahoma"/>
          <w:bC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14:paraId="39BC3F52" w14:textId="77777777" w:rsidR="003706BD" w:rsidRPr="00FE3D52" w:rsidRDefault="003706BD" w:rsidP="00395EF6">
      <w:pPr>
        <w:spacing w:after="0" w:line="360" w:lineRule="auto"/>
        <w:rPr>
          <w:rFonts w:eastAsia="Calibri" w:cs="Tahoma"/>
          <w:bCs/>
          <w:color w:val="000000"/>
          <w:sz w:val="16"/>
          <w:lang w:val="es-ES_tradnl" w:eastAsia="es-ES_tradnl"/>
        </w:rPr>
      </w:pPr>
    </w:p>
    <w:p w14:paraId="05D610E6" w14:textId="54A1DDF6" w:rsidR="003706BD" w:rsidRPr="00FE3D52" w:rsidRDefault="003706BD" w:rsidP="009461D1">
      <w:pPr>
        <w:pStyle w:val="Ttulo2"/>
        <w:rPr>
          <w:rFonts w:eastAsia="Calibri"/>
        </w:rPr>
      </w:pPr>
      <w:bookmarkStart w:id="16" w:name="_Toc180624204"/>
      <w:r w:rsidRPr="00FE3D52">
        <w:rPr>
          <w:rFonts w:eastAsia="Calibri"/>
        </w:rPr>
        <w:t>SEGUNDO. Causales de improcedencia y sobreseimiento</w:t>
      </w:r>
      <w:bookmarkEnd w:id="16"/>
    </w:p>
    <w:p w14:paraId="0052EE72" w14:textId="77777777" w:rsidR="003706BD" w:rsidRPr="00FE3D52" w:rsidRDefault="003706BD" w:rsidP="00395EF6">
      <w:pPr>
        <w:spacing w:after="0" w:line="360" w:lineRule="auto"/>
        <w:rPr>
          <w:rFonts w:eastAsia="Calibri" w:cs="Tahoma"/>
          <w:bCs/>
          <w:sz w:val="16"/>
        </w:rPr>
      </w:pPr>
    </w:p>
    <w:p w14:paraId="0892494F" w14:textId="77777777" w:rsidR="003706BD" w:rsidRPr="00FE3D52" w:rsidRDefault="003706BD" w:rsidP="00395EF6">
      <w:pPr>
        <w:spacing w:after="0" w:line="360" w:lineRule="auto"/>
        <w:rPr>
          <w:rFonts w:eastAsia="Calibri" w:cs="Tahoma"/>
          <w:bCs/>
        </w:rPr>
      </w:pPr>
      <w:r w:rsidRPr="00FE3D52">
        <w:rPr>
          <w:rFonts w:eastAsia="Calibri" w:cs="Tahoma"/>
          <w:bCs/>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w:t>
      </w:r>
      <w:r w:rsidRPr="00FE3D52">
        <w:rPr>
          <w:rFonts w:eastAsia="Calibri" w:cs="Tahoma"/>
          <w:bCs/>
        </w:rPr>
        <w:lastRenderedPageBreak/>
        <w:t xml:space="preserve">(acorde con el Criterio orientador en la Tesis de Jurisprudencia número 940, pág. 1538, segunda parte del Apéndice del Semanario Judicial de la Federación 1917-1988.). </w:t>
      </w:r>
    </w:p>
    <w:p w14:paraId="6F131086" w14:textId="77777777" w:rsidR="003706BD" w:rsidRPr="00FE3D52" w:rsidRDefault="003706BD" w:rsidP="00395EF6">
      <w:pPr>
        <w:spacing w:after="0" w:line="360" w:lineRule="auto"/>
        <w:rPr>
          <w:rFonts w:eastAsia="Calibri" w:cs="Tahoma"/>
          <w:bCs/>
          <w:sz w:val="16"/>
        </w:rPr>
      </w:pPr>
    </w:p>
    <w:p w14:paraId="496DCF11" w14:textId="60CD0048" w:rsidR="003706BD" w:rsidRPr="00FE3D52" w:rsidRDefault="003706BD" w:rsidP="00E56F1B">
      <w:pPr>
        <w:pStyle w:val="Prrafodelista"/>
        <w:numPr>
          <w:ilvl w:val="0"/>
          <w:numId w:val="1"/>
        </w:numPr>
        <w:spacing w:after="0" w:line="360" w:lineRule="auto"/>
        <w:rPr>
          <w:rFonts w:eastAsia="Calibri" w:cs="Tahoma"/>
          <w:b/>
          <w:bCs/>
          <w:lang w:val="es-ES"/>
        </w:rPr>
      </w:pPr>
      <w:r w:rsidRPr="00FE3D52">
        <w:rPr>
          <w:rFonts w:eastAsia="Calibri" w:cs="Tahoma"/>
          <w:b/>
          <w:bCs/>
          <w:lang w:val="es-ES"/>
        </w:rPr>
        <w:t>Causales de improcedencia</w:t>
      </w:r>
    </w:p>
    <w:p w14:paraId="14ADAD8C" w14:textId="77777777" w:rsidR="003706BD" w:rsidRPr="00FE3D52" w:rsidRDefault="003706BD" w:rsidP="001464D3">
      <w:pPr>
        <w:spacing w:after="0" w:line="360" w:lineRule="auto"/>
        <w:rPr>
          <w:rFonts w:eastAsia="Calibri" w:cs="Tahoma"/>
          <w:b/>
          <w:bCs/>
          <w:lang w:val="es-ES"/>
        </w:rPr>
      </w:pPr>
    </w:p>
    <w:p w14:paraId="22150CDC" w14:textId="5EB591C2" w:rsidR="003B0DD3" w:rsidRPr="00FE3D52" w:rsidRDefault="001464D3" w:rsidP="001464D3">
      <w:pPr>
        <w:autoSpaceDE w:val="0"/>
        <w:autoSpaceDN w:val="0"/>
        <w:adjustRightInd w:val="0"/>
        <w:spacing w:after="0" w:line="360" w:lineRule="auto"/>
        <w:rPr>
          <w:rFonts w:eastAsia="Calibri" w:cs="Tahoma"/>
          <w:color w:val="000000"/>
          <w:lang w:eastAsia="es-MX"/>
        </w:rPr>
      </w:pPr>
      <w:r w:rsidRPr="00FE3D52">
        <w:rPr>
          <w:rFonts w:eastAsia="Calibri" w:cs="Tahoma"/>
          <w:color w:val="000000"/>
          <w:lang w:eastAsia="es-MX"/>
        </w:rPr>
        <w:t xml:space="preserve">En materia de acceso a datos personales, se debe analizar conforme a los artículos 117 y 138 de la Ley de Protección de Datos Personales en Posesión de Sujetos Obligados del Estado de México y Municipios, </w:t>
      </w:r>
      <w:r w:rsidR="003B0DD3" w:rsidRPr="00FE3D52">
        <w:rPr>
          <w:rFonts w:eastAsia="Calibri" w:cs="Tahoma"/>
          <w:color w:val="000000"/>
          <w:lang w:eastAsia="es-MX"/>
        </w:rPr>
        <w:t>debido a que existen causales de improcedencia para la procedencia de los derechos ARCO y en torno a la procedencia del Recurso de Revisión.</w:t>
      </w:r>
    </w:p>
    <w:p w14:paraId="76A5B1D0" w14:textId="77777777" w:rsidR="003B0DD3" w:rsidRPr="00FE3D52" w:rsidRDefault="003B0DD3" w:rsidP="001464D3">
      <w:pPr>
        <w:autoSpaceDE w:val="0"/>
        <w:autoSpaceDN w:val="0"/>
        <w:adjustRightInd w:val="0"/>
        <w:spacing w:after="0" w:line="360" w:lineRule="auto"/>
        <w:rPr>
          <w:rFonts w:eastAsia="Calibri" w:cs="Tahoma"/>
          <w:color w:val="000000"/>
          <w:lang w:eastAsia="es-MX"/>
        </w:rPr>
      </w:pPr>
    </w:p>
    <w:p w14:paraId="4DA37FCF" w14:textId="142DC0A9" w:rsidR="003B0DD3" w:rsidRPr="00FE3D52" w:rsidRDefault="003B0DD3" w:rsidP="001464D3">
      <w:pPr>
        <w:autoSpaceDE w:val="0"/>
        <w:autoSpaceDN w:val="0"/>
        <w:adjustRightInd w:val="0"/>
        <w:spacing w:after="0" w:line="360" w:lineRule="auto"/>
        <w:rPr>
          <w:rFonts w:eastAsia="Calibri" w:cs="Tahoma"/>
          <w:color w:val="000000"/>
          <w:lang w:eastAsia="es-MX"/>
        </w:rPr>
      </w:pPr>
      <w:r w:rsidRPr="00FE3D52">
        <w:rPr>
          <w:rFonts w:eastAsia="Calibri" w:cs="Tahoma"/>
          <w:color w:val="000000"/>
          <w:lang w:eastAsia="es-MX"/>
        </w:rPr>
        <w:t xml:space="preserve">Por cuanto hace a las señaladas en el artículo 117, la solicitante, acreditó su identidad, los datos están en posesión del Responsable, no se advierte que se lesionen derechos de terceros, que se obstaculicen actuaciones judiciales o administrativas, no existe una resolución de autoridad competente, que restrinja el acceso, no se identifica cancelación u oposición previamente determinada, el Responsable es competente, no </w:t>
      </w:r>
      <w:r w:rsidR="002B00C0" w:rsidRPr="00FE3D52">
        <w:rPr>
          <w:rFonts w:eastAsia="Calibri" w:cs="Tahoma"/>
          <w:color w:val="000000"/>
          <w:lang w:eastAsia="es-MX"/>
        </w:rPr>
        <w:t xml:space="preserve">observa que sean necesarios para proteger intereses </w:t>
      </w:r>
      <w:r w:rsidR="00BE40B7" w:rsidRPr="00FE3D52">
        <w:rPr>
          <w:rFonts w:eastAsia="Calibri" w:cs="Tahoma"/>
          <w:color w:val="000000"/>
          <w:lang w:eastAsia="es-MX"/>
        </w:rPr>
        <w:t>jurídicamente tutelados del titular, ni que hayan sido necesarios para dar cumplimiento a obligaciones legalmente adquiridas por el titular. Sin embargo, se advierte que el derecho de acceso a datos personales, no se relaciona con el acceso a plataformas electrónicas, por lo que se advierte la posible existencia de un impedimento legal.</w:t>
      </w:r>
    </w:p>
    <w:p w14:paraId="6587EEBD" w14:textId="77777777" w:rsidR="001464D3" w:rsidRPr="00FE3D52" w:rsidRDefault="001464D3" w:rsidP="001464D3">
      <w:pPr>
        <w:autoSpaceDE w:val="0"/>
        <w:autoSpaceDN w:val="0"/>
        <w:adjustRightInd w:val="0"/>
        <w:spacing w:after="0" w:line="360" w:lineRule="auto"/>
        <w:rPr>
          <w:rFonts w:eastAsia="Calibri" w:cs="Tahoma"/>
          <w:color w:val="000000"/>
          <w:lang w:eastAsia="es-MX"/>
        </w:rPr>
      </w:pPr>
    </w:p>
    <w:p w14:paraId="65E79CB0" w14:textId="77777777" w:rsidR="003706BD" w:rsidRPr="00FE3D52" w:rsidRDefault="003706BD" w:rsidP="00395EF6">
      <w:pPr>
        <w:autoSpaceDE w:val="0"/>
        <w:autoSpaceDN w:val="0"/>
        <w:adjustRightInd w:val="0"/>
        <w:spacing w:after="0" w:line="360" w:lineRule="auto"/>
        <w:rPr>
          <w:rFonts w:eastAsia="Calibri" w:cs="Tahoma"/>
          <w:color w:val="000000"/>
          <w:lang w:eastAsia="es-MX"/>
        </w:rPr>
      </w:pPr>
      <w:r w:rsidRPr="00FE3D52">
        <w:rPr>
          <w:rFonts w:eastAsia="Calibri" w:cs="Tahoma"/>
          <w:color w:val="000000"/>
          <w:lang w:eastAsia="es-MX"/>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w:t>
      </w:r>
      <w:r w:rsidRPr="00FE3D52">
        <w:rPr>
          <w:rFonts w:cs="Tahoma"/>
        </w:rPr>
        <w:t xml:space="preserve">de haber resuelto sobre la materia del medio de impugnación que nos ocupa; se actualiza la causal de procedencia prevista por el artículo 129, fracción III de la Ley en cita; no se tiene conocimiento que ante Tribunales competentes se esté </w:t>
      </w:r>
      <w:r w:rsidRPr="00FE3D52">
        <w:rPr>
          <w:rFonts w:cs="Tahoma"/>
        </w:rPr>
        <w:lastRenderedPageBreak/>
        <w:t xml:space="preserve">tramitando algún recurso o medio de defensa en contra del acto recurrido ante este Instituto; el Particular no modificó ni amplió su solicitud </w:t>
      </w:r>
      <w:r w:rsidRPr="00FE3D52">
        <w:rPr>
          <w:rFonts w:eastAsia="Calibri" w:cs="Tahoma"/>
          <w:color w:val="000000"/>
          <w:lang w:eastAsia="es-MX"/>
        </w:rPr>
        <w:t xml:space="preserve"> de acceso a datos personales y; finalmente el Particular acreditó el interés jurídico para efectos de interponer el medio de impugnación que nos ocupa. </w:t>
      </w:r>
    </w:p>
    <w:p w14:paraId="0172FB0F" w14:textId="77777777" w:rsidR="003706BD" w:rsidRPr="00FE3D52" w:rsidRDefault="003706BD" w:rsidP="00395EF6">
      <w:pPr>
        <w:autoSpaceDE w:val="0"/>
        <w:autoSpaceDN w:val="0"/>
        <w:adjustRightInd w:val="0"/>
        <w:spacing w:after="0" w:line="360" w:lineRule="auto"/>
        <w:rPr>
          <w:rFonts w:eastAsia="Calibri" w:cs="Tahoma"/>
          <w:color w:val="000000"/>
          <w:lang w:eastAsia="es-MX"/>
        </w:rPr>
      </w:pPr>
    </w:p>
    <w:p w14:paraId="3316303D" w14:textId="3390A2CC" w:rsidR="003706BD" w:rsidRPr="00FE3D52" w:rsidRDefault="003706BD" w:rsidP="00E56F1B">
      <w:pPr>
        <w:pStyle w:val="Prrafodelista"/>
        <w:numPr>
          <w:ilvl w:val="0"/>
          <w:numId w:val="1"/>
        </w:numPr>
        <w:spacing w:after="0" w:line="276" w:lineRule="auto"/>
        <w:rPr>
          <w:rFonts w:eastAsia="Calibri" w:cs="Tahoma"/>
          <w:bCs/>
          <w:lang w:val="es-ES"/>
        </w:rPr>
      </w:pPr>
      <w:r w:rsidRPr="00FE3D52">
        <w:rPr>
          <w:rFonts w:eastAsia="Calibri" w:cs="Tahoma"/>
          <w:b/>
          <w:bCs/>
          <w:lang w:val="es-ES"/>
        </w:rPr>
        <w:t>Causales de sobreseimiento</w:t>
      </w:r>
    </w:p>
    <w:p w14:paraId="75455A11" w14:textId="77777777" w:rsidR="003706BD" w:rsidRPr="00FE3D52" w:rsidRDefault="003706BD" w:rsidP="00395EF6">
      <w:pPr>
        <w:spacing w:after="0" w:line="360" w:lineRule="auto"/>
        <w:rPr>
          <w:rFonts w:eastAsia="Calibri" w:cs="Tahoma"/>
          <w:b/>
          <w:lang w:eastAsia="es-ES_tradnl"/>
        </w:rPr>
      </w:pPr>
    </w:p>
    <w:p w14:paraId="009D3594" w14:textId="1716A1A9" w:rsidR="003706BD" w:rsidRPr="00FE3D52" w:rsidRDefault="003706BD" w:rsidP="00395EF6">
      <w:pPr>
        <w:spacing w:after="0" w:line="360" w:lineRule="auto"/>
        <w:rPr>
          <w:rFonts w:cs="Tahoma"/>
        </w:rPr>
      </w:pPr>
      <w:r w:rsidRPr="00FE3D52">
        <w:rPr>
          <w:rFonts w:cs="Tahoma"/>
        </w:rPr>
        <w:t xml:space="preserve">De los autos que corren agregados al expediente en el que se actúa, no fue posible advertir que se actualizarán causales de sobreseimiento previstas en el artículo 139 fracciones I, II, </w:t>
      </w:r>
      <w:r w:rsidR="00205510" w:rsidRPr="00FE3D52">
        <w:rPr>
          <w:rFonts w:cs="Tahoma"/>
        </w:rPr>
        <w:t>y</w:t>
      </w:r>
      <w:r w:rsidRPr="00FE3D52">
        <w:rPr>
          <w:rFonts w:cs="Tahoma"/>
        </w:rPr>
        <w:t xml:space="preserve"> </w:t>
      </w:r>
      <w:r w:rsidR="00205510" w:rsidRPr="00FE3D52">
        <w:rPr>
          <w:rFonts w:cs="Tahoma"/>
        </w:rPr>
        <w:t>I</w:t>
      </w:r>
      <w:r w:rsidRPr="00FE3D52">
        <w:rPr>
          <w:rFonts w:cs="Tahoma"/>
        </w:rPr>
        <w:t>V de la Ley de Protección de Datos Personales en Posesión de Sujetos Obligados del Estado de México y Municipios; toda vez que no obra constancia de que el solicitante se hubiera desistido del recurso, que hubiera fallecido, que el Sujeto Obligado hubiera modificado su respuesta y con ello dejado sin materia el recurso de revisión</w:t>
      </w:r>
      <w:r w:rsidR="00205510" w:rsidRPr="00FE3D52">
        <w:rPr>
          <w:rFonts w:cs="Tahoma"/>
        </w:rPr>
        <w:t>.</w:t>
      </w:r>
    </w:p>
    <w:p w14:paraId="5A44988D" w14:textId="77777777" w:rsidR="00205510" w:rsidRPr="00FE3D52" w:rsidRDefault="00205510" w:rsidP="00395EF6">
      <w:pPr>
        <w:spacing w:after="0" w:line="360" w:lineRule="auto"/>
        <w:rPr>
          <w:rFonts w:cs="Tahoma"/>
        </w:rPr>
      </w:pPr>
    </w:p>
    <w:p w14:paraId="149D2FFE" w14:textId="4522CC35" w:rsidR="00205510" w:rsidRPr="00FE3D52" w:rsidRDefault="00205510" w:rsidP="00395EF6">
      <w:pPr>
        <w:spacing w:after="0" w:line="360" w:lineRule="auto"/>
        <w:rPr>
          <w:rFonts w:cs="Tahoma"/>
        </w:rPr>
      </w:pPr>
      <w:r w:rsidRPr="00FE3D52">
        <w:rPr>
          <w:rFonts w:cs="Tahoma"/>
        </w:rPr>
        <w:t xml:space="preserve">Sin embargo, de las causales de improcedencia del ejercicio de derechos ARCO, es necesario entrar al estudio de las fracciones III y V de la Ley de Protección de Datos Personales en Posesión de Sujetos Obligados del Estado de México y Municipios. </w:t>
      </w:r>
    </w:p>
    <w:p w14:paraId="2A1D2025" w14:textId="77777777" w:rsidR="003706BD" w:rsidRPr="00FE3D52" w:rsidRDefault="003706BD" w:rsidP="00395EF6">
      <w:pPr>
        <w:spacing w:after="0" w:line="360" w:lineRule="auto"/>
        <w:rPr>
          <w:rFonts w:cs="Tahoma"/>
        </w:rPr>
      </w:pPr>
    </w:p>
    <w:p w14:paraId="3A66F9D1" w14:textId="77777777" w:rsidR="003706BD" w:rsidRPr="00FE3D52" w:rsidRDefault="003706BD" w:rsidP="00395EF6">
      <w:pPr>
        <w:spacing w:after="0" w:line="360" w:lineRule="auto"/>
        <w:rPr>
          <w:rFonts w:eastAsia="Calibri" w:cs="Tahoma"/>
          <w:bCs/>
          <w:color w:val="000000"/>
          <w:lang w:eastAsia="es-ES_tradnl"/>
        </w:rPr>
      </w:pPr>
      <w:r w:rsidRPr="00FE3D52">
        <w:rPr>
          <w:rFonts w:cs="Tahoma"/>
        </w:rPr>
        <w:t xml:space="preserve">Consecuentemente al </w:t>
      </w:r>
      <w:r w:rsidRPr="00FE3D52">
        <w:rPr>
          <w:rFonts w:cs="Tahoma"/>
          <w:b/>
        </w:rPr>
        <w:t xml:space="preserve">no existir motivo de improcedencia y/o sobreseimiento en el presente asunto, </w:t>
      </w:r>
      <w:r w:rsidRPr="00FE3D52">
        <w:rPr>
          <w:rFonts w:cs="Tahoma"/>
        </w:rPr>
        <w:t xml:space="preserve">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 </w:t>
      </w:r>
    </w:p>
    <w:p w14:paraId="1B8AAC1E" w14:textId="77777777" w:rsidR="003706BD" w:rsidRPr="00FE3D52" w:rsidRDefault="003706BD" w:rsidP="00395EF6">
      <w:pPr>
        <w:spacing w:after="0" w:line="360" w:lineRule="auto"/>
        <w:rPr>
          <w:rFonts w:eastAsia="Calibri" w:cs="Tahoma"/>
          <w:bCs/>
          <w:color w:val="000000"/>
          <w:sz w:val="16"/>
          <w:lang w:eastAsia="es-ES_tradnl"/>
        </w:rPr>
      </w:pPr>
    </w:p>
    <w:p w14:paraId="31F9CD52" w14:textId="6D150C17" w:rsidR="003706BD" w:rsidRPr="00FE3D52" w:rsidRDefault="003706BD" w:rsidP="009461D1">
      <w:pPr>
        <w:pStyle w:val="Ttulo2"/>
        <w:rPr>
          <w:rFonts w:eastAsia="Calibri"/>
          <w:lang w:eastAsia="es-ES_tradnl"/>
        </w:rPr>
      </w:pPr>
      <w:bookmarkStart w:id="17" w:name="_Toc180624205"/>
      <w:r w:rsidRPr="00FE3D52">
        <w:rPr>
          <w:rFonts w:eastAsia="Calibri"/>
          <w:lang w:eastAsia="es-ES_tradnl"/>
        </w:rPr>
        <w:t xml:space="preserve">TERCERO. </w:t>
      </w:r>
      <w:r w:rsidR="00205510" w:rsidRPr="00FE3D52">
        <w:rPr>
          <w:rFonts w:eastAsia="Calibri"/>
          <w:lang w:eastAsia="es-ES_tradnl"/>
        </w:rPr>
        <w:t>Estudio del sobreseimiento</w:t>
      </w:r>
      <w:bookmarkEnd w:id="17"/>
      <w:r w:rsidRPr="00FE3D52">
        <w:rPr>
          <w:rFonts w:eastAsia="Calibri"/>
          <w:lang w:eastAsia="es-ES_tradnl"/>
        </w:rPr>
        <w:t xml:space="preserve"> </w:t>
      </w:r>
    </w:p>
    <w:p w14:paraId="57469522" w14:textId="77777777" w:rsidR="003706BD" w:rsidRPr="00FE3D52" w:rsidRDefault="003706BD" w:rsidP="00395EF6">
      <w:pPr>
        <w:spacing w:after="0" w:line="360" w:lineRule="auto"/>
        <w:rPr>
          <w:rFonts w:eastAsia="Calibri" w:cs="Tahoma"/>
          <w:b/>
          <w:bCs/>
          <w:color w:val="000000"/>
          <w:lang w:eastAsia="es-ES_tradnl"/>
        </w:rPr>
      </w:pPr>
    </w:p>
    <w:p w14:paraId="2EE88155" w14:textId="2581F47F" w:rsidR="00881ADF" w:rsidRPr="00FE3D52" w:rsidRDefault="003706BD" w:rsidP="00604E44">
      <w:pPr>
        <w:spacing w:after="0" w:line="360" w:lineRule="auto"/>
        <w:rPr>
          <w:i/>
          <w:iCs/>
        </w:rPr>
      </w:pPr>
      <w:r w:rsidRPr="00FE3D52">
        <w:rPr>
          <w:rFonts w:eastAsia="Calibri" w:cs="Tahoma"/>
          <w:bCs/>
          <w:color w:val="000000"/>
          <w:lang w:eastAsia="es-ES_tradnl"/>
        </w:rPr>
        <w:lastRenderedPageBreak/>
        <w:t xml:space="preserve">Una vez realizado el estudio de las constancias que integran el expediente en que se actúa, se desprende que </w:t>
      </w:r>
      <w:r w:rsidR="00881ADF" w:rsidRPr="00FE3D52">
        <w:rPr>
          <w:rFonts w:eastAsia="Calibri" w:cs="Tahoma"/>
          <w:bCs/>
          <w:color w:val="000000"/>
          <w:lang w:eastAsia="es-ES_tradnl"/>
        </w:rPr>
        <w:t>el</w:t>
      </w:r>
      <w:r w:rsidRPr="00FE3D52">
        <w:rPr>
          <w:rFonts w:eastAsia="Calibri" w:cs="Tahoma"/>
          <w:bCs/>
          <w:color w:val="000000"/>
          <w:lang w:eastAsia="es-ES_tradnl"/>
        </w:rPr>
        <w:t xml:space="preserve"> solicitante </w:t>
      </w:r>
      <w:r w:rsidR="00E413FA" w:rsidRPr="00FE3D52">
        <w:rPr>
          <w:rFonts w:eastAsia="Calibri" w:cs="Tahoma"/>
          <w:bCs/>
          <w:color w:val="000000"/>
          <w:lang w:eastAsia="es-ES_tradnl"/>
        </w:rPr>
        <w:t>requirió</w:t>
      </w:r>
      <w:r w:rsidRPr="00FE3D52">
        <w:rPr>
          <w:rFonts w:eastAsia="Calibri" w:cs="Tahoma"/>
          <w:bCs/>
          <w:color w:val="000000"/>
          <w:lang w:eastAsia="es-ES_tradnl"/>
        </w:rPr>
        <w:t xml:space="preserve"> </w:t>
      </w:r>
      <w:r w:rsidR="00604E44" w:rsidRPr="00FE3D52">
        <w:rPr>
          <w:rFonts w:eastAsia="Calibri" w:cs="Tahoma"/>
          <w:bCs/>
          <w:color w:val="000000"/>
          <w:lang w:eastAsia="es-ES_tradnl"/>
        </w:rPr>
        <w:t>u</w:t>
      </w:r>
      <w:r w:rsidR="00205510" w:rsidRPr="00FE3D52">
        <w:rPr>
          <w:iCs/>
        </w:rPr>
        <w:t xml:space="preserve">suario y contraseña del Sistema Único de Citas Administrativas de ese ISSEMYM </w:t>
      </w:r>
      <w:r w:rsidR="00CC2CA8" w:rsidRPr="00FE3D52">
        <w:rPr>
          <w:iCs/>
        </w:rPr>
        <w:t xml:space="preserve">otorgado </w:t>
      </w:r>
      <w:r w:rsidR="00604E44" w:rsidRPr="00FE3D52">
        <w:rPr>
          <w:iCs/>
        </w:rPr>
        <w:t xml:space="preserve"> en vida y en carácter de servidor público </w:t>
      </w:r>
      <w:r w:rsidR="00205510" w:rsidRPr="00FE3D52">
        <w:rPr>
          <w:iCs/>
        </w:rPr>
        <w:t xml:space="preserve">a </w:t>
      </w:r>
      <w:r w:rsidR="00CC2CA8" w:rsidRPr="00FE3D52">
        <w:rPr>
          <w:iCs/>
        </w:rPr>
        <w:t>su difunto esposo.</w:t>
      </w:r>
    </w:p>
    <w:p w14:paraId="228272CF" w14:textId="77777777" w:rsidR="00162FE7" w:rsidRPr="00FE3D52" w:rsidRDefault="00162FE7" w:rsidP="00162FE7">
      <w:pPr>
        <w:spacing w:after="0" w:line="360" w:lineRule="auto"/>
        <w:rPr>
          <w:rFonts w:eastAsia="Calibri" w:cs="Tahoma"/>
          <w:color w:val="000000"/>
          <w:lang w:eastAsia="es-ES_tradnl"/>
        </w:rPr>
      </w:pPr>
    </w:p>
    <w:p w14:paraId="2EC12C34" w14:textId="5836E923" w:rsidR="00CC2CA8" w:rsidRPr="00FE3D52" w:rsidRDefault="00CC2CA8" w:rsidP="00162FE7">
      <w:pPr>
        <w:spacing w:after="0" w:line="360" w:lineRule="auto"/>
        <w:rPr>
          <w:rFonts w:eastAsia="Calibri" w:cs="Tahoma"/>
          <w:color w:val="000000"/>
          <w:lang w:eastAsia="es-ES_tradnl"/>
        </w:rPr>
      </w:pPr>
      <w:r w:rsidRPr="00FE3D52">
        <w:rPr>
          <w:rFonts w:eastAsia="Calibri" w:cs="Tahoma"/>
          <w:color w:val="000000"/>
          <w:lang w:eastAsia="es-ES_tradnl"/>
        </w:rPr>
        <w:t>De las actuaciones realizadas en el expediente digital, en respuesta el Sujeto Obligado, solicitó acreditar la disposición testamentaria del ejercicio de derechos ARCO en beneficio de la Particular, lo que no fue satisfecho por la Parte Solicitante, por lo que no se otorgó el acceso a dicha información.</w:t>
      </w:r>
    </w:p>
    <w:p w14:paraId="43C9A53A" w14:textId="77777777" w:rsidR="00CC2CA8" w:rsidRPr="00FE3D52" w:rsidRDefault="00CC2CA8" w:rsidP="00162FE7">
      <w:pPr>
        <w:spacing w:after="0" w:line="360" w:lineRule="auto"/>
        <w:rPr>
          <w:rFonts w:eastAsia="Calibri" w:cs="Tahoma"/>
          <w:color w:val="000000"/>
          <w:lang w:eastAsia="es-ES_tradnl"/>
        </w:rPr>
      </w:pPr>
    </w:p>
    <w:p w14:paraId="684F477B" w14:textId="535192F6" w:rsidR="00CC2CA8" w:rsidRPr="00FE3D52" w:rsidRDefault="00CC2CA8" w:rsidP="00162FE7">
      <w:pPr>
        <w:spacing w:after="0" w:line="360" w:lineRule="auto"/>
        <w:rPr>
          <w:rFonts w:cs="Tahoma"/>
          <w:bCs/>
          <w:iCs/>
        </w:rPr>
      </w:pPr>
      <w:r w:rsidRPr="00FE3D52">
        <w:rPr>
          <w:rFonts w:eastAsia="Calibri" w:cs="Tahoma"/>
          <w:color w:val="000000"/>
          <w:lang w:eastAsia="es-ES_tradnl"/>
        </w:rPr>
        <w:t xml:space="preserve">El </w:t>
      </w:r>
      <w:r w:rsidRPr="00FE3D52">
        <w:t xml:space="preserve">Instituto de Seguridad Social del Estado de México y Municipios, a través de la etapa de instrucción en la emisión de informe justificado, no negó la existencia de la información, sino que por conducto de la respuesta de la </w:t>
      </w:r>
      <w:r w:rsidRPr="00FE3D52">
        <w:rPr>
          <w:rFonts w:cs="Tahoma"/>
          <w:bCs/>
          <w:iCs/>
        </w:rPr>
        <w:t>Directora de Atención al Derechohabiente, señaló que lo solicitado no corresponde a una solicitud de acceso a datos personales</w:t>
      </w:r>
      <w:r w:rsidR="00604E44" w:rsidRPr="00FE3D52">
        <w:rPr>
          <w:rFonts w:cs="Tahoma"/>
          <w:bCs/>
          <w:iCs/>
        </w:rPr>
        <w:t xml:space="preserve"> del fallecido</w:t>
      </w:r>
      <w:r w:rsidRPr="00FE3D52">
        <w:rPr>
          <w:rFonts w:cs="Tahoma"/>
          <w:bCs/>
          <w:iCs/>
        </w:rPr>
        <w:t xml:space="preserve">, pues lo que desea la </w:t>
      </w:r>
      <w:r w:rsidR="00604E44" w:rsidRPr="00FE3D52">
        <w:rPr>
          <w:rFonts w:cs="Tahoma"/>
          <w:bCs/>
          <w:iCs/>
        </w:rPr>
        <w:t xml:space="preserve">persona </w:t>
      </w:r>
      <w:r w:rsidRPr="00FE3D52">
        <w:rPr>
          <w:rFonts w:cs="Tahoma"/>
          <w:bCs/>
          <w:iCs/>
        </w:rPr>
        <w:t>Solicitante es</w:t>
      </w:r>
      <w:r w:rsidR="00604E44" w:rsidRPr="00FE3D52">
        <w:rPr>
          <w:rFonts w:cs="Tahoma"/>
          <w:bCs/>
          <w:iCs/>
        </w:rPr>
        <w:t xml:space="preserve"> la información para acceder </w:t>
      </w:r>
      <w:r w:rsidRPr="00FE3D52">
        <w:rPr>
          <w:rFonts w:cs="Tahoma"/>
          <w:bCs/>
          <w:iCs/>
        </w:rPr>
        <w:t xml:space="preserve">a una </w:t>
      </w:r>
      <w:r w:rsidRPr="00FE3D52">
        <w:rPr>
          <w:rFonts w:cs="Tahoma"/>
          <w:b/>
          <w:iCs/>
        </w:rPr>
        <w:t>plataforma</w:t>
      </w:r>
      <w:r w:rsidR="00604E44" w:rsidRPr="00FE3D52">
        <w:rPr>
          <w:rFonts w:cs="Tahoma"/>
          <w:b/>
          <w:iCs/>
        </w:rPr>
        <w:t xml:space="preserve"> que es de suso exclusivo de los servidores públicos en activo</w:t>
      </w:r>
      <w:r w:rsidRPr="00FE3D52">
        <w:rPr>
          <w:rFonts w:cs="Tahoma"/>
          <w:bCs/>
          <w:iCs/>
        </w:rPr>
        <w:t xml:space="preserve"> para lo que se asigna usuario y contraseña a</w:t>
      </w:r>
      <w:r w:rsidR="00604E44" w:rsidRPr="00FE3D52">
        <w:rPr>
          <w:rFonts w:cs="Tahoma"/>
          <w:bCs/>
          <w:iCs/>
        </w:rPr>
        <w:t xml:space="preserve"> cada s</w:t>
      </w:r>
      <w:r w:rsidRPr="00FE3D52">
        <w:rPr>
          <w:rFonts w:cs="Tahoma"/>
          <w:bCs/>
          <w:iCs/>
        </w:rPr>
        <w:t xml:space="preserve">ervidor </w:t>
      </w:r>
      <w:r w:rsidR="00604E44" w:rsidRPr="00FE3D52">
        <w:rPr>
          <w:rFonts w:cs="Tahoma"/>
          <w:bCs/>
          <w:iCs/>
        </w:rPr>
        <w:t>p</w:t>
      </w:r>
      <w:r w:rsidRPr="00FE3D52">
        <w:rPr>
          <w:rFonts w:cs="Tahoma"/>
          <w:bCs/>
          <w:iCs/>
        </w:rPr>
        <w:t>úblico.</w:t>
      </w:r>
    </w:p>
    <w:p w14:paraId="3BB8AB0C" w14:textId="77777777" w:rsidR="00193FEE" w:rsidRPr="00FE3D52" w:rsidRDefault="00193FEE" w:rsidP="00162FE7">
      <w:pPr>
        <w:spacing w:after="0" w:line="360" w:lineRule="auto"/>
        <w:rPr>
          <w:rFonts w:cs="Tahoma"/>
          <w:bCs/>
          <w:iCs/>
        </w:rPr>
      </w:pPr>
    </w:p>
    <w:p w14:paraId="3686BDA2" w14:textId="62084BEA" w:rsidR="00193FEE" w:rsidRPr="00FE3D52" w:rsidRDefault="00193FEE" w:rsidP="00162FE7">
      <w:pPr>
        <w:spacing w:after="0" w:line="360" w:lineRule="auto"/>
        <w:rPr>
          <w:rFonts w:cs="Tahoma"/>
          <w:bCs/>
          <w:iCs/>
        </w:rPr>
      </w:pPr>
      <w:r w:rsidRPr="00FE3D52">
        <w:rPr>
          <w:rFonts w:cs="Tahoma"/>
          <w:bCs/>
          <w:iCs/>
        </w:rPr>
        <w:t>En este sentido, lo primero es señalar que el derecho de Acceso a Datos Personales, encuentra su naturaleza en el artículo 98 de la Ley de Protección de Datos Personales en Posesión de Sujetos Obligados del Estado de México y Municipios que contempla a la letra:</w:t>
      </w:r>
    </w:p>
    <w:p w14:paraId="25053D93" w14:textId="77777777" w:rsidR="00193FEE" w:rsidRPr="00FE3D52" w:rsidRDefault="00193FEE" w:rsidP="00162FE7">
      <w:pPr>
        <w:spacing w:after="0" w:line="360" w:lineRule="auto"/>
        <w:rPr>
          <w:rFonts w:cs="Tahoma"/>
          <w:bCs/>
          <w:iCs/>
        </w:rPr>
      </w:pPr>
    </w:p>
    <w:p w14:paraId="09355219" w14:textId="77777777" w:rsidR="00193FEE" w:rsidRPr="00FE3D52" w:rsidRDefault="00193FEE" w:rsidP="00193FEE">
      <w:pPr>
        <w:tabs>
          <w:tab w:val="left" w:pos="567"/>
        </w:tabs>
        <w:spacing w:after="0" w:line="360" w:lineRule="auto"/>
        <w:ind w:left="567" w:right="616"/>
        <w:rPr>
          <w:i/>
          <w:iCs/>
          <w:sz w:val="20"/>
          <w:szCs w:val="20"/>
        </w:rPr>
      </w:pPr>
      <w:r w:rsidRPr="00FE3D52">
        <w:rPr>
          <w:i/>
          <w:iCs/>
          <w:sz w:val="20"/>
          <w:szCs w:val="20"/>
        </w:rPr>
        <w:t xml:space="preserve">Derecho de Acceso </w:t>
      </w:r>
    </w:p>
    <w:p w14:paraId="68022DDF" w14:textId="5D9B3AFC" w:rsidR="00193FEE" w:rsidRPr="00FE3D52" w:rsidRDefault="00193FEE" w:rsidP="00193FEE">
      <w:pPr>
        <w:tabs>
          <w:tab w:val="left" w:pos="567"/>
        </w:tabs>
        <w:spacing w:after="0" w:line="360" w:lineRule="auto"/>
        <w:ind w:left="567" w:right="616"/>
        <w:rPr>
          <w:i/>
          <w:iCs/>
          <w:sz w:val="20"/>
          <w:szCs w:val="20"/>
        </w:rPr>
      </w:pPr>
      <w:r w:rsidRPr="00FE3D52">
        <w:rPr>
          <w:i/>
          <w:iCs/>
          <w:sz w:val="20"/>
          <w:szCs w:val="20"/>
        </w:rPr>
        <w:t xml:space="preserve">Artículo 98.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w:t>
      </w:r>
      <w:r w:rsidRPr="00FE3D52">
        <w:rPr>
          <w:i/>
          <w:iCs/>
          <w:sz w:val="20"/>
          <w:szCs w:val="20"/>
        </w:rPr>
        <w:lastRenderedPageBreak/>
        <w:t xml:space="preserve">aviso de privacidad al que está sujeto el tratamiento y a cualquier otra generalidad del tratamiento, en los términos previstos en la Ley. </w:t>
      </w:r>
    </w:p>
    <w:p w14:paraId="3307EE97" w14:textId="77777777" w:rsidR="00193FEE" w:rsidRPr="00FE3D52" w:rsidRDefault="00193FEE" w:rsidP="00193FEE">
      <w:pPr>
        <w:tabs>
          <w:tab w:val="left" w:pos="567"/>
        </w:tabs>
        <w:spacing w:after="0" w:line="360" w:lineRule="auto"/>
        <w:ind w:left="567" w:right="616"/>
        <w:rPr>
          <w:i/>
          <w:iCs/>
          <w:sz w:val="20"/>
          <w:szCs w:val="20"/>
        </w:rPr>
      </w:pPr>
    </w:p>
    <w:p w14:paraId="5517FF27" w14:textId="36A6AB57" w:rsidR="00193FEE" w:rsidRPr="00FE3D52" w:rsidRDefault="00193FEE" w:rsidP="00193FEE">
      <w:pPr>
        <w:tabs>
          <w:tab w:val="left" w:pos="567"/>
        </w:tabs>
        <w:spacing w:after="0" w:line="360" w:lineRule="auto"/>
        <w:ind w:left="567" w:right="616"/>
        <w:rPr>
          <w:i/>
          <w:iCs/>
          <w:sz w:val="20"/>
          <w:szCs w:val="20"/>
        </w:rPr>
      </w:pPr>
      <w:r w:rsidRPr="00FE3D52">
        <w:rPr>
          <w:i/>
          <w:iCs/>
          <w:sz w:val="20"/>
          <w:szCs w:val="20"/>
        </w:rPr>
        <w:t>El responsable debe responder al ejercicio del derecho de acceso, tenga o no datos de carácter personal del interesado en su sistema de datos.</w:t>
      </w:r>
    </w:p>
    <w:p w14:paraId="2732AE57" w14:textId="4A1F8E22" w:rsidR="00193FEE" w:rsidRPr="00FE3D52" w:rsidRDefault="00193FEE" w:rsidP="00162FE7">
      <w:pPr>
        <w:spacing w:after="0" w:line="360" w:lineRule="auto"/>
        <w:rPr>
          <w:rFonts w:eastAsia="Calibri" w:cs="Tahoma"/>
          <w:color w:val="000000"/>
          <w:lang w:eastAsia="es-ES_tradnl"/>
        </w:rPr>
      </w:pPr>
    </w:p>
    <w:p w14:paraId="0BC430CE" w14:textId="5A572817" w:rsidR="00193FEE" w:rsidRPr="00FE3D52" w:rsidRDefault="00193FEE" w:rsidP="00162FE7">
      <w:pPr>
        <w:spacing w:after="0" w:line="360" w:lineRule="auto"/>
        <w:rPr>
          <w:rFonts w:eastAsia="Calibri" w:cs="Tahoma"/>
          <w:color w:val="000000"/>
          <w:lang w:eastAsia="es-ES_tradnl"/>
        </w:rPr>
      </w:pPr>
      <w:r w:rsidRPr="00FE3D52">
        <w:rPr>
          <w:rFonts w:eastAsia="Calibri" w:cs="Tahoma"/>
          <w:color w:val="000000"/>
          <w:lang w:eastAsia="es-ES_tradnl"/>
        </w:rPr>
        <w:t>En este contexto podemos entonces identificar que el derecho de Acceso a Datos Personales contempla diferentes supuestos, para su ejercicio, lo que podemos reducir a los siguientes puntos.</w:t>
      </w:r>
    </w:p>
    <w:p w14:paraId="1A318EF3" w14:textId="77777777" w:rsidR="00193FEE" w:rsidRPr="00FE3D52" w:rsidRDefault="00193FEE" w:rsidP="00162FE7">
      <w:pPr>
        <w:spacing w:after="0" w:line="360" w:lineRule="auto"/>
        <w:rPr>
          <w:rFonts w:eastAsia="Calibri" w:cs="Tahoma"/>
          <w:color w:val="000000"/>
          <w:lang w:eastAsia="es-ES_tradnl"/>
        </w:rPr>
      </w:pPr>
    </w:p>
    <w:p w14:paraId="7A45D16C" w14:textId="0403B413" w:rsidR="00193FEE"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Acceder a sus datos personales.</w:t>
      </w:r>
    </w:p>
    <w:p w14:paraId="34B8E5D9" w14:textId="36922FFD" w:rsidR="00193FEE"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Solicitar sobre sus datos personales.</w:t>
      </w:r>
    </w:p>
    <w:p w14:paraId="4F351063" w14:textId="27385143" w:rsidR="00193FEE"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Ser informado sobre sus datos personales.</w:t>
      </w:r>
    </w:p>
    <w:p w14:paraId="2C99D4A3" w14:textId="2B2D55E1" w:rsidR="00B55146"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Documentos relacionados con las condiciones y generalidades de su tratamiento.</w:t>
      </w:r>
    </w:p>
    <w:p w14:paraId="7015A9CA" w14:textId="77777777" w:rsidR="00193FEE"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Conocer el origen de los datos obtenidos en posesión del Sujeto Obligado.</w:t>
      </w:r>
    </w:p>
    <w:p w14:paraId="0544574F" w14:textId="65FAF684" w:rsidR="00B55146" w:rsidRPr="00FE3D52" w:rsidRDefault="00B55146"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Conocer el Aviso de Privacidad.</w:t>
      </w:r>
    </w:p>
    <w:p w14:paraId="1A8E484A" w14:textId="77777777" w:rsidR="00193FEE" w:rsidRPr="00FE3D52" w:rsidRDefault="00193FEE" w:rsidP="00E56F1B">
      <w:pPr>
        <w:pStyle w:val="Prrafodelista"/>
        <w:numPr>
          <w:ilvl w:val="0"/>
          <w:numId w:val="5"/>
        </w:numPr>
        <w:spacing w:after="0" w:line="360" w:lineRule="auto"/>
        <w:rPr>
          <w:rFonts w:eastAsia="Calibri" w:cs="Tahoma"/>
          <w:color w:val="000000"/>
          <w:lang w:eastAsia="es-ES_tradnl"/>
        </w:rPr>
      </w:pPr>
      <w:r w:rsidRPr="00FE3D52">
        <w:rPr>
          <w:rFonts w:eastAsia="Calibri" w:cs="Tahoma"/>
          <w:color w:val="000000"/>
          <w:lang w:eastAsia="es-ES_tradnl"/>
        </w:rPr>
        <w:t>Las cesiones realizadas (transferencias).</w:t>
      </w:r>
    </w:p>
    <w:p w14:paraId="3B52AD30" w14:textId="77777777" w:rsidR="00B55146" w:rsidRPr="00FE3D52" w:rsidRDefault="00B55146" w:rsidP="00193FEE">
      <w:pPr>
        <w:spacing w:after="0" w:line="360" w:lineRule="auto"/>
        <w:rPr>
          <w:rFonts w:eastAsia="Calibri" w:cs="Tahoma"/>
          <w:color w:val="000000"/>
          <w:lang w:eastAsia="es-ES_tradnl"/>
        </w:rPr>
      </w:pPr>
    </w:p>
    <w:p w14:paraId="439A6710" w14:textId="08EA45E9" w:rsidR="00193FEE" w:rsidRPr="00FE3D52" w:rsidRDefault="00193FEE"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El derecho de acceso, constriñe a los Responsables del Tratamiento a dar respuesta, incluso </w:t>
      </w:r>
      <w:r w:rsidR="007209C8" w:rsidRPr="00FE3D52">
        <w:rPr>
          <w:rFonts w:eastAsia="Calibri" w:cs="Tahoma"/>
          <w:color w:val="000000"/>
          <w:lang w:eastAsia="es-ES_tradnl"/>
        </w:rPr>
        <w:t>aun</w:t>
      </w:r>
      <w:r w:rsidRPr="00FE3D52">
        <w:rPr>
          <w:rFonts w:eastAsia="Calibri" w:cs="Tahoma"/>
          <w:color w:val="000000"/>
          <w:lang w:eastAsia="es-ES_tradnl"/>
        </w:rPr>
        <w:t xml:space="preserve"> cuando no tengan la información dentro de sus archivos, esto, con la finalidad de otorgar certeza a los Particulares</w:t>
      </w:r>
      <w:r w:rsidR="00AA54BD" w:rsidRPr="00FE3D52">
        <w:rPr>
          <w:rFonts w:eastAsia="Calibri" w:cs="Tahoma"/>
          <w:color w:val="000000"/>
          <w:lang w:eastAsia="es-ES_tradnl"/>
        </w:rPr>
        <w:t>, respecto a si el Sujeto Obligado, cuenta, contó o debería contar con los datos personales o por el contrario, no existe obligación para poseer la información.</w:t>
      </w:r>
      <w:r w:rsidR="006D65D1" w:rsidRPr="00FE3D52">
        <w:rPr>
          <w:rFonts w:eastAsia="Calibri" w:cs="Tahoma"/>
          <w:color w:val="000000"/>
          <w:lang w:eastAsia="es-ES_tradnl"/>
        </w:rPr>
        <w:t xml:space="preserve"> Esto permite a los Particulares, </w:t>
      </w:r>
      <w:r w:rsidR="009617C9" w:rsidRPr="00FE3D52">
        <w:rPr>
          <w:rFonts w:eastAsia="Calibri" w:cs="Tahoma"/>
          <w:color w:val="000000"/>
          <w:lang w:eastAsia="es-ES_tradnl"/>
        </w:rPr>
        <w:t>ejercer los derechos que corresponden en términos de las leyes aplicables.</w:t>
      </w:r>
    </w:p>
    <w:p w14:paraId="7F9A2A81" w14:textId="77777777" w:rsidR="00326973" w:rsidRPr="00FE3D52" w:rsidRDefault="00326973" w:rsidP="00193FEE">
      <w:pPr>
        <w:spacing w:after="0" w:line="360" w:lineRule="auto"/>
        <w:rPr>
          <w:rFonts w:eastAsia="Calibri" w:cs="Tahoma"/>
          <w:color w:val="000000"/>
          <w:lang w:eastAsia="es-ES_tradnl"/>
        </w:rPr>
      </w:pPr>
    </w:p>
    <w:p w14:paraId="6DCAD00B" w14:textId="24F0D1AD" w:rsidR="00B55146" w:rsidRPr="00FE3D52" w:rsidRDefault="00326973"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Es de señalar que el usuario y contraseña de una persona, sí actualiza el supuesto de sus datos personales, cuando estos son únicos y que al acceder con estos a un sistema permite entrar a </w:t>
      </w:r>
      <w:r w:rsidRPr="00FE3D52">
        <w:rPr>
          <w:rFonts w:eastAsia="Calibri" w:cs="Tahoma"/>
          <w:color w:val="000000"/>
          <w:lang w:eastAsia="es-ES_tradnl"/>
        </w:rPr>
        <w:lastRenderedPageBreak/>
        <w:t>un perfil personalizado, en donde realiza actuaciones que quedan registradas a su nombre o contiene dicho sistema sus datos personales, de tal suerte que, si una persona solicita acceso a sus usuarios y contraseñas, debe entenderse que solicita acceso a sus datos personales.</w:t>
      </w:r>
    </w:p>
    <w:p w14:paraId="1CCD0E6C" w14:textId="77777777" w:rsidR="00B55146" w:rsidRPr="00FE3D52" w:rsidRDefault="00B55146" w:rsidP="00193FEE">
      <w:pPr>
        <w:spacing w:after="0" w:line="360" w:lineRule="auto"/>
        <w:rPr>
          <w:rFonts w:eastAsia="Calibri" w:cs="Tahoma"/>
          <w:color w:val="000000"/>
          <w:lang w:eastAsia="es-ES_tradnl"/>
        </w:rPr>
      </w:pPr>
    </w:p>
    <w:p w14:paraId="5FA6BCE9" w14:textId="77777777" w:rsidR="005B3AAE" w:rsidRPr="00FE3D52" w:rsidRDefault="00B55146"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Ahora bien, </w:t>
      </w:r>
      <w:r w:rsidR="009617C9" w:rsidRPr="00FE3D52">
        <w:rPr>
          <w:rFonts w:eastAsia="Calibri" w:cs="Tahoma"/>
          <w:color w:val="000000"/>
          <w:lang w:eastAsia="es-ES_tradnl"/>
        </w:rPr>
        <w:t xml:space="preserve">en este orden de ideas y en </w:t>
      </w:r>
      <w:r w:rsidRPr="00FE3D52">
        <w:rPr>
          <w:rFonts w:eastAsia="Calibri" w:cs="Tahoma"/>
          <w:color w:val="000000"/>
          <w:lang w:eastAsia="es-ES_tradnl"/>
        </w:rPr>
        <w:t xml:space="preserve">secuencia conforme al seguimiento procesal </w:t>
      </w:r>
      <w:r w:rsidR="009617C9" w:rsidRPr="00FE3D52">
        <w:rPr>
          <w:rFonts w:eastAsia="Calibri" w:cs="Tahoma"/>
          <w:color w:val="000000"/>
          <w:lang w:eastAsia="es-ES_tradnl"/>
        </w:rPr>
        <w:t>en materia del</w:t>
      </w:r>
      <w:r w:rsidRPr="00FE3D52">
        <w:rPr>
          <w:rFonts w:eastAsia="Calibri" w:cs="Tahoma"/>
          <w:color w:val="000000"/>
          <w:lang w:eastAsia="es-ES_tradnl"/>
        </w:rPr>
        <w:t xml:space="preserve"> </w:t>
      </w:r>
      <w:r w:rsidR="005B3AAE" w:rsidRPr="00FE3D52">
        <w:rPr>
          <w:rFonts w:eastAsia="Calibri" w:cs="Tahoma"/>
          <w:color w:val="000000"/>
          <w:lang w:eastAsia="es-ES_tradnl"/>
        </w:rPr>
        <w:t xml:space="preserve">acceso a datos personales, por regla general, la solicitud debe ser ingresada por los titulares de los datos personales </w:t>
      </w:r>
      <w:r w:rsidRPr="00FE3D52">
        <w:rPr>
          <w:rFonts w:eastAsia="Calibri" w:cs="Tahoma"/>
          <w:color w:val="000000"/>
          <w:lang w:eastAsia="es-ES_tradnl"/>
        </w:rPr>
        <w:t xml:space="preserve">y en su ausencia por sus representantes legales, lo </w:t>
      </w:r>
      <w:r w:rsidR="009617C9" w:rsidRPr="00FE3D52">
        <w:rPr>
          <w:rFonts w:eastAsia="Calibri" w:cs="Tahoma"/>
          <w:color w:val="000000"/>
          <w:lang w:eastAsia="es-ES_tradnl"/>
        </w:rPr>
        <w:t>que,</w:t>
      </w:r>
      <w:r w:rsidRPr="00FE3D52">
        <w:rPr>
          <w:rFonts w:eastAsia="Calibri" w:cs="Tahoma"/>
          <w:color w:val="000000"/>
          <w:lang w:eastAsia="es-ES_tradnl"/>
        </w:rPr>
        <w:t xml:space="preserve"> en el presente asunto, no se </w:t>
      </w:r>
      <w:r w:rsidR="009617C9" w:rsidRPr="00FE3D52">
        <w:rPr>
          <w:rFonts w:eastAsia="Calibri" w:cs="Tahoma"/>
          <w:color w:val="000000"/>
          <w:lang w:eastAsia="es-ES_tradnl"/>
        </w:rPr>
        <w:t>actualiz</w:t>
      </w:r>
      <w:r w:rsidR="005B3AAE" w:rsidRPr="00FE3D52">
        <w:rPr>
          <w:rFonts w:eastAsia="Calibri" w:cs="Tahoma"/>
          <w:color w:val="000000"/>
          <w:lang w:eastAsia="es-ES_tradnl"/>
        </w:rPr>
        <w:t>a</w:t>
      </w:r>
      <w:r w:rsidRPr="00FE3D52">
        <w:rPr>
          <w:rFonts w:eastAsia="Calibri" w:cs="Tahoma"/>
          <w:color w:val="000000"/>
          <w:lang w:eastAsia="es-ES_tradnl"/>
        </w:rPr>
        <w:t xml:space="preserve">. Ahora bien, </w:t>
      </w:r>
      <w:r w:rsidR="009617C9" w:rsidRPr="00FE3D52">
        <w:rPr>
          <w:rFonts w:eastAsia="Calibri" w:cs="Tahoma"/>
          <w:color w:val="000000"/>
          <w:lang w:eastAsia="es-ES_tradnl"/>
        </w:rPr>
        <w:t xml:space="preserve">existe un supuesto extraordinario, que acontece </w:t>
      </w:r>
      <w:r w:rsidRPr="00FE3D52">
        <w:rPr>
          <w:rFonts w:eastAsia="Calibri" w:cs="Tahoma"/>
          <w:color w:val="000000"/>
          <w:lang w:eastAsia="es-ES_tradnl"/>
        </w:rPr>
        <w:t xml:space="preserve">cuando el </w:t>
      </w:r>
      <w:r w:rsidR="005B3AAE" w:rsidRPr="00FE3D52">
        <w:rPr>
          <w:rFonts w:eastAsia="Calibri" w:cs="Tahoma"/>
          <w:color w:val="000000"/>
          <w:lang w:eastAsia="es-ES_tradnl"/>
        </w:rPr>
        <w:t>t</w:t>
      </w:r>
      <w:r w:rsidRPr="00FE3D52">
        <w:rPr>
          <w:rFonts w:eastAsia="Calibri" w:cs="Tahoma"/>
          <w:color w:val="000000"/>
          <w:lang w:eastAsia="es-ES_tradnl"/>
        </w:rPr>
        <w:t xml:space="preserve">itular de los datos personales, haya fallecido, </w:t>
      </w:r>
      <w:r w:rsidR="009617C9" w:rsidRPr="00FE3D52">
        <w:rPr>
          <w:rFonts w:eastAsia="Calibri" w:cs="Tahoma"/>
          <w:color w:val="000000"/>
          <w:lang w:eastAsia="es-ES_tradnl"/>
        </w:rPr>
        <w:t xml:space="preserve">supuesto en el cual, los solicitantes </w:t>
      </w:r>
      <w:r w:rsidRPr="00FE3D52">
        <w:rPr>
          <w:rFonts w:eastAsia="Calibri" w:cs="Tahoma"/>
          <w:color w:val="000000"/>
          <w:lang w:eastAsia="es-ES_tradnl"/>
        </w:rPr>
        <w:t xml:space="preserve">deberán acreditar </w:t>
      </w:r>
      <w:r w:rsidR="009617C9" w:rsidRPr="00FE3D52">
        <w:rPr>
          <w:rFonts w:eastAsia="Calibri" w:cs="Tahoma"/>
          <w:color w:val="000000"/>
          <w:lang w:eastAsia="es-ES_tradnl"/>
        </w:rPr>
        <w:t xml:space="preserve">que existe una manifestación unilateral de voluntad por el finado, para que ejerzan sus datos personales en representación </w:t>
      </w:r>
      <w:r w:rsidRPr="00FE3D52">
        <w:rPr>
          <w:rFonts w:eastAsia="Calibri" w:cs="Tahoma"/>
          <w:color w:val="000000"/>
          <w:lang w:eastAsia="es-ES_tradnl"/>
        </w:rPr>
        <w:t>en términos del artículo 106</w:t>
      </w:r>
      <w:r w:rsidR="000D0CBB" w:rsidRPr="00FE3D52">
        <w:rPr>
          <w:rFonts w:eastAsia="Calibri" w:cs="Tahoma"/>
          <w:color w:val="000000"/>
          <w:lang w:eastAsia="es-ES_tradnl"/>
        </w:rPr>
        <w:t xml:space="preserve"> de la invocada Ley de Datos Local,</w:t>
      </w:r>
      <w:r w:rsidR="009617C9" w:rsidRPr="00FE3D52">
        <w:rPr>
          <w:rFonts w:eastAsia="Calibri" w:cs="Tahoma"/>
          <w:color w:val="000000"/>
          <w:lang w:eastAsia="es-ES_tradnl"/>
        </w:rPr>
        <w:t xml:space="preserve"> esto es, </w:t>
      </w:r>
      <w:r w:rsidR="000D0CBB" w:rsidRPr="00FE3D52">
        <w:rPr>
          <w:rFonts w:eastAsia="Calibri" w:cs="Tahoma"/>
          <w:color w:val="000000"/>
          <w:lang w:eastAsia="es-ES_tradnl"/>
        </w:rPr>
        <w:t xml:space="preserve">que cuenta con un testamento </w:t>
      </w:r>
      <w:r w:rsidR="005B3AAE" w:rsidRPr="00FE3D52">
        <w:rPr>
          <w:rFonts w:eastAsia="Calibri" w:cs="Tahoma"/>
          <w:color w:val="000000"/>
          <w:lang w:eastAsia="es-ES_tradnl"/>
        </w:rPr>
        <w:t xml:space="preserve">o sentencia </w:t>
      </w:r>
      <w:r w:rsidR="000D0CBB" w:rsidRPr="00FE3D52">
        <w:rPr>
          <w:rFonts w:eastAsia="Calibri" w:cs="Tahoma"/>
          <w:color w:val="000000"/>
          <w:lang w:eastAsia="es-ES_tradnl"/>
        </w:rPr>
        <w:t>en donde se reconoció la voluntad del</w:t>
      </w:r>
      <w:r w:rsidR="005B3AAE" w:rsidRPr="00FE3D52">
        <w:rPr>
          <w:rFonts w:eastAsia="Calibri" w:cs="Tahoma"/>
          <w:color w:val="000000"/>
          <w:lang w:eastAsia="es-ES_tradnl"/>
        </w:rPr>
        <w:t xml:space="preserve"> titular del dato, </w:t>
      </w:r>
      <w:r w:rsidR="000D0CBB" w:rsidRPr="00FE3D52">
        <w:rPr>
          <w:rFonts w:eastAsia="Calibri" w:cs="Tahoma"/>
          <w:color w:val="000000"/>
          <w:lang w:eastAsia="es-ES_tradnl"/>
        </w:rPr>
        <w:t>de que la persona solicitante cuent</w:t>
      </w:r>
      <w:r w:rsidR="005B3AAE" w:rsidRPr="00FE3D52">
        <w:rPr>
          <w:rFonts w:eastAsia="Calibri" w:cs="Tahoma"/>
          <w:color w:val="000000"/>
          <w:lang w:eastAsia="es-ES_tradnl"/>
        </w:rPr>
        <w:t>a</w:t>
      </w:r>
      <w:r w:rsidR="000D0CBB" w:rsidRPr="00FE3D52">
        <w:rPr>
          <w:rFonts w:eastAsia="Calibri" w:cs="Tahoma"/>
          <w:color w:val="000000"/>
          <w:lang w:eastAsia="es-ES_tradnl"/>
        </w:rPr>
        <w:t xml:space="preserve"> con la capacidad para ejercer sus derechos ARCO </w:t>
      </w:r>
      <w:r w:rsidR="000D0CBB" w:rsidRPr="00FE3D52">
        <w:rPr>
          <w:rFonts w:eastAsia="Calibri" w:cs="Tahoma"/>
          <w:i/>
          <w:color w:val="000000"/>
          <w:lang w:eastAsia="es-ES_tradnl"/>
        </w:rPr>
        <w:t>post mortem</w:t>
      </w:r>
      <w:r w:rsidR="000D0CBB" w:rsidRPr="00FE3D52">
        <w:rPr>
          <w:rFonts w:eastAsia="Calibri" w:cs="Tahoma"/>
          <w:color w:val="000000"/>
          <w:lang w:eastAsia="es-ES_tradnl"/>
        </w:rPr>
        <w:t>.</w:t>
      </w:r>
    </w:p>
    <w:p w14:paraId="0B3B6038" w14:textId="77777777" w:rsidR="005B3AAE" w:rsidRPr="00FE3D52" w:rsidRDefault="005B3AAE" w:rsidP="00193FEE">
      <w:pPr>
        <w:spacing w:after="0" w:line="360" w:lineRule="auto"/>
        <w:rPr>
          <w:rFonts w:eastAsia="Calibri" w:cs="Tahoma"/>
          <w:color w:val="000000"/>
          <w:lang w:eastAsia="es-ES_tradnl"/>
        </w:rPr>
      </w:pPr>
    </w:p>
    <w:p w14:paraId="2DE4AE7C" w14:textId="1956D9EB" w:rsidR="005B3AAE" w:rsidRPr="00FE3D52" w:rsidRDefault="005B3AAE"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Lo anterior se traduce en que, una persona en vida puede decidir concederle el derecho a otra persona que él elija, para que, cuando fallezca pueda acceder a sus datos personales, esto no es sólo una decisión intrascendente, pues este Organismo Garante a través de la resolución de diversos asuntos ha podido corroborar que el acceso a datos personales de fallecidos </w:t>
      </w:r>
      <w:r w:rsidR="00FA2CEE" w:rsidRPr="00FE3D52">
        <w:rPr>
          <w:rFonts w:eastAsia="Calibri" w:cs="Tahoma"/>
          <w:color w:val="000000"/>
          <w:lang w:eastAsia="es-ES_tradnl"/>
        </w:rPr>
        <w:t>sirve principalmente a sus familiares para realizar trámites, cobrar seguros, obtener seguridad social dentro del propio ISSEMYM, sólo por mencionar algunos ejemplos.</w:t>
      </w:r>
    </w:p>
    <w:p w14:paraId="5C72F14D" w14:textId="110CAA0F" w:rsidR="005B3AAE" w:rsidRPr="00FE3D52" w:rsidRDefault="005B3AAE"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 </w:t>
      </w:r>
    </w:p>
    <w:p w14:paraId="0A553603" w14:textId="4DE93120" w:rsidR="000D0CBB" w:rsidRPr="00FE3D52" w:rsidRDefault="000D0CBB"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 En el presente asunto, la Particular, no acreditó ser la persona designada por la finada para ejercer sus derechos ARCO.</w:t>
      </w:r>
      <w:r w:rsidR="00FA2CEE" w:rsidRPr="00FE3D52">
        <w:rPr>
          <w:rFonts w:eastAsia="Calibri" w:cs="Tahoma"/>
          <w:color w:val="000000"/>
          <w:lang w:eastAsia="es-ES_tradnl"/>
        </w:rPr>
        <w:t xml:space="preserve"> </w:t>
      </w:r>
      <w:r w:rsidRPr="00FE3D52">
        <w:rPr>
          <w:rFonts w:eastAsia="Calibri" w:cs="Tahoma"/>
          <w:color w:val="000000"/>
          <w:lang w:eastAsia="es-ES_tradnl"/>
        </w:rPr>
        <w:t>Ahora bien, la misma Ley de Datos, contempla que cuando acontezca esto, se podrá interponer el medio de impugnación y en esta nueva etapa procesal, se deberá acreditar contar con interés jurídico y/o legítimo.</w:t>
      </w:r>
    </w:p>
    <w:p w14:paraId="6460B26B" w14:textId="77777777" w:rsidR="00CE3BF6" w:rsidRPr="00FE3D52" w:rsidRDefault="00CE3BF6" w:rsidP="00193FEE">
      <w:pPr>
        <w:spacing w:after="0" w:line="360" w:lineRule="auto"/>
        <w:rPr>
          <w:rFonts w:eastAsia="Calibri" w:cs="Tahoma"/>
          <w:color w:val="000000"/>
          <w:lang w:eastAsia="es-ES_tradnl"/>
        </w:rPr>
      </w:pPr>
    </w:p>
    <w:p w14:paraId="41D53947" w14:textId="242ABE2F" w:rsidR="00CE3BF6" w:rsidRPr="00FE3D52" w:rsidRDefault="00CE3BF6" w:rsidP="00193FEE">
      <w:pPr>
        <w:spacing w:after="0" w:line="360" w:lineRule="auto"/>
        <w:rPr>
          <w:rFonts w:eastAsia="Calibri" w:cs="Tahoma"/>
          <w:color w:val="000000"/>
          <w:lang w:eastAsia="es-ES_tradnl"/>
        </w:rPr>
      </w:pPr>
      <w:r w:rsidRPr="00FE3D52">
        <w:rPr>
          <w:rFonts w:eastAsia="Calibri" w:cs="Tahoma"/>
          <w:color w:val="000000"/>
          <w:lang w:eastAsia="es-ES_tradnl"/>
        </w:rPr>
        <w:lastRenderedPageBreak/>
        <w:t>En este sentido, se previno a la persona particular para que acreditara el interés jurídico y legítimo de acceder a los datos personales de fallecidos; de tal suerte que, la solicitante no podría acceder a ningún tipo de respuesta respecto de los datos solicitados hasta en tanto, no acreditara este supuesto establecido en el artículo 106 de la Ley de la materia; sin embargo, en informe justificado el ISSEMYM aclaró que lo que se requiere en esta solicitud, no es propiamente un derecho de acceso a datos de fallecido que funciones como un derecho llave; esto es, no requiere acceder a los datos personales de fallecido para acceder a una plataforma exclusiva para uso de servidores públicos en activo, lo que le permitiría a la persona solicitante actuar como si fuera el titular de los datos fallecido, lo que en la especie no garantiza la Ley de Datos.</w:t>
      </w:r>
    </w:p>
    <w:p w14:paraId="1922BB2F" w14:textId="77777777" w:rsidR="00CE3BF6" w:rsidRPr="00FE3D52" w:rsidRDefault="00CE3BF6" w:rsidP="00193FEE">
      <w:pPr>
        <w:spacing w:after="0" w:line="360" w:lineRule="auto"/>
        <w:rPr>
          <w:rFonts w:eastAsia="Calibri" w:cs="Tahoma"/>
          <w:color w:val="000000"/>
          <w:lang w:eastAsia="es-ES_tradnl"/>
        </w:rPr>
      </w:pPr>
    </w:p>
    <w:p w14:paraId="48BE1EE4" w14:textId="093E84C1" w:rsidR="00CE3BF6" w:rsidRPr="00FE3D52" w:rsidRDefault="00CE3BF6" w:rsidP="00193FEE">
      <w:pPr>
        <w:spacing w:after="0" w:line="360" w:lineRule="auto"/>
        <w:rPr>
          <w:rFonts w:eastAsia="Calibri" w:cs="Tahoma"/>
          <w:color w:val="000000"/>
          <w:lang w:eastAsia="es-ES_tradnl"/>
        </w:rPr>
      </w:pPr>
      <w:r w:rsidRPr="00FE3D52">
        <w:rPr>
          <w:rFonts w:eastAsia="Calibri" w:cs="Tahoma"/>
          <w:color w:val="000000"/>
          <w:lang w:eastAsia="es-ES_tradnl"/>
        </w:rPr>
        <w:t>En consecuencia, el derecho de acceso a la información previsto en el artículo 98 de la Ley de Datos del Estado, lo que permite es el derecho de acceder a la información que haga identificado e identificable a las personas y, el caso de acceso a los datos de personas fallecidas lo que permite es acceder a los datos de estos, cuando se acredita el interés jurídico y legítimo, ello porque el acceso a dichos datos se ha advertido como requisito indispensable para que las personas principalmente los familiares, puedan realizar trámites, acceder a servicios</w:t>
      </w:r>
      <w:r w:rsidR="008F60A2" w:rsidRPr="00FE3D52">
        <w:rPr>
          <w:rFonts w:eastAsia="Calibri" w:cs="Tahoma"/>
          <w:color w:val="000000"/>
          <w:lang w:eastAsia="es-ES_tradnl"/>
        </w:rPr>
        <w:t>; sin embargo, el objetivo nunca ha sido que, el derecho de acceso a la datos, sea utilizado para suplantar identidades y se pueda actuar como si se tratara del fallecido.</w:t>
      </w:r>
    </w:p>
    <w:p w14:paraId="0C529BCC" w14:textId="77777777" w:rsidR="000D0CBB" w:rsidRPr="00FE3D52" w:rsidRDefault="000D0CBB" w:rsidP="00193FEE">
      <w:pPr>
        <w:spacing w:after="0" w:line="360" w:lineRule="auto"/>
        <w:rPr>
          <w:rFonts w:eastAsia="Calibri" w:cs="Tahoma"/>
          <w:color w:val="000000"/>
          <w:lang w:eastAsia="es-ES_tradnl"/>
        </w:rPr>
      </w:pPr>
    </w:p>
    <w:p w14:paraId="09AEE3A6" w14:textId="13DFAD85" w:rsidR="001D68CF" w:rsidRPr="00FE3D52" w:rsidRDefault="001D68CF" w:rsidP="00193FEE">
      <w:pPr>
        <w:spacing w:after="0" w:line="360" w:lineRule="auto"/>
        <w:rPr>
          <w:rFonts w:eastAsia="Calibri" w:cs="Tahoma"/>
          <w:color w:val="000000"/>
          <w:lang w:eastAsia="es-ES_tradnl"/>
        </w:rPr>
      </w:pPr>
      <w:r w:rsidRPr="00FE3D52">
        <w:rPr>
          <w:rFonts w:eastAsia="Calibri" w:cs="Tahoma"/>
          <w:color w:val="000000"/>
          <w:lang w:eastAsia="es-ES_tradnl"/>
        </w:rPr>
        <w:t xml:space="preserve">En este contexto, no es dable </w:t>
      </w:r>
      <w:r w:rsidR="008F60A2" w:rsidRPr="00FE3D52">
        <w:rPr>
          <w:rFonts w:eastAsia="Calibri" w:cs="Tahoma"/>
          <w:color w:val="000000"/>
          <w:lang w:eastAsia="es-ES_tradnl"/>
        </w:rPr>
        <w:t>conceder el acceso a usuarios y</w:t>
      </w:r>
      <w:r w:rsidRPr="00FE3D52">
        <w:rPr>
          <w:rFonts w:eastAsia="Calibri" w:cs="Tahoma"/>
          <w:color w:val="000000"/>
          <w:lang w:eastAsia="es-ES_tradnl"/>
        </w:rPr>
        <w:t xml:space="preserve"> contraseñas para acceder a</w:t>
      </w:r>
      <w:r w:rsidR="008F60A2" w:rsidRPr="00FE3D52">
        <w:rPr>
          <w:rFonts w:eastAsia="Calibri" w:cs="Tahoma"/>
          <w:color w:val="000000"/>
          <w:lang w:eastAsia="es-ES_tradnl"/>
        </w:rPr>
        <w:t xml:space="preserve"> este </w:t>
      </w:r>
      <w:r w:rsidRPr="00FE3D52">
        <w:rPr>
          <w:rFonts w:eastAsia="Calibri" w:cs="Tahoma"/>
          <w:color w:val="000000"/>
          <w:lang w:eastAsia="es-ES_tradnl"/>
        </w:rPr>
        <w:t xml:space="preserve"> sistema</w:t>
      </w:r>
      <w:r w:rsidR="008F60A2" w:rsidRPr="00FE3D52">
        <w:rPr>
          <w:rFonts w:eastAsia="Calibri" w:cs="Tahoma"/>
          <w:color w:val="000000"/>
          <w:lang w:eastAsia="es-ES_tradnl"/>
        </w:rPr>
        <w:t xml:space="preserve"> o a cualquier otro, cuando sean plataformas de uso vigente, restringido a servidores públicos, cuando la entrega pudiera suponer el riesgo mínimo de que la persona que solicite la información tenga la intención de entrar y actuar en dicho sistema como si se tratara del mismo titular ya fallecido, ya que la Ley no prevé este derecho.</w:t>
      </w:r>
    </w:p>
    <w:p w14:paraId="50AEAF85" w14:textId="77777777" w:rsidR="009F5D0F" w:rsidRPr="00FE3D52" w:rsidRDefault="009F5D0F" w:rsidP="00193FEE">
      <w:pPr>
        <w:spacing w:after="0" w:line="360" w:lineRule="auto"/>
        <w:rPr>
          <w:rFonts w:eastAsia="Calibri" w:cs="Tahoma"/>
          <w:color w:val="000000"/>
          <w:lang w:eastAsia="es-ES_tradnl"/>
        </w:rPr>
      </w:pPr>
    </w:p>
    <w:p w14:paraId="3630E8C2" w14:textId="64AC3CF5" w:rsidR="009F5D0F" w:rsidRPr="00FE3D52" w:rsidRDefault="009F5D0F" w:rsidP="008F60A2">
      <w:pPr>
        <w:spacing w:after="0" w:line="360" w:lineRule="auto"/>
        <w:rPr>
          <w:rFonts w:eastAsia="Calibri" w:cs="Tahoma"/>
          <w:color w:val="000000"/>
          <w:lang w:eastAsia="es-ES_tradnl"/>
        </w:rPr>
      </w:pPr>
      <w:r w:rsidRPr="00FE3D52">
        <w:rPr>
          <w:rFonts w:eastAsia="Calibri" w:cs="Tahoma"/>
          <w:color w:val="000000"/>
          <w:lang w:eastAsia="es-ES_tradnl"/>
        </w:rPr>
        <w:lastRenderedPageBreak/>
        <w:t xml:space="preserve">Por ello, únicamente es procedente </w:t>
      </w:r>
      <w:r w:rsidR="0027750F" w:rsidRPr="00FE3D52">
        <w:rPr>
          <w:rFonts w:eastAsia="Calibri" w:cs="Tahoma"/>
          <w:color w:val="000000"/>
          <w:lang w:eastAsia="es-ES_tradnl"/>
        </w:rPr>
        <w:t>sobreseer el medio de impugnación que nos ocupa, debido a que la propia Ley de Protección de Datos Personales en un análisis por extensión no permite el otorgamiento de contraseñas para actuar a nombre y representación en plataformas digitales</w:t>
      </w:r>
      <w:r w:rsidR="008F60A2" w:rsidRPr="00FE3D52">
        <w:rPr>
          <w:rFonts w:eastAsia="Calibri" w:cs="Tahoma"/>
          <w:color w:val="000000"/>
          <w:lang w:eastAsia="es-ES_tradnl"/>
        </w:rPr>
        <w:t xml:space="preserve">, ello </w:t>
      </w:r>
      <w:r w:rsidR="0027750F" w:rsidRPr="00FE3D52">
        <w:rPr>
          <w:rFonts w:eastAsia="Calibri" w:cs="Tahoma"/>
          <w:color w:val="000000"/>
          <w:lang w:eastAsia="es-ES_tradnl"/>
        </w:rPr>
        <w:t xml:space="preserve">en virtud de que </w:t>
      </w:r>
      <w:r w:rsidR="001A1CF2" w:rsidRPr="00FE3D52">
        <w:rPr>
          <w:rFonts w:eastAsia="Calibri" w:cs="Tahoma"/>
          <w:color w:val="000000"/>
          <w:lang w:eastAsia="es-ES_tradnl"/>
        </w:rPr>
        <w:t xml:space="preserve">en todo momento debe imperar el principio de legalidad contemplado en el artículo </w:t>
      </w:r>
      <w:r w:rsidR="00583FFA" w:rsidRPr="00FE3D52">
        <w:rPr>
          <w:rFonts w:eastAsia="Calibri" w:cs="Tahoma"/>
          <w:color w:val="000000"/>
          <w:lang w:eastAsia="es-ES_tradnl"/>
        </w:rPr>
        <w:t>143 de la Constitución Política del Estado Libre y Soberano de México que a la letra señala</w:t>
      </w:r>
      <w:r w:rsidR="008F60A2" w:rsidRPr="00FE3D52">
        <w:rPr>
          <w:rFonts w:eastAsia="Calibri" w:cs="Tahoma"/>
          <w:color w:val="000000"/>
          <w:lang w:eastAsia="es-ES_tradnl"/>
        </w:rPr>
        <w:t xml:space="preserve"> que l</w:t>
      </w:r>
      <w:r w:rsidR="00583FFA" w:rsidRPr="00FE3D52">
        <w:t>as</w:t>
      </w:r>
      <w:r w:rsidR="00583FFA" w:rsidRPr="00FE3D52">
        <w:rPr>
          <w:i/>
          <w:iCs/>
        </w:rPr>
        <w:t xml:space="preserve"> autoridades del Estado sólo tienen las facultades que expresamente les confieren las leyes y otros ordenamientos jurídicos. </w:t>
      </w:r>
      <w:r w:rsidR="0027750F" w:rsidRPr="00FE3D52">
        <w:rPr>
          <w:i/>
          <w:iCs/>
        </w:rPr>
        <w:t xml:space="preserve"> </w:t>
      </w:r>
    </w:p>
    <w:p w14:paraId="3BEFC833" w14:textId="77777777" w:rsidR="0027750F" w:rsidRPr="00FE3D52" w:rsidRDefault="0027750F" w:rsidP="00193FEE">
      <w:pPr>
        <w:spacing w:after="0" w:line="360" w:lineRule="auto"/>
        <w:rPr>
          <w:rFonts w:eastAsia="Calibri" w:cs="Tahoma"/>
          <w:color w:val="000000"/>
          <w:lang w:eastAsia="es-ES_tradnl"/>
        </w:rPr>
      </w:pPr>
    </w:p>
    <w:p w14:paraId="7C775BDB" w14:textId="67993949" w:rsidR="008F60A2" w:rsidRPr="00FE3D52" w:rsidRDefault="00583FFA" w:rsidP="00193FEE">
      <w:pPr>
        <w:spacing w:after="0" w:line="360" w:lineRule="auto"/>
        <w:rPr>
          <w:rFonts w:eastAsia="Calibri" w:cs="Tahoma"/>
          <w:color w:val="000000"/>
          <w:lang w:eastAsia="es-ES_tradnl"/>
        </w:rPr>
      </w:pPr>
      <w:r w:rsidRPr="00FE3D52">
        <w:rPr>
          <w:rFonts w:eastAsia="Calibri" w:cs="Tahoma"/>
          <w:color w:val="000000"/>
          <w:lang w:eastAsia="es-ES_tradnl"/>
        </w:rPr>
        <w:t>Así, las autoridades del Estado de México, como lo es el ISSEMyM y el INFOEM en calidad de Organismo Garante, si bien, deben en todo velar por la protección mas amplia de los derechos humanos, no es menos cierto, que deben encontrar en su actuar, como l</w:t>
      </w:r>
      <w:r w:rsidR="008F60A2" w:rsidRPr="00FE3D52">
        <w:rPr>
          <w:rFonts w:eastAsia="Calibri" w:cs="Tahoma"/>
          <w:color w:val="000000"/>
          <w:lang w:eastAsia="es-ES_tradnl"/>
        </w:rPr>
        <w:t>í</w:t>
      </w:r>
      <w:r w:rsidRPr="00FE3D52">
        <w:rPr>
          <w:rFonts w:eastAsia="Calibri" w:cs="Tahoma"/>
          <w:color w:val="000000"/>
          <w:lang w:eastAsia="es-ES_tradnl"/>
        </w:rPr>
        <w:t>mite los alcances que la legislación les permita</w:t>
      </w:r>
      <w:r w:rsidR="001703DD" w:rsidRPr="00FE3D52">
        <w:rPr>
          <w:rFonts w:eastAsia="Calibri" w:cs="Tahoma"/>
          <w:color w:val="000000"/>
          <w:lang w:eastAsia="es-ES_tradnl"/>
        </w:rPr>
        <w:t>.</w:t>
      </w:r>
      <w:r w:rsidR="008F60A2" w:rsidRPr="00FE3D52">
        <w:rPr>
          <w:rFonts w:eastAsia="Calibri" w:cs="Tahoma"/>
          <w:color w:val="000000"/>
          <w:lang w:eastAsia="es-ES_tradnl"/>
        </w:rPr>
        <w:t xml:space="preserve"> </w:t>
      </w:r>
      <w:r w:rsidR="001703DD" w:rsidRPr="00FE3D52">
        <w:rPr>
          <w:rFonts w:eastAsia="Calibri" w:cs="Tahoma"/>
          <w:color w:val="000000"/>
          <w:lang w:eastAsia="es-ES_tradnl"/>
        </w:rPr>
        <w:t xml:space="preserve">Entonces, toda vez que la legislación </w:t>
      </w:r>
      <w:r w:rsidR="0079651D" w:rsidRPr="00FE3D52">
        <w:rPr>
          <w:rFonts w:eastAsia="Calibri" w:cs="Tahoma"/>
          <w:color w:val="000000"/>
          <w:lang w:eastAsia="es-ES_tradnl"/>
        </w:rPr>
        <w:t xml:space="preserve">no prevé dicho presupuesto legal y que, además, se advierte que no es compatible </w:t>
      </w:r>
      <w:r w:rsidR="008F60A2" w:rsidRPr="00FE3D52">
        <w:rPr>
          <w:rFonts w:eastAsia="Calibri" w:cs="Tahoma"/>
          <w:color w:val="000000"/>
          <w:lang w:eastAsia="es-ES_tradnl"/>
        </w:rPr>
        <w:t xml:space="preserve">ni </w:t>
      </w:r>
      <w:r w:rsidR="0079651D" w:rsidRPr="00FE3D52">
        <w:rPr>
          <w:rFonts w:eastAsia="Calibri" w:cs="Tahoma"/>
          <w:color w:val="000000"/>
          <w:lang w:eastAsia="es-ES_tradnl"/>
        </w:rPr>
        <w:t xml:space="preserve">con el derecho de acceso a datos personales, </w:t>
      </w:r>
      <w:r w:rsidR="008F60A2" w:rsidRPr="00FE3D52">
        <w:rPr>
          <w:rFonts w:eastAsia="Calibri" w:cs="Tahoma"/>
          <w:color w:val="000000"/>
          <w:lang w:eastAsia="es-ES_tradnl"/>
        </w:rPr>
        <w:t xml:space="preserve">ni con ningún otro, </w:t>
      </w:r>
      <w:r w:rsidR="0079651D" w:rsidRPr="00FE3D52">
        <w:rPr>
          <w:rFonts w:eastAsia="Calibri" w:cs="Tahoma"/>
          <w:color w:val="000000"/>
          <w:lang w:eastAsia="es-ES_tradnl"/>
        </w:rPr>
        <w:t>se considera</w:t>
      </w:r>
      <w:r w:rsidR="008F60A2" w:rsidRPr="00FE3D52">
        <w:rPr>
          <w:rFonts w:eastAsia="Calibri" w:cs="Tahoma"/>
          <w:color w:val="000000"/>
          <w:lang w:eastAsia="es-ES_tradnl"/>
        </w:rPr>
        <w:t xml:space="preserve"> que la solicitud de acceso a datos personales es improcedente</w:t>
      </w:r>
      <w:r w:rsidR="00326973" w:rsidRPr="00FE3D52">
        <w:rPr>
          <w:rFonts w:eastAsia="Calibri" w:cs="Tahoma"/>
          <w:color w:val="000000"/>
          <w:lang w:eastAsia="es-ES_tradnl"/>
        </w:rPr>
        <w:t xml:space="preserve">, </w:t>
      </w:r>
      <w:r w:rsidR="00D06FEA" w:rsidRPr="00FE3D52">
        <w:rPr>
          <w:rFonts w:eastAsia="Calibri" w:cs="Tahoma"/>
          <w:color w:val="000000"/>
          <w:lang w:eastAsia="es-ES_tradnl"/>
        </w:rPr>
        <w:t xml:space="preserve">en virtud de que el artículo 117 de la Ley de la materia establece que, no son es procedente acceder a los datos personales cuando exista un impedimento legal, en consecuencia el impedimento legal es que la entrega de los datos permitiría al solicitante suplantar la identidad de un fallecido; </w:t>
      </w:r>
      <w:r w:rsidR="00326973" w:rsidRPr="00FE3D52">
        <w:rPr>
          <w:rFonts w:eastAsia="Calibri" w:cs="Tahoma"/>
          <w:color w:val="000000"/>
          <w:lang w:eastAsia="es-ES_tradnl"/>
        </w:rPr>
        <w:t xml:space="preserve">por lo que, </w:t>
      </w:r>
      <w:r w:rsidR="00D06FEA" w:rsidRPr="00FE3D52">
        <w:rPr>
          <w:rFonts w:eastAsia="Calibri" w:cs="Tahoma"/>
          <w:color w:val="000000"/>
          <w:lang w:eastAsia="es-ES_tradnl"/>
        </w:rPr>
        <w:t xml:space="preserve">el presente medio de impugnación </w:t>
      </w:r>
      <w:r w:rsidR="00326973" w:rsidRPr="00FE3D52">
        <w:rPr>
          <w:rFonts w:eastAsia="Calibri" w:cs="Tahoma"/>
          <w:color w:val="000000"/>
          <w:lang w:eastAsia="es-ES_tradnl"/>
        </w:rPr>
        <w:t>debe sobreseerse por quedar sin materia.</w:t>
      </w:r>
    </w:p>
    <w:p w14:paraId="66D1AA87" w14:textId="77777777" w:rsidR="0079651D" w:rsidRPr="00FE3D52" w:rsidRDefault="0079651D" w:rsidP="00193FEE">
      <w:pPr>
        <w:spacing w:after="0" w:line="360" w:lineRule="auto"/>
        <w:rPr>
          <w:rFonts w:eastAsia="Calibri" w:cs="Tahoma"/>
          <w:color w:val="000000"/>
          <w:lang w:eastAsia="es-ES_tradnl"/>
        </w:rPr>
      </w:pPr>
    </w:p>
    <w:p w14:paraId="2880D118" w14:textId="40B698C7" w:rsidR="00B576BE" w:rsidRPr="00FE3D52" w:rsidRDefault="008F60A2" w:rsidP="00193FEE">
      <w:pPr>
        <w:spacing w:after="0" w:line="360" w:lineRule="auto"/>
        <w:rPr>
          <w:rFonts w:eastAsia="Calibri" w:cs="Tahoma"/>
          <w:color w:val="000000"/>
          <w:lang w:eastAsia="es-ES_tradnl"/>
        </w:rPr>
      </w:pPr>
      <w:r w:rsidRPr="00FE3D52">
        <w:rPr>
          <w:rFonts w:eastAsia="Calibri" w:cs="Tahoma"/>
          <w:color w:val="000000"/>
          <w:lang w:eastAsia="es-ES_tradnl"/>
        </w:rPr>
        <w:t>No se deja de lado que, se dejan a salvo los derechos de la solicitante para que, en caso de considerarlo pueda acceder a los datos personales de fallecidos, contenidos en el sistema de referencia.</w:t>
      </w:r>
    </w:p>
    <w:p w14:paraId="1C3B9D28" w14:textId="77777777" w:rsidR="00B576BE" w:rsidRPr="00FE3D52" w:rsidRDefault="00B576BE" w:rsidP="00193FEE">
      <w:pPr>
        <w:spacing w:after="0" w:line="360" w:lineRule="auto"/>
        <w:rPr>
          <w:rFonts w:eastAsia="Calibri" w:cs="Tahoma"/>
          <w:color w:val="000000"/>
          <w:lang w:eastAsia="es-ES_tradnl"/>
        </w:rPr>
      </w:pPr>
    </w:p>
    <w:p w14:paraId="4644536B" w14:textId="4174FCB8" w:rsidR="004612EB" w:rsidRPr="00FE3D52" w:rsidRDefault="00C142CD" w:rsidP="009461D1">
      <w:pPr>
        <w:pStyle w:val="Ttulo2"/>
      </w:pPr>
      <w:bookmarkStart w:id="18" w:name="_Toc180624206"/>
      <w:r w:rsidRPr="00FE3D52">
        <w:t>CUARTO</w:t>
      </w:r>
      <w:r w:rsidR="00E04852" w:rsidRPr="00FE3D52">
        <w:t>. Decisión</w:t>
      </w:r>
      <w:bookmarkEnd w:id="18"/>
    </w:p>
    <w:p w14:paraId="245FFC93" w14:textId="77777777" w:rsidR="004612EB" w:rsidRPr="00FE3D52" w:rsidRDefault="004612EB" w:rsidP="00395EF6">
      <w:pPr>
        <w:tabs>
          <w:tab w:val="left" w:pos="4667"/>
        </w:tabs>
        <w:spacing w:after="0" w:line="360" w:lineRule="auto"/>
        <w:contextualSpacing/>
        <w:rPr>
          <w:rFonts w:cs="Tahoma"/>
          <w:b/>
          <w:iCs/>
        </w:rPr>
      </w:pPr>
    </w:p>
    <w:p w14:paraId="72FD1993" w14:textId="03B11F76" w:rsidR="009D486F" w:rsidRPr="00FE3D52" w:rsidRDefault="00666BB9" w:rsidP="00E82B12">
      <w:pPr>
        <w:spacing w:after="0" w:line="360" w:lineRule="auto"/>
        <w:contextualSpacing/>
        <w:rPr>
          <w:rFonts w:cs="Tahoma"/>
          <w:bCs/>
          <w:iCs/>
        </w:rPr>
      </w:pPr>
      <w:r w:rsidRPr="00FE3D52">
        <w:rPr>
          <w:rFonts w:cs="Tahoma"/>
          <w:bCs/>
          <w:iCs/>
        </w:rPr>
        <w:lastRenderedPageBreak/>
        <w:t xml:space="preserve">Con fundamento en el artículo 137 fracción </w:t>
      </w:r>
      <w:r w:rsidR="00114EA1" w:rsidRPr="00FE3D52">
        <w:rPr>
          <w:rFonts w:cs="Tahoma"/>
          <w:bCs/>
          <w:iCs/>
        </w:rPr>
        <w:t>I</w:t>
      </w:r>
      <w:r w:rsidRPr="00FE3D52">
        <w:rPr>
          <w:rFonts w:cs="Tahoma"/>
          <w:bCs/>
          <w:iCs/>
        </w:rPr>
        <w:t xml:space="preserve"> de la Ley de Protección de Datos Personales en Posesión de Sujetos Obligados del Estado de México y Municipios y 186, fracción </w:t>
      </w:r>
      <w:r w:rsidR="009B09E4" w:rsidRPr="00FE3D52">
        <w:rPr>
          <w:rFonts w:cs="Tahoma"/>
          <w:bCs/>
          <w:iCs/>
        </w:rPr>
        <w:t>I</w:t>
      </w:r>
      <w:r w:rsidRPr="00FE3D52">
        <w:rPr>
          <w:rFonts w:cs="Tahoma"/>
          <w:bCs/>
          <w:iCs/>
        </w:rPr>
        <w:t xml:space="preserve">, de la Ley de Transparencia y Acceso a la Información Pública del Estado de México y Municipios, este Instituto considera procedente </w:t>
      </w:r>
      <w:r w:rsidR="009B09E4" w:rsidRPr="00FE3D52">
        <w:rPr>
          <w:rFonts w:cs="Tahoma"/>
          <w:b/>
          <w:bCs/>
          <w:iCs/>
        </w:rPr>
        <w:t>SOBRESEER</w:t>
      </w:r>
      <w:r w:rsidRPr="00FE3D52">
        <w:rPr>
          <w:rFonts w:cs="Tahoma"/>
          <w:b/>
          <w:bCs/>
          <w:iCs/>
        </w:rPr>
        <w:t xml:space="preserve"> </w:t>
      </w:r>
      <w:r w:rsidR="009B09E4" w:rsidRPr="00FE3D52">
        <w:rPr>
          <w:rFonts w:cs="Tahoma"/>
          <w:bCs/>
          <w:iCs/>
        </w:rPr>
        <w:t xml:space="preserve">el presente asunto, </w:t>
      </w:r>
      <w:r w:rsidR="00C71A01" w:rsidRPr="00FE3D52">
        <w:rPr>
          <w:rFonts w:cs="Tahoma"/>
          <w:bCs/>
          <w:iCs/>
        </w:rPr>
        <w:t xml:space="preserve">en términos de los artículos 117 fracción III, y </w:t>
      </w:r>
      <w:r w:rsidR="009E126B" w:rsidRPr="00FE3D52">
        <w:rPr>
          <w:rFonts w:cs="Tahoma"/>
          <w:bCs/>
          <w:iCs/>
        </w:rPr>
        <w:t>139 fracciones III y V de la Ley de Protección de Datos Personales en Posesión de Sujetos Obligados del Est</w:t>
      </w:r>
      <w:r w:rsidR="00BA5CDE" w:rsidRPr="00FE3D52">
        <w:rPr>
          <w:rFonts w:cs="Tahoma"/>
          <w:bCs/>
          <w:iCs/>
        </w:rPr>
        <w:t>ado de México y Municipios</w:t>
      </w:r>
      <w:r w:rsidR="009D486F" w:rsidRPr="00FE3D52">
        <w:rPr>
          <w:rFonts w:cs="Tahoma"/>
          <w:bCs/>
          <w:iCs/>
        </w:rPr>
        <w:t>.</w:t>
      </w:r>
    </w:p>
    <w:p w14:paraId="72CB157C" w14:textId="77777777" w:rsidR="009D486F" w:rsidRPr="00FE3D52" w:rsidRDefault="009D486F" w:rsidP="009D486F">
      <w:pPr>
        <w:spacing w:after="0" w:line="360" w:lineRule="auto"/>
        <w:rPr>
          <w:rFonts w:cs="Tahoma"/>
          <w:bCs/>
          <w:iCs/>
        </w:rPr>
      </w:pPr>
    </w:p>
    <w:p w14:paraId="384975F9" w14:textId="0C3C61BC" w:rsidR="004612EB" w:rsidRPr="00FE3D52" w:rsidRDefault="004612EB" w:rsidP="00395EF6">
      <w:pPr>
        <w:tabs>
          <w:tab w:val="left" w:pos="4667"/>
        </w:tabs>
        <w:spacing w:after="0" w:line="360" w:lineRule="auto"/>
        <w:contextualSpacing/>
        <w:rPr>
          <w:rFonts w:cs="Tahoma"/>
          <w:bCs/>
          <w:iCs/>
        </w:rPr>
      </w:pPr>
      <w:r w:rsidRPr="00FE3D52">
        <w:rPr>
          <w:rFonts w:cs="Tahoma"/>
          <w:b/>
          <w:bCs/>
          <w:u w:val="single"/>
        </w:rPr>
        <w:t>Términos de la Resolución para conocimiento del Particular</w:t>
      </w:r>
    </w:p>
    <w:p w14:paraId="65BD1DA1" w14:textId="77777777" w:rsidR="004612EB" w:rsidRPr="00FE3D52" w:rsidRDefault="004612EB" w:rsidP="00395EF6">
      <w:pPr>
        <w:tabs>
          <w:tab w:val="left" w:pos="4667"/>
        </w:tabs>
        <w:spacing w:after="0" w:line="360" w:lineRule="auto"/>
        <w:contextualSpacing/>
        <w:rPr>
          <w:rFonts w:cs="Tahoma"/>
          <w:bCs/>
          <w:iCs/>
        </w:rPr>
      </w:pPr>
    </w:p>
    <w:p w14:paraId="75C24476" w14:textId="4E89183A" w:rsidR="004612EB" w:rsidRPr="00FE3D52" w:rsidRDefault="00E04852" w:rsidP="00395EF6">
      <w:pPr>
        <w:tabs>
          <w:tab w:val="left" w:pos="4667"/>
        </w:tabs>
        <w:spacing w:after="0" w:line="360" w:lineRule="auto"/>
        <w:contextualSpacing/>
        <w:rPr>
          <w:rFonts w:cs="Tahoma"/>
          <w:bCs/>
          <w:iCs/>
        </w:rPr>
      </w:pPr>
      <w:r w:rsidRPr="00FE3D52">
        <w:rPr>
          <w:rFonts w:cs="Tahoma"/>
          <w:bCs/>
          <w:iCs/>
        </w:rPr>
        <w:t xml:space="preserve">Este Instituto Garante, </w:t>
      </w:r>
      <w:r w:rsidR="00BA5CDE" w:rsidRPr="00FE3D52">
        <w:rPr>
          <w:rFonts w:cs="Tahoma"/>
          <w:bCs/>
          <w:iCs/>
        </w:rPr>
        <w:t xml:space="preserve">consideró que </w:t>
      </w:r>
      <w:r w:rsidR="00326973" w:rsidRPr="00FE3D52">
        <w:rPr>
          <w:rFonts w:cs="Tahoma"/>
          <w:bCs/>
          <w:iCs/>
        </w:rPr>
        <w:t xml:space="preserve">no es procedente conceder </w:t>
      </w:r>
      <w:r w:rsidR="00BA5CDE" w:rsidRPr="00FE3D52">
        <w:rPr>
          <w:rFonts w:cs="Tahoma"/>
          <w:bCs/>
          <w:iCs/>
        </w:rPr>
        <w:t xml:space="preserve">el acceso a </w:t>
      </w:r>
      <w:r w:rsidR="00326973" w:rsidRPr="00FE3D52">
        <w:rPr>
          <w:rFonts w:cs="Tahoma"/>
          <w:bCs/>
          <w:iCs/>
        </w:rPr>
        <w:t xml:space="preserve">los </w:t>
      </w:r>
      <w:r w:rsidR="00BA5CDE" w:rsidRPr="00FE3D52">
        <w:rPr>
          <w:rFonts w:cs="Tahoma"/>
          <w:bCs/>
          <w:iCs/>
        </w:rPr>
        <w:t>datos personales</w:t>
      </w:r>
      <w:r w:rsidR="00326973" w:rsidRPr="00FE3D52">
        <w:rPr>
          <w:rFonts w:cs="Tahoma"/>
          <w:bCs/>
          <w:iCs/>
        </w:rPr>
        <w:t xml:space="preserve"> de usuario y contraseña de su esposo fallecido</w:t>
      </w:r>
      <w:r w:rsidR="00BA5CDE" w:rsidRPr="00FE3D52">
        <w:rPr>
          <w:rFonts w:cs="Tahoma"/>
          <w:bCs/>
          <w:iCs/>
        </w:rPr>
        <w:t xml:space="preserve">, debido a que </w:t>
      </w:r>
      <w:r w:rsidR="00A52C28" w:rsidRPr="00FE3D52">
        <w:rPr>
          <w:rFonts w:cs="Tahoma"/>
          <w:bCs/>
          <w:iCs/>
        </w:rPr>
        <w:t xml:space="preserve">ese derecho implica el acceso a una plataforma digital, </w:t>
      </w:r>
      <w:r w:rsidR="00326973" w:rsidRPr="00FE3D52">
        <w:rPr>
          <w:rFonts w:cs="Tahoma"/>
          <w:bCs/>
          <w:iCs/>
        </w:rPr>
        <w:t>que le permitiría actuar como si se tratara del propio titular de los datos personales.</w:t>
      </w:r>
    </w:p>
    <w:p w14:paraId="1E7217BD" w14:textId="77777777" w:rsidR="004612EB" w:rsidRPr="00FE3D52" w:rsidRDefault="004612EB" w:rsidP="00395EF6">
      <w:pPr>
        <w:tabs>
          <w:tab w:val="left" w:pos="4667"/>
        </w:tabs>
        <w:spacing w:after="0" w:line="360" w:lineRule="auto"/>
        <w:contextualSpacing/>
        <w:rPr>
          <w:rFonts w:cs="Tahoma"/>
          <w:bCs/>
          <w:iCs/>
        </w:rPr>
      </w:pPr>
    </w:p>
    <w:p w14:paraId="6009B83B" w14:textId="77777777" w:rsidR="004612EB" w:rsidRPr="00FE3D52" w:rsidRDefault="00E04852" w:rsidP="00395EF6">
      <w:pPr>
        <w:tabs>
          <w:tab w:val="left" w:pos="4667"/>
        </w:tabs>
        <w:spacing w:after="0" w:line="360" w:lineRule="auto"/>
        <w:contextualSpacing/>
        <w:rPr>
          <w:rFonts w:cs="Tahoma"/>
          <w:bCs/>
          <w:iCs/>
          <w:u w:val="single"/>
        </w:rPr>
      </w:pPr>
      <w:r w:rsidRPr="00FE3D52">
        <w:rPr>
          <w:rFonts w:cs="Tahoma"/>
          <w:bCs/>
          <w:iCs/>
          <w:u w:val="single"/>
        </w:rPr>
        <w:t xml:space="preserve">La labor del INFOEM, es apoyar a la población para acceder a la información pública y garantizar la protección de sus datos personales. </w:t>
      </w:r>
    </w:p>
    <w:p w14:paraId="0B893CA0" w14:textId="77777777" w:rsidR="004612EB" w:rsidRPr="00FE3D52" w:rsidRDefault="004612EB" w:rsidP="00395EF6">
      <w:pPr>
        <w:tabs>
          <w:tab w:val="left" w:pos="4667"/>
        </w:tabs>
        <w:spacing w:after="0" w:line="360" w:lineRule="auto"/>
        <w:contextualSpacing/>
        <w:rPr>
          <w:rFonts w:cs="Tahoma"/>
          <w:bCs/>
          <w:iCs/>
        </w:rPr>
      </w:pPr>
    </w:p>
    <w:p w14:paraId="0CA6E0D4" w14:textId="77777777" w:rsidR="004612EB" w:rsidRPr="00FE3D52" w:rsidRDefault="00E04852" w:rsidP="00395EF6">
      <w:pPr>
        <w:tabs>
          <w:tab w:val="left" w:pos="4667"/>
        </w:tabs>
        <w:spacing w:after="0" w:line="360" w:lineRule="auto"/>
        <w:contextualSpacing/>
        <w:rPr>
          <w:rFonts w:cs="Tahoma"/>
          <w:bCs/>
          <w:iCs/>
        </w:rPr>
      </w:pPr>
      <w:r w:rsidRPr="00FE3D52">
        <w:rPr>
          <w:rFonts w:cs="Tahoma"/>
          <w:bCs/>
          <w:iCs/>
        </w:rPr>
        <w:t xml:space="preserve">Por lo expuesto y fundado, este Pleno: </w:t>
      </w:r>
    </w:p>
    <w:p w14:paraId="3091E4CC" w14:textId="77777777" w:rsidR="003F399A" w:rsidRPr="00FE3D52" w:rsidRDefault="003F399A" w:rsidP="003F399A">
      <w:pPr>
        <w:pStyle w:val="Ttulo1"/>
        <w:rPr>
          <w:lang w:val="pt-BR"/>
        </w:rPr>
      </w:pPr>
      <w:bookmarkStart w:id="19" w:name="_Toc180624207"/>
      <w:r w:rsidRPr="00FE3D52">
        <w:rPr>
          <w:lang w:val="pt-BR"/>
        </w:rPr>
        <w:t>R E S U E L V E</w:t>
      </w:r>
      <w:bookmarkEnd w:id="19"/>
    </w:p>
    <w:p w14:paraId="680342DE" w14:textId="77777777" w:rsidR="003F399A" w:rsidRPr="00FE3D52" w:rsidRDefault="003F399A" w:rsidP="003F399A">
      <w:pPr>
        <w:tabs>
          <w:tab w:val="left" w:pos="4667"/>
        </w:tabs>
        <w:spacing w:after="0" w:line="360" w:lineRule="auto"/>
        <w:contextualSpacing/>
        <w:rPr>
          <w:rFonts w:cs="Tahoma"/>
          <w:bCs/>
          <w:iCs/>
          <w:lang w:val="pt-BR"/>
        </w:rPr>
      </w:pPr>
    </w:p>
    <w:p w14:paraId="602939E7" w14:textId="2544EDCE" w:rsidR="003F399A" w:rsidRPr="00FE3D52" w:rsidRDefault="003F399A" w:rsidP="003F399A">
      <w:pPr>
        <w:tabs>
          <w:tab w:val="left" w:pos="4667"/>
        </w:tabs>
        <w:spacing w:after="0" w:line="360" w:lineRule="auto"/>
        <w:contextualSpacing/>
        <w:rPr>
          <w:rFonts w:cs="Tahoma"/>
          <w:bCs/>
          <w:iCs/>
        </w:rPr>
      </w:pPr>
      <w:r w:rsidRPr="00FE3D52">
        <w:rPr>
          <w:rFonts w:cs="Tahoma"/>
          <w:b/>
          <w:iCs/>
          <w:lang w:val="pt-BR"/>
        </w:rPr>
        <w:t>PRIMERO</w:t>
      </w:r>
      <w:r w:rsidRPr="00FE3D52">
        <w:rPr>
          <w:rFonts w:cs="Tahoma"/>
          <w:bCs/>
          <w:iCs/>
          <w:lang w:val="pt-BR"/>
        </w:rPr>
        <w:t xml:space="preserve">. </w:t>
      </w:r>
      <w:r w:rsidRPr="00FE3D52">
        <w:rPr>
          <w:rFonts w:cs="Tahoma"/>
          <w:bCs/>
          <w:iCs/>
        </w:rPr>
        <w:t xml:space="preserve">Se </w:t>
      </w:r>
      <w:r w:rsidRPr="00FE3D52">
        <w:rPr>
          <w:rFonts w:cs="Tahoma"/>
          <w:b/>
          <w:iCs/>
        </w:rPr>
        <w:t>SOBRESEE</w:t>
      </w:r>
      <w:r w:rsidRPr="00FE3D52">
        <w:rPr>
          <w:rFonts w:cs="Tahoma"/>
          <w:bCs/>
          <w:iCs/>
        </w:rPr>
        <w:t xml:space="preserve"> el Recurso de Revisión </w:t>
      </w:r>
      <w:r w:rsidRPr="00FE3D52">
        <w:rPr>
          <w:rFonts w:cs="Tahoma"/>
          <w:b/>
          <w:iCs/>
        </w:rPr>
        <w:t>03436/INFOEM/AD/RR/2024</w:t>
      </w:r>
      <w:r w:rsidRPr="00FE3D52">
        <w:rPr>
          <w:rFonts w:cs="Tahoma"/>
          <w:bCs/>
          <w:iCs/>
        </w:rPr>
        <w:t xml:space="preserve">, toda vez que </w:t>
      </w:r>
      <w:r w:rsidR="00D85BDB" w:rsidRPr="00FE3D52">
        <w:rPr>
          <w:rFonts w:cs="Tahoma"/>
          <w:bCs/>
          <w:iCs/>
        </w:rPr>
        <w:t>el recurso de revisión quedó sin materia</w:t>
      </w:r>
      <w:r w:rsidRPr="00FE3D52">
        <w:rPr>
          <w:rFonts w:cs="Tahoma"/>
          <w:bCs/>
          <w:iCs/>
        </w:rPr>
        <w:t xml:space="preserve">, en términos de los artículos </w:t>
      </w:r>
      <w:r w:rsidR="003900D6" w:rsidRPr="00FE3D52">
        <w:rPr>
          <w:rFonts w:cs="Tahoma"/>
          <w:bCs/>
          <w:iCs/>
        </w:rPr>
        <w:t>117</w:t>
      </w:r>
      <w:r w:rsidR="00D06FEA" w:rsidRPr="00FE3D52">
        <w:rPr>
          <w:rFonts w:cs="Tahoma"/>
          <w:bCs/>
          <w:iCs/>
        </w:rPr>
        <w:t>,</w:t>
      </w:r>
      <w:r w:rsidR="003900D6" w:rsidRPr="00FE3D52">
        <w:rPr>
          <w:rFonts w:cs="Tahoma"/>
          <w:bCs/>
          <w:iCs/>
        </w:rPr>
        <w:t xml:space="preserve"> fracción III y 139 fracci</w:t>
      </w:r>
      <w:r w:rsidR="00D85BDB" w:rsidRPr="00FE3D52">
        <w:rPr>
          <w:rFonts w:cs="Tahoma"/>
          <w:bCs/>
          <w:iCs/>
        </w:rPr>
        <w:t>ón</w:t>
      </w:r>
      <w:r w:rsidR="003900D6" w:rsidRPr="00FE3D52">
        <w:rPr>
          <w:rFonts w:cs="Tahoma"/>
          <w:bCs/>
          <w:iCs/>
        </w:rPr>
        <w:t xml:space="preserve"> </w:t>
      </w:r>
      <w:r w:rsidR="00E52970" w:rsidRPr="00FE3D52">
        <w:rPr>
          <w:rFonts w:cs="Tahoma"/>
          <w:bCs/>
          <w:iCs/>
        </w:rPr>
        <w:t>V</w:t>
      </w:r>
      <w:r w:rsidRPr="00FE3D52">
        <w:rPr>
          <w:rFonts w:cs="Tahoma"/>
          <w:bCs/>
          <w:iCs/>
        </w:rPr>
        <w:t xml:space="preserve">, de la Ley de Protección de Datos Personales en Posesión de Sujetos Obligados del Estado de México y Municipios, de conformidad con los Considerandos TERCERO y CUARTO de la presente Resolución. </w:t>
      </w:r>
    </w:p>
    <w:p w14:paraId="289F4B68" w14:textId="77777777" w:rsidR="003F399A" w:rsidRPr="00FE3D52" w:rsidRDefault="003F399A" w:rsidP="003F399A">
      <w:pPr>
        <w:tabs>
          <w:tab w:val="left" w:pos="4667"/>
        </w:tabs>
        <w:spacing w:after="0" w:line="360" w:lineRule="auto"/>
        <w:contextualSpacing/>
        <w:rPr>
          <w:rFonts w:cs="Tahoma"/>
          <w:bCs/>
          <w:iCs/>
        </w:rPr>
      </w:pPr>
    </w:p>
    <w:p w14:paraId="021C8B42" w14:textId="77777777" w:rsidR="003F399A" w:rsidRPr="00FE3D52" w:rsidRDefault="003F399A" w:rsidP="003F399A">
      <w:pPr>
        <w:tabs>
          <w:tab w:val="left" w:pos="4667"/>
        </w:tabs>
        <w:spacing w:after="0" w:line="360" w:lineRule="auto"/>
        <w:contextualSpacing/>
        <w:rPr>
          <w:rFonts w:cs="Tahoma"/>
          <w:bCs/>
          <w:iCs/>
        </w:rPr>
      </w:pPr>
      <w:r w:rsidRPr="00FE3D52">
        <w:rPr>
          <w:rFonts w:cs="Tahoma"/>
          <w:b/>
          <w:iCs/>
        </w:rPr>
        <w:lastRenderedPageBreak/>
        <w:t>SEGUNDO</w:t>
      </w:r>
      <w:r w:rsidRPr="00FE3D52">
        <w:rPr>
          <w:rFonts w:cs="Tahoma"/>
          <w:bCs/>
          <w:iCs/>
        </w:rPr>
        <w:t xml:space="preserve">. </w:t>
      </w:r>
      <w:r w:rsidRPr="00FE3D52">
        <w:rPr>
          <w:rFonts w:cs="Tahoma"/>
          <w:b/>
          <w:iCs/>
        </w:rPr>
        <w:t>Notifíquese por SARCOEM</w:t>
      </w:r>
      <w:r w:rsidRPr="00FE3D52">
        <w:rPr>
          <w:rFonts w:cs="Tahoma"/>
          <w:bCs/>
          <w:iCs/>
        </w:rPr>
        <w:t xml:space="preserve"> la presente resolución al Titular de la Unidad de Transparencia del Sujeto Obligado.</w:t>
      </w:r>
    </w:p>
    <w:p w14:paraId="1C17187A" w14:textId="77777777" w:rsidR="003F399A" w:rsidRPr="00FE3D52" w:rsidRDefault="003F399A" w:rsidP="003F399A">
      <w:pPr>
        <w:tabs>
          <w:tab w:val="left" w:pos="4667"/>
        </w:tabs>
        <w:spacing w:after="0" w:line="360" w:lineRule="auto"/>
        <w:contextualSpacing/>
        <w:rPr>
          <w:rFonts w:cs="Tahoma"/>
          <w:bCs/>
          <w:iCs/>
        </w:rPr>
      </w:pPr>
    </w:p>
    <w:p w14:paraId="3D12CE53" w14:textId="77777777" w:rsidR="003F399A" w:rsidRPr="00FE3D52" w:rsidRDefault="003F399A" w:rsidP="003F399A">
      <w:pPr>
        <w:tabs>
          <w:tab w:val="left" w:pos="4667"/>
        </w:tabs>
        <w:spacing w:after="0" w:line="360" w:lineRule="auto"/>
        <w:contextualSpacing/>
        <w:rPr>
          <w:rFonts w:cs="Tahoma"/>
          <w:bCs/>
          <w:iCs/>
        </w:rPr>
      </w:pPr>
      <w:r w:rsidRPr="00FE3D52">
        <w:rPr>
          <w:rFonts w:cs="Tahoma"/>
          <w:b/>
          <w:iCs/>
        </w:rPr>
        <w:t>TERCERO</w:t>
      </w:r>
      <w:r w:rsidRPr="00FE3D52">
        <w:rPr>
          <w:rFonts w:cs="Tahoma"/>
          <w:bCs/>
          <w:iCs/>
        </w:rPr>
        <w:t xml:space="preserve">. </w:t>
      </w:r>
      <w:r w:rsidRPr="00FE3D52">
        <w:rPr>
          <w:rFonts w:cs="Tahoma"/>
          <w:b/>
          <w:iCs/>
        </w:rPr>
        <w:t>Notifíquese por SARCOEM</w:t>
      </w:r>
      <w:r w:rsidRPr="00FE3D52">
        <w:rPr>
          <w:rFonts w:cs="Tahoma"/>
          <w:bCs/>
          <w:iCs/>
        </w:rPr>
        <w:t xml:space="preserve"> al Particular la presente resolución; asimismo, se hace de su conocimiento que de conformidad con lo establecido en el artículo 142 de la Ley de Protección de Datos Personales en Posesión de Sujetos Obligados del Estado de México y Municipios podrá promover Juicio de Amparo en los términos de las leyes aplicables.</w:t>
      </w:r>
    </w:p>
    <w:p w14:paraId="15821401" w14:textId="77777777" w:rsidR="003F399A" w:rsidRPr="00FE3D52" w:rsidRDefault="003F399A" w:rsidP="003F399A">
      <w:pPr>
        <w:tabs>
          <w:tab w:val="left" w:pos="4667"/>
        </w:tabs>
        <w:spacing w:after="0" w:line="360" w:lineRule="auto"/>
        <w:contextualSpacing/>
        <w:rPr>
          <w:rFonts w:cs="Tahoma"/>
          <w:bCs/>
          <w:iCs/>
        </w:rPr>
      </w:pPr>
    </w:p>
    <w:p w14:paraId="3A4639A3" w14:textId="1C06C225" w:rsidR="003F399A" w:rsidRPr="0048373C" w:rsidRDefault="003F399A" w:rsidP="003F399A">
      <w:pPr>
        <w:spacing w:after="0" w:line="360" w:lineRule="auto"/>
        <w:rPr>
          <w:rFonts w:eastAsia="Calibri" w:cs="Tahoma"/>
          <w:bCs/>
        </w:rPr>
      </w:pPr>
      <w:r w:rsidRPr="00FE3D52">
        <w:rPr>
          <w:rFonts w:eastAsia="Calibri" w:cs="Tahoma"/>
          <w:bCs/>
        </w:rPr>
        <w:t xml:space="preserve">ASÍ LO RESUELVE, POR </w:t>
      </w:r>
      <w:r w:rsidRPr="00D00012">
        <w:rPr>
          <w:rFonts w:eastAsia="Calibri" w:cs="Tahoma"/>
          <w:b/>
          <w:bCs/>
        </w:rPr>
        <w:t xml:space="preserve">UNANIMIDAD </w:t>
      </w:r>
      <w:r w:rsidRPr="00FE3D52">
        <w:rPr>
          <w:rFonts w:eastAsia="Calibri" w:cs="Tahoma"/>
          <w:bCs/>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E52970" w:rsidRPr="00FE3D52">
        <w:rPr>
          <w:rFonts w:eastAsia="Calibri" w:cs="Tahoma"/>
          <w:bCs/>
        </w:rPr>
        <w:t>OCTAVA</w:t>
      </w:r>
      <w:r w:rsidRPr="00FE3D52">
        <w:rPr>
          <w:rFonts w:eastAsia="Calibri" w:cs="Tahoma"/>
          <w:bCs/>
        </w:rPr>
        <w:t xml:space="preserve"> SESIÓN ORDINARIA, CELEBRADA EL </w:t>
      </w:r>
      <w:r w:rsidR="00E52970" w:rsidRPr="00FE3D52">
        <w:rPr>
          <w:rFonts w:eastAsia="Calibri" w:cs="Tahoma"/>
          <w:bCs/>
        </w:rPr>
        <w:t>SEIS</w:t>
      </w:r>
      <w:r w:rsidRPr="00FE3D52">
        <w:rPr>
          <w:rFonts w:eastAsia="Calibri" w:cs="Tahoma"/>
          <w:bCs/>
        </w:rPr>
        <w:t xml:space="preserve"> DE </w:t>
      </w:r>
      <w:r w:rsidR="00E52970" w:rsidRPr="00FE3D52">
        <w:rPr>
          <w:rFonts w:eastAsia="Calibri" w:cs="Tahoma"/>
          <w:bCs/>
        </w:rPr>
        <w:t>NOVIEMBRE</w:t>
      </w:r>
      <w:r w:rsidRPr="00FE3D52">
        <w:rPr>
          <w:rFonts w:eastAsia="Calibri" w:cs="Tahoma"/>
          <w:bCs/>
        </w:rPr>
        <w:t xml:space="preserve"> DE DOS MIL VEINTICUATRO, ANTE EL SECRETARIO TÉCNICO DEL PLENO ALEXIS TAPIA RAMÍREZ.</w:t>
      </w:r>
    </w:p>
    <w:p w14:paraId="482BF2F3" w14:textId="77777777" w:rsidR="004A1A0A" w:rsidRDefault="004A1A0A" w:rsidP="00395EF6">
      <w:pPr>
        <w:spacing w:after="0" w:line="360" w:lineRule="auto"/>
        <w:rPr>
          <w:rFonts w:eastAsia="Calibri" w:cs="Tahoma"/>
          <w:bCs/>
        </w:rPr>
      </w:pPr>
    </w:p>
    <w:p w14:paraId="22097F35" w14:textId="77777777" w:rsidR="00D51763" w:rsidRPr="003D2E44" w:rsidRDefault="00D51763" w:rsidP="00395EF6">
      <w:pPr>
        <w:tabs>
          <w:tab w:val="left" w:pos="4667"/>
        </w:tabs>
        <w:spacing w:after="0" w:line="360" w:lineRule="auto"/>
        <w:contextualSpacing/>
        <w:rPr>
          <w:rFonts w:cs="Tahoma"/>
          <w:bCs/>
          <w:iCs/>
        </w:rPr>
      </w:pPr>
    </w:p>
    <w:p w14:paraId="0ACB07E2" w14:textId="77777777" w:rsidR="00D51763" w:rsidRPr="003D2E44" w:rsidRDefault="00D51763" w:rsidP="00395EF6">
      <w:pPr>
        <w:tabs>
          <w:tab w:val="left" w:pos="4667"/>
        </w:tabs>
        <w:spacing w:after="0" w:line="360" w:lineRule="auto"/>
        <w:contextualSpacing/>
        <w:rPr>
          <w:rFonts w:cs="Tahoma"/>
          <w:bCs/>
          <w:iCs/>
        </w:rPr>
      </w:pPr>
    </w:p>
    <w:p w14:paraId="1C446834" w14:textId="77777777" w:rsidR="00A7101A" w:rsidRDefault="00A7101A" w:rsidP="00395EF6">
      <w:pPr>
        <w:tabs>
          <w:tab w:val="left" w:pos="4667"/>
        </w:tabs>
        <w:spacing w:after="0" w:line="360" w:lineRule="auto"/>
        <w:contextualSpacing/>
        <w:rPr>
          <w:rFonts w:cs="Tahoma"/>
          <w:bCs/>
          <w:iCs/>
        </w:rPr>
      </w:pPr>
    </w:p>
    <w:p w14:paraId="26ECB71E" w14:textId="77777777" w:rsidR="00FE3D52" w:rsidRDefault="00FE3D52" w:rsidP="00395EF6">
      <w:pPr>
        <w:tabs>
          <w:tab w:val="left" w:pos="4667"/>
        </w:tabs>
        <w:spacing w:after="0" w:line="360" w:lineRule="auto"/>
        <w:contextualSpacing/>
        <w:rPr>
          <w:rFonts w:cs="Tahoma"/>
          <w:bCs/>
          <w:iCs/>
        </w:rPr>
      </w:pPr>
    </w:p>
    <w:p w14:paraId="6239C32D" w14:textId="77777777" w:rsidR="00FE3D52" w:rsidRDefault="00FE3D52" w:rsidP="00395EF6">
      <w:pPr>
        <w:tabs>
          <w:tab w:val="left" w:pos="4667"/>
        </w:tabs>
        <w:spacing w:after="0" w:line="360" w:lineRule="auto"/>
        <w:contextualSpacing/>
        <w:rPr>
          <w:rFonts w:cs="Tahoma"/>
          <w:bCs/>
          <w:iCs/>
        </w:rPr>
      </w:pPr>
    </w:p>
    <w:p w14:paraId="5D0187E9" w14:textId="77777777" w:rsidR="00FE3D52" w:rsidRDefault="00FE3D52" w:rsidP="00395EF6">
      <w:pPr>
        <w:tabs>
          <w:tab w:val="left" w:pos="4667"/>
        </w:tabs>
        <w:spacing w:after="0" w:line="360" w:lineRule="auto"/>
        <w:contextualSpacing/>
        <w:rPr>
          <w:rFonts w:cs="Tahoma"/>
          <w:bCs/>
          <w:iCs/>
        </w:rPr>
      </w:pPr>
    </w:p>
    <w:p w14:paraId="1EC7EB6F" w14:textId="77777777" w:rsidR="00FE3D52" w:rsidRDefault="00FE3D52" w:rsidP="00395EF6">
      <w:pPr>
        <w:tabs>
          <w:tab w:val="left" w:pos="4667"/>
        </w:tabs>
        <w:spacing w:after="0" w:line="360" w:lineRule="auto"/>
        <w:contextualSpacing/>
        <w:rPr>
          <w:rFonts w:cs="Tahoma"/>
          <w:bCs/>
          <w:iCs/>
        </w:rPr>
      </w:pPr>
    </w:p>
    <w:p w14:paraId="769FC97A" w14:textId="77777777" w:rsidR="00FE3D52" w:rsidRDefault="00FE3D52" w:rsidP="00395EF6">
      <w:pPr>
        <w:tabs>
          <w:tab w:val="left" w:pos="4667"/>
        </w:tabs>
        <w:spacing w:after="0" w:line="360" w:lineRule="auto"/>
        <w:contextualSpacing/>
        <w:rPr>
          <w:rFonts w:cs="Tahoma"/>
          <w:bCs/>
          <w:iCs/>
        </w:rPr>
      </w:pPr>
    </w:p>
    <w:p w14:paraId="6B014A73" w14:textId="77777777" w:rsidR="00FE3D52" w:rsidRDefault="00FE3D52" w:rsidP="00395EF6">
      <w:pPr>
        <w:tabs>
          <w:tab w:val="left" w:pos="4667"/>
        </w:tabs>
        <w:spacing w:after="0" w:line="360" w:lineRule="auto"/>
        <w:contextualSpacing/>
        <w:rPr>
          <w:rFonts w:cs="Tahoma"/>
          <w:bCs/>
          <w:iCs/>
        </w:rPr>
      </w:pPr>
    </w:p>
    <w:p w14:paraId="2B9204CE" w14:textId="77777777" w:rsidR="00FE3D52" w:rsidRDefault="00FE3D52" w:rsidP="00395EF6">
      <w:pPr>
        <w:tabs>
          <w:tab w:val="left" w:pos="4667"/>
        </w:tabs>
        <w:spacing w:after="0" w:line="360" w:lineRule="auto"/>
        <w:contextualSpacing/>
        <w:rPr>
          <w:rFonts w:cs="Tahoma"/>
          <w:bCs/>
          <w:iCs/>
        </w:rPr>
      </w:pPr>
    </w:p>
    <w:p w14:paraId="1BCF2363" w14:textId="77777777" w:rsidR="00FE3D52" w:rsidRPr="003D2E44" w:rsidRDefault="00FE3D52" w:rsidP="00395EF6">
      <w:pPr>
        <w:tabs>
          <w:tab w:val="left" w:pos="4667"/>
        </w:tabs>
        <w:spacing w:after="0" w:line="360" w:lineRule="auto"/>
        <w:contextualSpacing/>
        <w:rPr>
          <w:rFonts w:cs="Tahoma"/>
          <w:bCs/>
          <w:iCs/>
        </w:rPr>
      </w:pPr>
    </w:p>
    <w:sectPr w:rsidR="00FE3D52" w:rsidRPr="003D2E44" w:rsidSect="00257840">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B1B16" w14:textId="77777777" w:rsidR="0057104F" w:rsidRDefault="0057104F" w:rsidP="001B2D84">
      <w:pPr>
        <w:spacing w:after="0" w:line="240" w:lineRule="auto"/>
      </w:pPr>
      <w:r>
        <w:separator/>
      </w:r>
    </w:p>
  </w:endnote>
  <w:endnote w:type="continuationSeparator" w:id="0">
    <w:p w14:paraId="04764510" w14:textId="77777777" w:rsidR="0057104F" w:rsidRDefault="0057104F"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A16A94" w:rsidRDefault="00A16A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27CA">
              <w:rPr>
                <w:b/>
                <w:bCs/>
                <w:noProof/>
              </w:rPr>
              <w:t>20</w:t>
            </w:r>
            <w:r>
              <w:rPr>
                <w:b/>
                <w:bCs/>
                <w:sz w:val="24"/>
                <w:szCs w:val="24"/>
              </w:rPr>
              <w:fldChar w:fldCharType="end"/>
            </w:r>
          </w:p>
        </w:sdtContent>
      </w:sdt>
    </w:sdtContent>
  </w:sdt>
  <w:p w14:paraId="030DF04C" w14:textId="77777777" w:rsidR="00A16A94" w:rsidRDefault="00A16A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A16A94" w:rsidRDefault="00A16A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7E85">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7E85">
              <w:rPr>
                <w:b/>
                <w:bCs/>
                <w:noProof/>
              </w:rPr>
              <w:t>20</w:t>
            </w:r>
            <w:r>
              <w:rPr>
                <w:b/>
                <w:bCs/>
                <w:sz w:val="24"/>
                <w:szCs w:val="24"/>
              </w:rPr>
              <w:fldChar w:fldCharType="end"/>
            </w:r>
          </w:p>
        </w:sdtContent>
      </w:sdt>
    </w:sdtContent>
  </w:sdt>
  <w:p w14:paraId="4B894158" w14:textId="77777777" w:rsidR="00A16A94" w:rsidRDefault="00A16A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A16A94" w:rsidRDefault="00A16A9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D7E8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D7E85">
              <w:rPr>
                <w:b/>
                <w:bCs/>
                <w:noProof/>
              </w:rPr>
              <w:t>20</w:t>
            </w:r>
            <w:r>
              <w:rPr>
                <w:b/>
                <w:bCs/>
                <w:sz w:val="24"/>
                <w:szCs w:val="24"/>
              </w:rPr>
              <w:fldChar w:fldCharType="end"/>
            </w:r>
          </w:p>
        </w:sdtContent>
      </w:sdt>
    </w:sdtContent>
  </w:sdt>
  <w:p w14:paraId="285A2109" w14:textId="77777777" w:rsidR="00A16A94" w:rsidRDefault="00A16A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715E" w14:textId="77777777" w:rsidR="0057104F" w:rsidRDefault="0057104F" w:rsidP="001B2D84">
      <w:pPr>
        <w:spacing w:after="0" w:line="240" w:lineRule="auto"/>
      </w:pPr>
      <w:r>
        <w:separator/>
      </w:r>
    </w:p>
  </w:footnote>
  <w:footnote w:type="continuationSeparator" w:id="0">
    <w:p w14:paraId="273784CC" w14:textId="77777777" w:rsidR="0057104F" w:rsidRDefault="0057104F"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16A94" w:rsidRPr="00E152D8" w14:paraId="31240F3C" w14:textId="77777777" w:rsidTr="009461D1">
      <w:trPr>
        <w:trHeight w:val="132"/>
      </w:trPr>
      <w:tc>
        <w:tcPr>
          <w:tcW w:w="2691" w:type="dxa"/>
        </w:tcPr>
        <w:p w14:paraId="0D3534F2"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A16A94" w:rsidRPr="00EE1572" w:rsidRDefault="00A16A94" w:rsidP="009461D1">
          <w:pPr>
            <w:tabs>
              <w:tab w:val="right" w:pos="8838"/>
            </w:tabs>
            <w:ind w:left="-28" w:right="-32"/>
            <w:rPr>
              <w:rFonts w:eastAsia="Calibri" w:cs="Tahoma"/>
            </w:rPr>
          </w:pPr>
          <w:r w:rsidRPr="00EE1572">
            <w:rPr>
              <w:rFonts w:eastAsia="Calibri" w:cs="Tahoma"/>
            </w:rPr>
            <w:t>03846/INFOEM/IP/RR/2020</w:t>
          </w:r>
        </w:p>
      </w:tc>
    </w:tr>
    <w:tr w:rsidR="00A16A94" w:rsidRPr="00E152D8" w14:paraId="03320850" w14:textId="77777777" w:rsidTr="009461D1">
      <w:trPr>
        <w:trHeight w:val="261"/>
      </w:trPr>
      <w:tc>
        <w:tcPr>
          <w:tcW w:w="2691" w:type="dxa"/>
        </w:tcPr>
        <w:p w14:paraId="4F694FCE" w14:textId="77777777" w:rsidR="00A16A94" w:rsidRPr="00E152D8" w:rsidRDefault="00A16A94"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A16A94" w:rsidRPr="00EE1572" w:rsidRDefault="00A16A94" w:rsidP="009461D1">
          <w:pPr>
            <w:tabs>
              <w:tab w:val="right" w:pos="8838"/>
            </w:tabs>
            <w:ind w:right="-32"/>
            <w:rPr>
              <w:rFonts w:eastAsia="Calibri" w:cs="Tahoma"/>
              <w:lang w:val="es-MX"/>
            </w:rPr>
          </w:pPr>
          <w:r w:rsidRPr="00EE1572">
            <w:rPr>
              <w:rFonts w:eastAsia="Calibri" w:cs="Tahoma"/>
              <w:lang w:val="es-MX"/>
            </w:rPr>
            <w:t>Ayuntamiento de Temascalcingo</w:t>
          </w:r>
        </w:p>
      </w:tc>
    </w:tr>
    <w:tr w:rsidR="00A16A94" w:rsidRPr="00E152D8" w14:paraId="55FFE174" w14:textId="77777777" w:rsidTr="009461D1">
      <w:trPr>
        <w:trHeight w:val="261"/>
      </w:trPr>
      <w:tc>
        <w:tcPr>
          <w:tcW w:w="2691" w:type="dxa"/>
        </w:tcPr>
        <w:p w14:paraId="3175A6C7"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A16A94" w:rsidRPr="00E152D8" w:rsidRDefault="00A16A94"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A16A94" w:rsidRDefault="0057104F">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A16A94" w:rsidRPr="00E152D8" w14:paraId="19ECDA8C" w14:textId="77777777" w:rsidTr="009461D1">
      <w:trPr>
        <w:trHeight w:val="132"/>
      </w:trPr>
      <w:tc>
        <w:tcPr>
          <w:tcW w:w="2691" w:type="dxa"/>
        </w:tcPr>
        <w:p w14:paraId="6B755B3C"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7C132F6E" w:rsidR="00A16A94" w:rsidRPr="001B2D84" w:rsidRDefault="00A16A94" w:rsidP="009461D1">
          <w:pPr>
            <w:tabs>
              <w:tab w:val="right" w:pos="8838"/>
            </w:tabs>
            <w:ind w:left="-28" w:right="-32"/>
            <w:rPr>
              <w:rFonts w:eastAsia="Calibri" w:cs="Tahoma"/>
            </w:rPr>
          </w:pPr>
          <w:r>
            <w:rPr>
              <w:rFonts w:eastAsia="Calibri" w:cs="Tahoma"/>
            </w:rPr>
            <w:t>03436</w:t>
          </w:r>
          <w:r w:rsidRPr="007379D6">
            <w:rPr>
              <w:rFonts w:eastAsia="Calibri" w:cs="Tahoma"/>
            </w:rPr>
            <w:t>/INFOEM/AD/RR/</w:t>
          </w:r>
          <w:r>
            <w:rPr>
              <w:rFonts w:eastAsia="Calibri" w:cs="Tahoma"/>
            </w:rPr>
            <w:t>2024</w:t>
          </w:r>
        </w:p>
      </w:tc>
    </w:tr>
    <w:tr w:rsidR="00A16A94" w:rsidRPr="00E152D8" w14:paraId="53B61CF1" w14:textId="77777777" w:rsidTr="009461D1">
      <w:trPr>
        <w:trHeight w:val="261"/>
      </w:trPr>
      <w:tc>
        <w:tcPr>
          <w:tcW w:w="2691" w:type="dxa"/>
        </w:tcPr>
        <w:p w14:paraId="2E88DFF6" w14:textId="77777777" w:rsidR="00A16A94" w:rsidRPr="00E152D8" w:rsidRDefault="00A16A94"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454476EB" w:rsidR="00A16A94" w:rsidRPr="00EE1572" w:rsidRDefault="00A16A94" w:rsidP="001824A7">
          <w:pPr>
            <w:tabs>
              <w:tab w:val="right" w:pos="8838"/>
            </w:tabs>
            <w:ind w:right="-32"/>
            <w:rPr>
              <w:rFonts w:eastAsia="Calibri" w:cs="Tahoma"/>
              <w:lang w:val="es-MX"/>
            </w:rPr>
          </w:pPr>
          <w:r w:rsidRPr="009461D1">
            <w:t>Instituto de Seguridad Social del Estado de México y Municipios</w:t>
          </w:r>
        </w:p>
      </w:tc>
    </w:tr>
    <w:tr w:rsidR="00A16A94" w:rsidRPr="00E152D8" w14:paraId="5D477E17" w14:textId="77777777" w:rsidTr="009461D1">
      <w:trPr>
        <w:trHeight w:val="261"/>
      </w:trPr>
      <w:tc>
        <w:tcPr>
          <w:tcW w:w="2691" w:type="dxa"/>
        </w:tcPr>
        <w:p w14:paraId="0C813C45"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A16A94" w:rsidRDefault="00A16A94"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6E431E" w:rsidRPr="00E152D8" w:rsidRDefault="006E431E" w:rsidP="009461D1">
          <w:pPr>
            <w:tabs>
              <w:tab w:val="right" w:pos="8838"/>
            </w:tabs>
            <w:ind w:right="-32"/>
            <w:rPr>
              <w:rFonts w:eastAsia="Calibri" w:cs="Tahoma"/>
              <w:b/>
              <w:lang w:val="es-MX"/>
            </w:rPr>
          </w:pPr>
        </w:p>
      </w:tc>
    </w:tr>
  </w:tbl>
  <w:p w14:paraId="1ABD0FE0" w14:textId="77777777" w:rsidR="00A16A94" w:rsidRDefault="0057104F"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A16A94" w:rsidRPr="00E152D8" w14:paraId="0BD29662" w14:textId="77777777" w:rsidTr="009461D1">
      <w:trPr>
        <w:trHeight w:val="132"/>
        <w:jc w:val="right"/>
      </w:trPr>
      <w:tc>
        <w:tcPr>
          <w:tcW w:w="2691" w:type="dxa"/>
        </w:tcPr>
        <w:p w14:paraId="72E08E91"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1102B507" w:rsidR="00A16A94" w:rsidRPr="001B2D84" w:rsidRDefault="00A16A94" w:rsidP="009461D1">
          <w:pPr>
            <w:tabs>
              <w:tab w:val="right" w:pos="8838"/>
            </w:tabs>
            <w:ind w:left="-28" w:right="-32"/>
            <w:rPr>
              <w:rFonts w:eastAsia="Calibri" w:cs="Tahoma"/>
            </w:rPr>
          </w:pPr>
          <w:r>
            <w:rPr>
              <w:rFonts w:eastAsia="Calibri" w:cs="Tahoma"/>
            </w:rPr>
            <w:t>03436</w:t>
          </w:r>
          <w:r w:rsidRPr="007379D6">
            <w:rPr>
              <w:rFonts w:eastAsia="Calibri" w:cs="Tahoma"/>
            </w:rPr>
            <w:t>/INFOEM/AD/RR/</w:t>
          </w:r>
          <w:r>
            <w:rPr>
              <w:rFonts w:eastAsia="Calibri" w:cs="Tahoma"/>
            </w:rPr>
            <w:t>2024</w:t>
          </w:r>
        </w:p>
      </w:tc>
    </w:tr>
    <w:tr w:rsidR="00A16A94" w:rsidRPr="00E152D8" w14:paraId="0E0B5E74" w14:textId="77777777" w:rsidTr="009461D1">
      <w:trPr>
        <w:trHeight w:val="132"/>
        <w:jc w:val="right"/>
      </w:trPr>
      <w:tc>
        <w:tcPr>
          <w:tcW w:w="2691" w:type="dxa"/>
        </w:tcPr>
        <w:p w14:paraId="28DFF7C8"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1FD3D055" w:rsidR="00A16A94" w:rsidRPr="00104E57" w:rsidRDefault="00CD7E85" w:rsidP="009461D1">
          <w:proofErr w:type="spellStart"/>
          <w:r w:rsidRPr="00CD7E85">
            <w:rPr>
              <w:highlight w:val="black"/>
            </w:rPr>
            <w:t>xxxxxxxxxxxxxxxxxxxxxxxxx</w:t>
          </w:r>
          <w:proofErr w:type="spellEnd"/>
        </w:p>
      </w:tc>
    </w:tr>
    <w:tr w:rsidR="00A16A94" w:rsidRPr="00E152D8" w14:paraId="5E8B352C" w14:textId="77777777" w:rsidTr="009461D1">
      <w:trPr>
        <w:trHeight w:val="261"/>
        <w:jc w:val="right"/>
      </w:trPr>
      <w:tc>
        <w:tcPr>
          <w:tcW w:w="2691" w:type="dxa"/>
        </w:tcPr>
        <w:p w14:paraId="65332E6D" w14:textId="77777777" w:rsidR="00A16A94" w:rsidRPr="00E152D8" w:rsidRDefault="00A16A94"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76B01547" w:rsidR="00A16A94" w:rsidRPr="00104E57" w:rsidRDefault="00A16A94" w:rsidP="00104E57">
          <w:r w:rsidRPr="009461D1">
            <w:t>Instituto de Seguridad Social del Estado de México y Municipios</w:t>
          </w:r>
        </w:p>
      </w:tc>
    </w:tr>
    <w:tr w:rsidR="00A16A94" w:rsidRPr="00E152D8" w14:paraId="78EE98A2" w14:textId="77777777" w:rsidTr="009461D1">
      <w:trPr>
        <w:trHeight w:val="261"/>
        <w:jc w:val="right"/>
      </w:trPr>
      <w:tc>
        <w:tcPr>
          <w:tcW w:w="2691" w:type="dxa"/>
        </w:tcPr>
        <w:p w14:paraId="1D83B214" w14:textId="77777777" w:rsidR="00A16A94" w:rsidRPr="00E152D8" w:rsidRDefault="00A16A94"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A16A94" w:rsidRPr="00E152D8" w:rsidRDefault="00A16A94"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A16A94" w:rsidRDefault="0057104F">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104F9"/>
    <w:rsid w:val="00013FE7"/>
    <w:rsid w:val="000312E4"/>
    <w:rsid w:val="000337C1"/>
    <w:rsid w:val="000374F7"/>
    <w:rsid w:val="00041CF4"/>
    <w:rsid w:val="00042F15"/>
    <w:rsid w:val="000457A5"/>
    <w:rsid w:val="000475E4"/>
    <w:rsid w:val="000513C2"/>
    <w:rsid w:val="00053816"/>
    <w:rsid w:val="000632C6"/>
    <w:rsid w:val="000732B1"/>
    <w:rsid w:val="00082216"/>
    <w:rsid w:val="00090F0D"/>
    <w:rsid w:val="0009171D"/>
    <w:rsid w:val="00092060"/>
    <w:rsid w:val="00097D52"/>
    <w:rsid w:val="000B049E"/>
    <w:rsid w:val="000B17AF"/>
    <w:rsid w:val="000B1CAF"/>
    <w:rsid w:val="000B25F8"/>
    <w:rsid w:val="000B2E8B"/>
    <w:rsid w:val="000B6333"/>
    <w:rsid w:val="000B66EE"/>
    <w:rsid w:val="000C5416"/>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6CCB"/>
    <w:rsid w:val="00141D34"/>
    <w:rsid w:val="001464D3"/>
    <w:rsid w:val="00146F1B"/>
    <w:rsid w:val="00147A5F"/>
    <w:rsid w:val="00147D00"/>
    <w:rsid w:val="00154275"/>
    <w:rsid w:val="00162FE7"/>
    <w:rsid w:val="00163F1B"/>
    <w:rsid w:val="00164C8D"/>
    <w:rsid w:val="001703DD"/>
    <w:rsid w:val="001729BD"/>
    <w:rsid w:val="00173683"/>
    <w:rsid w:val="00173A55"/>
    <w:rsid w:val="001750CB"/>
    <w:rsid w:val="00180994"/>
    <w:rsid w:val="001824A7"/>
    <w:rsid w:val="00183785"/>
    <w:rsid w:val="001847A8"/>
    <w:rsid w:val="00186B12"/>
    <w:rsid w:val="001907A1"/>
    <w:rsid w:val="00190E2F"/>
    <w:rsid w:val="0019208A"/>
    <w:rsid w:val="00193FEE"/>
    <w:rsid w:val="00194D60"/>
    <w:rsid w:val="001A082C"/>
    <w:rsid w:val="001A1CF2"/>
    <w:rsid w:val="001A1D65"/>
    <w:rsid w:val="001A749B"/>
    <w:rsid w:val="001B1755"/>
    <w:rsid w:val="001B2D84"/>
    <w:rsid w:val="001C2E14"/>
    <w:rsid w:val="001C7387"/>
    <w:rsid w:val="001D4664"/>
    <w:rsid w:val="001D68CF"/>
    <w:rsid w:val="001E51B5"/>
    <w:rsid w:val="001F0AFA"/>
    <w:rsid w:val="001F2D21"/>
    <w:rsid w:val="001F3654"/>
    <w:rsid w:val="00205510"/>
    <w:rsid w:val="00207D6E"/>
    <w:rsid w:val="0021072B"/>
    <w:rsid w:val="00210734"/>
    <w:rsid w:val="00210EC8"/>
    <w:rsid w:val="00217092"/>
    <w:rsid w:val="00220D11"/>
    <w:rsid w:val="002213C5"/>
    <w:rsid w:val="002344B0"/>
    <w:rsid w:val="0024036E"/>
    <w:rsid w:val="002408E0"/>
    <w:rsid w:val="00242211"/>
    <w:rsid w:val="00247C74"/>
    <w:rsid w:val="00251BD0"/>
    <w:rsid w:val="00257276"/>
    <w:rsid w:val="00257840"/>
    <w:rsid w:val="002631F8"/>
    <w:rsid w:val="00264B75"/>
    <w:rsid w:val="0026677C"/>
    <w:rsid w:val="00266E72"/>
    <w:rsid w:val="0027750F"/>
    <w:rsid w:val="002812EE"/>
    <w:rsid w:val="002839BA"/>
    <w:rsid w:val="00283E3A"/>
    <w:rsid w:val="00284FE4"/>
    <w:rsid w:val="00293C87"/>
    <w:rsid w:val="00295AA7"/>
    <w:rsid w:val="002A0A43"/>
    <w:rsid w:val="002B00C0"/>
    <w:rsid w:val="002B6F82"/>
    <w:rsid w:val="002C560F"/>
    <w:rsid w:val="002C60E6"/>
    <w:rsid w:val="002C7185"/>
    <w:rsid w:val="002D747F"/>
    <w:rsid w:val="002E6E7E"/>
    <w:rsid w:val="002F23FB"/>
    <w:rsid w:val="002F5C12"/>
    <w:rsid w:val="002F5E17"/>
    <w:rsid w:val="0030116F"/>
    <w:rsid w:val="0030429F"/>
    <w:rsid w:val="00304914"/>
    <w:rsid w:val="00304BFE"/>
    <w:rsid w:val="00306271"/>
    <w:rsid w:val="00307A6F"/>
    <w:rsid w:val="003159E3"/>
    <w:rsid w:val="00316E36"/>
    <w:rsid w:val="00326973"/>
    <w:rsid w:val="00326D51"/>
    <w:rsid w:val="0033063F"/>
    <w:rsid w:val="003309A4"/>
    <w:rsid w:val="00331CF7"/>
    <w:rsid w:val="00332BE6"/>
    <w:rsid w:val="00333D75"/>
    <w:rsid w:val="0033784F"/>
    <w:rsid w:val="0034155D"/>
    <w:rsid w:val="003449DF"/>
    <w:rsid w:val="00345A52"/>
    <w:rsid w:val="00353EAA"/>
    <w:rsid w:val="00355E94"/>
    <w:rsid w:val="0036284F"/>
    <w:rsid w:val="00364EFF"/>
    <w:rsid w:val="003706BD"/>
    <w:rsid w:val="00375098"/>
    <w:rsid w:val="00381E9D"/>
    <w:rsid w:val="0038278C"/>
    <w:rsid w:val="00382B97"/>
    <w:rsid w:val="00385186"/>
    <w:rsid w:val="003900D6"/>
    <w:rsid w:val="003913D5"/>
    <w:rsid w:val="00392722"/>
    <w:rsid w:val="003931B0"/>
    <w:rsid w:val="00395EF6"/>
    <w:rsid w:val="003A0D3B"/>
    <w:rsid w:val="003A0DB6"/>
    <w:rsid w:val="003A12B0"/>
    <w:rsid w:val="003A28C8"/>
    <w:rsid w:val="003A5BA1"/>
    <w:rsid w:val="003B0DD3"/>
    <w:rsid w:val="003B6F9B"/>
    <w:rsid w:val="003C0F4A"/>
    <w:rsid w:val="003C57FF"/>
    <w:rsid w:val="003C7E73"/>
    <w:rsid w:val="003D2ACC"/>
    <w:rsid w:val="003D2E44"/>
    <w:rsid w:val="003D4413"/>
    <w:rsid w:val="003D5B55"/>
    <w:rsid w:val="003D5CF7"/>
    <w:rsid w:val="003E36F2"/>
    <w:rsid w:val="003E3C03"/>
    <w:rsid w:val="003E7CD7"/>
    <w:rsid w:val="003F0427"/>
    <w:rsid w:val="003F399A"/>
    <w:rsid w:val="00402043"/>
    <w:rsid w:val="00406EFE"/>
    <w:rsid w:val="00410FBD"/>
    <w:rsid w:val="00411EAA"/>
    <w:rsid w:val="004120F5"/>
    <w:rsid w:val="0042008E"/>
    <w:rsid w:val="0042038C"/>
    <w:rsid w:val="004207DF"/>
    <w:rsid w:val="00423ADB"/>
    <w:rsid w:val="004247E6"/>
    <w:rsid w:val="004312CD"/>
    <w:rsid w:val="00440B3A"/>
    <w:rsid w:val="004517A9"/>
    <w:rsid w:val="004577EE"/>
    <w:rsid w:val="00460E74"/>
    <w:rsid w:val="004612EB"/>
    <w:rsid w:val="00464B57"/>
    <w:rsid w:val="00464C33"/>
    <w:rsid w:val="004655BE"/>
    <w:rsid w:val="00470C48"/>
    <w:rsid w:val="00471DAF"/>
    <w:rsid w:val="004733AB"/>
    <w:rsid w:val="00473A2C"/>
    <w:rsid w:val="0048744E"/>
    <w:rsid w:val="00490D9A"/>
    <w:rsid w:val="004A1A0A"/>
    <w:rsid w:val="004A21DE"/>
    <w:rsid w:val="004A3814"/>
    <w:rsid w:val="004B3796"/>
    <w:rsid w:val="004C0C3B"/>
    <w:rsid w:val="004D01B0"/>
    <w:rsid w:val="004D1CC1"/>
    <w:rsid w:val="004E1EE2"/>
    <w:rsid w:val="004E2707"/>
    <w:rsid w:val="004F7C6C"/>
    <w:rsid w:val="004F7E7F"/>
    <w:rsid w:val="00500291"/>
    <w:rsid w:val="00523FC8"/>
    <w:rsid w:val="005334E9"/>
    <w:rsid w:val="005433EC"/>
    <w:rsid w:val="0054348B"/>
    <w:rsid w:val="00543BFE"/>
    <w:rsid w:val="005479BF"/>
    <w:rsid w:val="00550607"/>
    <w:rsid w:val="005506C6"/>
    <w:rsid w:val="005627CA"/>
    <w:rsid w:val="00565192"/>
    <w:rsid w:val="00566A5C"/>
    <w:rsid w:val="00570EC5"/>
    <w:rsid w:val="0057104F"/>
    <w:rsid w:val="00575870"/>
    <w:rsid w:val="00583FFA"/>
    <w:rsid w:val="0058500E"/>
    <w:rsid w:val="00592747"/>
    <w:rsid w:val="005965F9"/>
    <w:rsid w:val="00597915"/>
    <w:rsid w:val="005A0324"/>
    <w:rsid w:val="005A20F5"/>
    <w:rsid w:val="005A7AA7"/>
    <w:rsid w:val="005B3971"/>
    <w:rsid w:val="005B3AAE"/>
    <w:rsid w:val="005B5657"/>
    <w:rsid w:val="005C0352"/>
    <w:rsid w:val="005C1065"/>
    <w:rsid w:val="005C4B5C"/>
    <w:rsid w:val="005D218B"/>
    <w:rsid w:val="005D393D"/>
    <w:rsid w:val="005D531A"/>
    <w:rsid w:val="005D6B1A"/>
    <w:rsid w:val="005E2840"/>
    <w:rsid w:val="005E5F3D"/>
    <w:rsid w:val="005E7DF1"/>
    <w:rsid w:val="005F4EB4"/>
    <w:rsid w:val="00600C00"/>
    <w:rsid w:val="00604E44"/>
    <w:rsid w:val="00622EF5"/>
    <w:rsid w:val="006257FB"/>
    <w:rsid w:val="00630DB0"/>
    <w:rsid w:val="006373EF"/>
    <w:rsid w:val="00637689"/>
    <w:rsid w:val="00643ACC"/>
    <w:rsid w:val="00650B4D"/>
    <w:rsid w:val="00654571"/>
    <w:rsid w:val="0065504F"/>
    <w:rsid w:val="006551FB"/>
    <w:rsid w:val="00656548"/>
    <w:rsid w:val="00664856"/>
    <w:rsid w:val="00666996"/>
    <w:rsid w:val="00666BB9"/>
    <w:rsid w:val="00667191"/>
    <w:rsid w:val="00667E5F"/>
    <w:rsid w:val="006765E4"/>
    <w:rsid w:val="00680A3C"/>
    <w:rsid w:val="0068389D"/>
    <w:rsid w:val="00684CBE"/>
    <w:rsid w:val="00691D8C"/>
    <w:rsid w:val="00694283"/>
    <w:rsid w:val="00697F4C"/>
    <w:rsid w:val="006B1D25"/>
    <w:rsid w:val="006C388A"/>
    <w:rsid w:val="006C4B43"/>
    <w:rsid w:val="006D0254"/>
    <w:rsid w:val="006D40E5"/>
    <w:rsid w:val="006D65D1"/>
    <w:rsid w:val="006E431E"/>
    <w:rsid w:val="006E76BD"/>
    <w:rsid w:val="006E7F00"/>
    <w:rsid w:val="006F0FAC"/>
    <w:rsid w:val="006F3D2E"/>
    <w:rsid w:val="006F4427"/>
    <w:rsid w:val="00706E4C"/>
    <w:rsid w:val="007209C8"/>
    <w:rsid w:val="00723195"/>
    <w:rsid w:val="00731C92"/>
    <w:rsid w:val="007379D6"/>
    <w:rsid w:val="00741F66"/>
    <w:rsid w:val="00743145"/>
    <w:rsid w:val="00745443"/>
    <w:rsid w:val="00750130"/>
    <w:rsid w:val="007572CF"/>
    <w:rsid w:val="00760043"/>
    <w:rsid w:val="007610C0"/>
    <w:rsid w:val="00771197"/>
    <w:rsid w:val="007719BB"/>
    <w:rsid w:val="00783357"/>
    <w:rsid w:val="0078402A"/>
    <w:rsid w:val="00790DA4"/>
    <w:rsid w:val="0079256F"/>
    <w:rsid w:val="00792A48"/>
    <w:rsid w:val="0079651D"/>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1648B"/>
    <w:rsid w:val="00824B32"/>
    <w:rsid w:val="00825100"/>
    <w:rsid w:val="00830A7E"/>
    <w:rsid w:val="00831B95"/>
    <w:rsid w:val="00831F48"/>
    <w:rsid w:val="0083325C"/>
    <w:rsid w:val="00840336"/>
    <w:rsid w:val="00843451"/>
    <w:rsid w:val="00843AF3"/>
    <w:rsid w:val="008462BE"/>
    <w:rsid w:val="008505E0"/>
    <w:rsid w:val="00855664"/>
    <w:rsid w:val="00873D08"/>
    <w:rsid w:val="008756ED"/>
    <w:rsid w:val="00876BAA"/>
    <w:rsid w:val="00881A9E"/>
    <w:rsid w:val="00881ADF"/>
    <w:rsid w:val="008847E6"/>
    <w:rsid w:val="008907E3"/>
    <w:rsid w:val="008964F6"/>
    <w:rsid w:val="008965AA"/>
    <w:rsid w:val="008A2CD0"/>
    <w:rsid w:val="008A4C06"/>
    <w:rsid w:val="008B313B"/>
    <w:rsid w:val="008B3554"/>
    <w:rsid w:val="008E30E0"/>
    <w:rsid w:val="008E3ABB"/>
    <w:rsid w:val="008E4F99"/>
    <w:rsid w:val="008F314F"/>
    <w:rsid w:val="008F5555"/>
    <w:rsid w:val="008F5693"/>
    <w:rsid w:val="008F5E34"/>
    <w:rsid w:val="008F60A2"/>
    <w:rsid w:val="00903A55"/>
    <w:rsid w:val="009125EF"/>
    <w:rsid w:val="009148C6"/>
    <w:rsid w:val="00915977"/>
    <w:rsid w:val="00920B22"/>
    <w:rsid w:val="00922CCC"/>
    <w:rsid w:val="00925B1D"/>
    <w:rsid w:val="00926F9F"/>
    <w:rsid w:val="0093405F"/>
    <w:rsid w:val="00945023"/>
    <w:rsid w:val="009461D1"/>
    <w:rsid w:val="009472D8"/>
    <w:rsid w:val="0094776A"/>
    <w:rsid w:val="009477C6"/>
    <w:rsid w:val="009531B5"/>
    <w:rsid w:val="00957066"/>
    <w:rsid w:val="009574B6"/>
    <w:rsid w:val="00957633"/>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B09E4"/>
    <w:rsid w:val="009B2454"/>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54D6"/>
    <w:rsid w:val="00A3702E"/>
    <w:rsid w:val="00A37B8B"/>
    <w:rsid w:val="00A40DB7"/>
    <w:rsid w:val="00A42C3A"/>
    <w:rsid w:val="00A452C5"/>
    <w:rsid w:val="00A52C28"/>
    <w:rsid w:val="00A568EE"/>
    <w:rsid w:val="00A65665"/>
    <w:rsid w:val="00A67339"/>
    <w:rsid w:val="00A700CF"/>
    <w:rsid w:val="00A7101A"/>
    <w:rsid w:val="00A7418B"/>
    <w:rsid w:val="00A84463"/>
    <w:rsid w:val="00A875E5"/>
    <w:rsid w:val="00A92ECB"/>
    <w:rsid w:val="00A95E22"/>
    <w:rsid w:val="00AA02CF"/>
    <w:rsid w:val="00AA521A"/>
    <w:rsid w:val="00AA54BD"/>
    <w:rsid w:val="00AA6242"/>
    <w:rsid w:val="00AB583F"/>
    <w:rsid w:val="00AB76DC"/>
    <w:rsid w:val="00AC4221"/>
    <w:rsid w:val="00AC45E9"/>
    <w:rsid w:val="00AD5A38"/>
    <w:rsid w:val="00AE3209"/>
    <w:rsid w:val="00AF5944"/>
    <w:rsid w:val="00AF6A55"/>
    <w:rsid w:val="00AF779E"/>
    <w:rsid w:val="00B04AC9"/>
    <w:rsid w:val="00B13C24"/>
    <w:rsid w:val="00B13C61"/>
    <w:rsid w:val="00B14350"/>
    <w:rsid w:val="00B14C90"/>
    <w:rsid w:val="00B21FBE"/>
    <w:rsid w:val="00B224C6"/>
    <w:rsid w:val="00B242B8"/>
    <w:rsid w:val="00B24F7A"/>
    <w:rsid w:val="00B27274"/>
    <w:rsid w:val="00B30AF6"/>
    <w:rsid w:val="00B32547"/>
    <w:rsid w:val="00B408D4"/>
    <w:rsid w:val="00B441B5"/>
    <w:rsid w:val="00B53186"/>
    <w:rsid w:val="00B54B7D"/>
    <w:rsid w:val="00B55146"/>
    <w:rsid w:val="00B576BE"/>
    <w:rsid w:val="00B60957"/>
    <w:rsid w:val="00B64887"/>
    <w:rsid w:val="00B679E2"/>
    <w:rsid w:val="00B67B9B"/>
    <w:rsid w:val="00B70D03"/>
    <w:rsid w:val="00B74BC1"/>
    <w:rsid w:val="00B758EA"/>
    <w:rsid w:val="00B8760C"/>
    <w:rsid w:val="00BA3541"/>
    <w:rsid w:val="00BA5CDE"/>
    <w:rsid w:val="00BB20E5"/>
    <w:rsid w:val="00BC31DF"/>
    <w:rsid w:val="00BC3A33"/>
    <w:rsid w:val="00BC4722"/>
    <w:rsid w:val="00BD1B96"/>
    <w:rsid w:val="00BE2975"/>
    <w:rsid w:val="00BE40B7"/>
    <w:rsid w:val="00BE5B12"/>
    <w:rsid w:val="00BE6DF4"/>
    <w:rsid w:val="00BF6838"/>
    <w:rsid w:val="00BF7A43"/>
    <w:rsid w:val="00C07BA8"/>
    <w:rsid w:val="00C12670"/>
    <w:rsid w:val="00C142CD"/>
    <w:rsid w:val="00C176A4"/>
    <w:rsid w:val="00C2256C"/>
    <w:rsid w:val="00C25F78"/>
    <w:rsid w:val="00C32B06"/>
    <w:rsid w:val="00C32E17"/>
    <w:rsid w:val="00C37A04"/>
    <w:rsid w:val="00C412AE"/>
    <w:rsid w:val="00C4146E"/>
    <w:rsid w:val="00C4493F"/>
    <w:rsid w:val="00C46826"/>
    <w:rsid w:val="00C61DC8"/>
    <w:rsid w:val="00C648E0"/>
    <w:rsid w:val="00C653A0"/>
    <w:rsid w:val="00C66F50"/>
    <w:rsid w:val="00C714BF"/>
    <w:rsid w:val="00C71A01"/>
    <w:rsid w:val="00C74F34"/>
    <w:rsid w:val="00C77BA2"/>
    <w:rsid w:val="00C84D54"/>
    <w:rsid w:val="00C904F0"/>
    <w:rsid w:val="00C90619"/>
    <w:rsid w:val="00C96DF9"/>
    <w:rsid w:val="00CA2667"/>
    <w:rsid w:val="00CA664C"/>
    <w:rsid w:val="00CA6E0E"/>
    <w:rsid w:val="00CB5A52"/>
    <w:rsid w:val="00CC0CE6"/>
    <w:rsid w:val="00CC2CA8"/>
    <w:rsid w:val="00CC3451"/>
    <w:rsid w:val="00CC6AB0"/>
    <w:rsid w:val="00CD3A57"/>
    <w:rsid w:val="00CD6EFD"/>
    <w:rsid w:val="00CD7826"/>
    <w:rsid w:val="00CD7E85"/>
    <w:rsid w:val="00CE3BF6"/>
    <w:rsid w:val="00CE471B"/>
    <w:rsid w:val="00D00012"/>
    <w:rsid w:val="00D04A89"/>
    <w:rsid w:val="00D06FEA"/>
    <w:rsid w:val="00D10021"/>
    <w:rsid w:val="00D10A76"/>
    <w:rsid w:val="00D1415A"/>
    <w:rsid w:val="00D142E0"/>
    <w:rsid w:val="00D206D2"/>
    <w:rsid w:val="00D242D8"/>
    <w:rsid w:val="00D32394"/>
    <w:rsid w:val="00D3346D"/>
    <w:rsid w:val="00D33D90"/>
    <w:rsid w:val="00D36408"/>
    <w:rsid w:val="00D400F6"/>
    <w:rsid w:val="00D43C14"/>
    <w:rsid w:val="00D44A34"/>
    <w:rsid w:val="00D51763"/>
    <w:rsid w:val="00D53312"/>
    <w:rsid w:val="00D602D5"/>
    <w:rsid w:val="00D616EA"/>
    <w:rsid w:val="00D62ACF"/>
    <w:rsid w:val="00D63DD1"/>
    <w:rsid w:val="00D66609"/>
    <w:rsid w:val="00D6670A"/>
    <w:rsid w:val="00D73E01"/>
    <w:rsid w:val="00D75399"/>
    <w:rsid w:val="00D816C8"/>
    <w:rsid w:val="00D83EAE"/>
    <w:rsid w:val="00D85BDB"/>
    <w:rsid w:val="00D912A9"/>
    <w:rsid w:val="00D96531"/>
    <w:rsid w:val="00DA0406"/>
    <w:rsid w:val="00DB218A"/>
    <w:rsid w:val="00DB3A39"/>
    <w:rsid w:val="00DB496C"/>
    <w:rsid w:val="00DB5BFB"/>
    <w:rsid w:val="00DB6430"/>
    <w:rsid w:val="00DC19BC"/>
    <w:rsid w:val="00DC4677"/>
    <w:rsid w:val="00DC5969"/>
    <w:rsid w:val="00DC5ACF"/>
    <w:rsid w:val="00DC7F06"/>
    <w:rsid w:val="00DD0CAB"/>
    <w:rsid w:val="00DD323B"/>
    <w:rsid w:val="00DD7BD9"/>
    <w:rsid w:val="00DE2531"/>
    <w:rsid w:val="00DE27AC"/>
    <w:rsid w:val="00DE28BC"/>
    <w:rsid w:val="00DF0CED"/>
    <w:rsid w:val="00DF4059"/>
    <w:rsid w:val="00DF7AB7"/>
    <w:rsid w:val="00E008DD"/>
    <w:rsid w:val="00E0097B"/>
    <w:rsid w:val="00E04852"/>
    <w:rsid w:val="00E12985"/>
    <w:rsid w:val="00E315A3"/>
    <w:rsid w:val="00E31E4B"/>
    <w:rsid w:val="00E33420"/>
    <w:rsid w:val="00E37E09"/>
    <w:rsid w:val="00E41057"/>
    <w:rsid w:val="00E413FA"/>
    <w:rsid w:val="00E455A5"/>
    <w:rsid w:val="00E52970"/>
    <w:rsid w:val="00E56F1B"/>
    <w:rsid w:val="00E61571"/>
    <w:rsid w:val="00E73813"/>
    <w:rsid w:val="00E827E4"/>
    <w:rsid w:val="00E82B12"/>
    <w:rsid w:val="00E854E3"/>
    <w:rsid w:val="00E867F7"/>
    <w:rsid w:val="00E8701D"/>
    <w:rsid w:val="00E93095"/>
    <w:rsid w:val="00E94249"/>
    <w:rsid w:val="00E96FB3"/>
    <w:rsid w:val="00EA5410"/>
    <w:rsid w:val="00EA6A9A"/>
    <w:rsid w:val="00EB6BC7"/>
    <w:rsid w:val="00EB7E12"/>
    <w:rsid w:val="00EC03E5"/>
    <w:rsid w:val="00ED1461"/>
    <w:rsid w:val="00ED1BFD"/>
    <w:rsid w:val="00ED42A8"/>
    <w:rsid w:val="00ED4B2A"/>
    <w:rsid w:val="00ED519D"/>
    <w:rsid w:val="00EE36A8"/>
    <w:rsid w:val="00EE4E4C"/>
    <w:rsid w:val="00EF0673"/>
    <w:rsid w:val="00F00F7D"/>
    <w:rsid w:val="00F0128B"/>
    <w:rsid w:val="00F03B61"/>
    <w:rsid w:val="00F057EE"/>
    <w:rsid w:val="00F05A33"/>
    <w:rsid w:val="00F06F66"/>
    <w:rsid w:val="00F101A2"/>
    <w:rsid w:val="00F13054"/>
    <w:rsid w:val="00F149C0"/>
    <w:rsid w:val="00F15167"/>
    <w:rsid w:val="00F1788C"/>
    <w:rsid w:val="00F236F5"/>
    <w:rsid w:val="00F25344"/>
    <w:rsid w:val="00F25862"/>
    <w:rsid w:val="00F3421F"/>
    <w:rsid w:val="00F36DFC"/>
    <w:rsid w:val="00F3706F"/>
    <w:rsid w:val="00F4057F"/>
    <w:rsid w:val="00F409BB"/>
    <w:rsid w:val="00F40AF7"/>
    <w:rsid w:val="00F419CE"/>
    <w:rsid w:val="00F47020"/>
    <w:rsid w:val="00F47056"/>
    <w:rsid w:val="00F52438"/>
    <w:rsid w:val="00F52FA1"/>
    <w:rsid w:val="00F57518"/>
    <w:rsid w:val="00F6172D"/>
    <w:rsid w:val="00F6247A"/>
    <w:rsid w:val="00F65EC2"/>
    <w:rsid w:val="00F72100"/>
    <w:rsid w:val="00F77DAD"/>
    <w:rsid w:val="00F80E3B"/>
    <w:rsid w:val="00F83AAF"/>
    <w:rsid w:val="00F84784"/>
    <w:rsid w:val="00F85B6E"/>
    <w:rsid w:val="00F86903"/>
    <w:rsid w:val="00F87890"/>
    <w:rsid w:val="00F91388"/>
    <w:rsid w:val="00F968A6"/>
    <w:rsid w:val="00FA0A2B"/>
    <w:rsid w:val="00FA19C3"/>
    <w:rsid w:val="00FA1A85"/>
    <w:rsid w:val="00FA2CEE"/>
    <w:rsid w:val="00FA4A5F"/>
    <w:rsid w:val="00FA6E73"/>
    <w:rsid w:val="00FB460B"/>
    <w:rsid w:val="00FC0F35"/>
    <w:rsid w:val="00FC763C"/>
    <w:rsid w:val="00FE1B17"/>
    <w:rsid w:val="00FE3D52"/>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UnresolvedMention">
    <w:name w:val="Unresolved Mention"/>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80C6-2000-4AC0-AA34-A61DFC81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4749</Words>
  <Characters>26123</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Cuenta Microsoft</cp:lastModifiedBy>
  <cp:revision>5</cp:revision>
  <cp:lastPrinted>2024-11-05T22:58:00Z</cp:lastPrinted>
  <dcterms:created xsi:type="dcterms:W3CDTF">2024-11-05T22:57:00Z</dcterms:created>
  <dcterms:modified xsi:type="dcterms:W3CDTF">2024-11-29T16:51:00Z</dcterms:modified>
</cp:coreProperties>
</file>