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Resolución del Pleno del Instituto de Transparencia, Acceso a la Información Pública y Protección de Datos Personales del Estado de México y Municipios, con domicilio en Metepec, Estado de México, a </w:t>
      </w:r>
      <w:r w:rsidDel="00000000" w:rsidR="00000000" w:rsidRPr="00000000">
        <w:rPr>
          <w:rFonts w:ascii="Palatino Linotype" w:cs="Palatino Linotype" w:eastAsia="Palatino Linotype" w:hAnsi="Palatino Linotype"/>
          <w:b w:val="1"/>
          <w:rtl w:val="0"/>
        </w:rPr>
        <w:t xml:space="preserve">veintiuno de agosto de dos mil veinticuatro.</w:t>
      </w: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02">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VISTO</w:t>
      </w:r>
      <w:r w:rsidDel="00000000" w:rsidR="00000000" w:rsidRPr="00000000">
        <w:rPr>
          <w:rFonts w:ascii="Palatino Linotype" w:cs="Palatino Linotype" w:eastAsia="Palatino Linotype" w:hAnsi="Palatino Linotype"/>
          <w:rtl w:val="0"/>
        </w:rPr>
        <w:t xml:space="preserve"> el expediente formado con motivo del recurso de revisión </w:t>
      </w:r>
      <w:r w:rsidDel="00000000" w:rsidR="00000000" w:rsidRPr="00000000">
        <w:rPr>
          <w:rFonts w:ascii="Palatino Linotype" w:cs="Palatino Linotype" w:eastAsia="Palatino Linotype" w:hAnsi="Palatino Linotype"/>
          <w:b w:val="1"/>
          <w:rtl w:val="0"/>
        </w:rPr>
        <w:t xml:space="preserve">02384/INFOEM/AD/RR/2024</w:t>
      </w:r>
      <w:r w:rsidDel="00000000" w:rsidR="00000000" w:rsidRPr="00000000">
        <w:rPr>
          <w:rFonts w:ascii="Palatino Linotype" w:cs="Palatino Linotype" w:eastAsia="Palatino Linotype" w:hAnsi="Palatino Linotype"/>
          <w:rtl w:val="0"/>
        </w:rPr>
        <w:t xml:space="preserve">, interpuesto por </w:t>
      </w:r>
      <w:r w:rsidDel="00000000" w:rsidR="00000000" w:rsidRPr="00000000">
        <w:rPr>
          <w:rFonts w:ascii="Palatino Linotype" w:cs="Palatino Linotype" w:eastAsia="Palatino Linotype" w:hAnsi="Palatino Linotype"/>
          <w:b w:val="1"/>
          <w:rtl w:val="0"/>
        </w:rPr>
        <w:t xml:space="preserve">XXXXX XXXX XXXXX,</w:t>
      </w:r>
      <w:r w:rsidDel="00000000" w:rsidR="00000000" w:rsidRPr="00000000">
        <w:rPr>
          <w:rFonts w:ascii="Palatino Linotype" w:cs="Palatino Linotype" w:eastAsia="Palatino Linotype" w:hAnsi="Palatino Linotype"/>
          <w:rtl w:val="0"/>
        </w:rPr>
        <w:t xml:space="preserve"> en lo sucesivo</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la parte </w:t>
      </w:r>
      <w:r w:rsidDel="00000000" w:rsidR="00000000" w:rsidRPr="00000000">
        <w:rPr>
          <w:rFonts w:ascii="Palatino Linotype" w:cs="Palatino Linotype" w:eastAsia="Palatino Linotype" w:hAnsi="Palatino Linotype"/>
          <w:b w:val="1"/>
          <w:rtl w:val="0"/>
        </w:rPr>
        <w:t xml:space="preserve">Recurrente,</w:t>
      </w:r>
      <w:r w:rsidDel="00000000" w:rsidR="00000000" w:rsidRPr="00000000">
        <w:rPr>
          <w:rFonts w:ascii="Palatino Linotype" w:cs="Palatino Linotype" w:eastAsia="Palatino Linotype" w:hAnsi="Palatino Linotype"/>
          <w:rtl w:val="0"/>
        </w:rPr>
        <w:t xml:space="preserve"> en contra de la falta de respuesta a su solicitud de acceso a datos personales con número de folio </w:t>
      </w:r>
      <w:r w:rsidDel="00000000" w:rsidR="00000000" w:rsidRPr="00000000">
        <w:rPr>
          <w:rFonts w:ascii="Palatino Linotype" w:cs="Palatino Linotype" w:eastAsia="Palatino Linotype" w:hAnsi="Palatino Linotype"/>
          <w:b w:val="1"/>
          <w:rtl w:val="0"/>
        </w:rPr>
        <w:t xml:space="preserve">00007/OFICIALIA/AD/2024, </w:t>
      </w:r>
      <w:r w:rsidDel="00000000" w:rsidR="00000000" w:rsidRPr="00000000">
        <w:rPr>
          <w:rFonts w:ascii="Palatino Linotype" w:cs="Palatino Linotype" w:eastAsia="Palatino Linotype" w:hAnsi="Palatino Linotype"/>
          <w:rtl w:val="0"/>
        </w:rPr>
        <w:t xml:space="preserve">por parte de la </w:t>
      </w:r>
      <w:r w:rsidDel="00000000" w:rsidR="00000000" w:rsidRPr="00000000">
        <w:rPr>
          <w:rFonts w:ascii="Palatino Linotype" w:cs="Palatino Linotype" w:eastAsia="Palatino Linotype" w:hAnsi="Palatino Linotype"/>
          <w:b w:val="1"/>
          <w:rtl w:val="0"/>
        </w:rPr>
        <w:t xml:space="preserve">Oficialía Mayor, </w:t>
      </w:r>
      <w:r w:rsidDel="00000000" w:rsidR="00000000" w:rsidRPr="00000000">
        <w:rPr>
          <w:rFonts w:ascii="Palatino Linotype" w:cs="Palatino Linotype" w:eastAsia="Palatino Linotype" w:hAnsi="Palatino Linotype"/>
          <w:rtl w:val="0"/>
        </w:rPr>
        <w:t xml:space="preserve">en lo sucesivo 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se procede a dictar la presente resolución con base en los siguientes: </w:t>
      </w:r>
    </w:p>
    <w:p w:rsidR="00000000" w:rsidDel="00000000" w:rsidP="00000000" w:rsidRDefault="00000000" w:rsidRPr="00000000" w14:paraId="00000003">
      <w:pPr>
        <w:spacing w:after="240" w:before="240" w:line="360"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I. A N T E C E D E N T E S</w:t>
      </w:r>
    </w:p>
    <w:p w:rsidR="00000000" w:rsidDel="00000000" w:rsidP="00000000" w:rsidRDefault="00000000" w:rsidRPr="00000000" w14:paraId="00000004">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1. Solicitud de acceso a datos personales.</w:t>
      </w:r>
      <w:r w:rsidDel="00000000" w:rsidR="00000000" w:rsidRPr="00000000">
        <w:rPr>
          <w:rFonts w:ascii="Palatino Linotype" w:cs="Palatino Linotype" w:eastAsia="Palatino Linotype" w:hAnsi="Palatino Linotype"/>
          <w:rtl w:val="0"/>
        </w:rPr>
        <w:t xml:space="preserve"> El </w:t>
      </w:r>
      <w:r w:rsidDel="00000000" w:rsidR="00000000" w:rsidRPr="00000000">
        <w:rPr>
          <w:rFonts w:ascii="Palatino Linotype" w:cs="Palatino Linotype" w:eastAsia="Palatino Linotype" w:hAnsi="Palatino Linotype"/>
          <w:b w:val="1"/>
          <w:rtl w:val="0"/>
        </w:rPr>
        <w:t xml:space="preserve">diecinueve de marzo de dos mil veinticuatro,</w:t>
      </w:r>
      <w:r w:rsidDel="00000000" w:rsidR="00000000" w:rsidRPr="00000000">
        <w:rPr>
          <w:rFonts w:ascii="Palatino Linotype" w:cs="Palatino Linotype" w:eastAsia="Palatino Linotype" w:hAnsi="Palatino Linotype"/>
          <w:rtl w:val="0"/>
        </w:rPr>
        <w:t xml:space="preserve"> la parte </w:t>
      </w:r>
      <w:r w:rsidDel="00000000" w:rsidR="00000000" w:rsidRPr="00000000">
        <w:rPr>
          <w:rFonts w:ascii="Palatino Linotype" w:cs="Palatino Linotype" w:eastAsia="Palatino Linotype" w:hAnsi="Palatino Linotype"/>
          <w:b w:val="1"/>
          <w:rtl w:val="0"/>
        </w:rPr>
        <w:t xml:space="preserve">Recurrente </w:t>
      </w:r>
      <w:r w:rsidDel="00000000" w:rsidR="00000000" w:rsidRPr="00000000">
        <w:rPr>
          <w:rFonts w:ascii="Palatino Linotype" w:cs="Palatino Linotype" w:eastAsia="Palatino Linotype" w:hAnsi="Palatino Linotype"/>
          <w:rtl w:val="0"/>
        </w:rPr>
        <w:t xml:space="preserve">presentó, a través del Sistema de Acceso, Rectificación, Cancelación y Oposición de Datos Personales del Estado de México, en lo subsecuente el </w:t>
      </w:r>
      <w:r w:rsidDel="00000000" w:rsidR="00000000" w:rsidRPr="00000000">
        <w:rPr>
          <w:rFonts w:ascii="Palatino Linotype" w:cs="Palatino Linotype" w:eastAsia="Palatino Linotype" w:hAnsi="Palatino Linotype"/>
          <w:b w:val="1"/>
          <w:rtl w:val="0"/>
        </w:rPr>
        <w:t xml:space="preserve">SARCOEM,</w:t>
      </w:r>
      <w:r w:rsidDel="00000000" w:rsidR="00000000" w:rsidRPr="00000000">
        <w:rPr>
          <w:rFonts w:ascii="Palatino Linotype" w:cs="Palatino Linotype" w:eastAsia="Palatino Linotype" w:hAnsi="Palatino Linotype"/>
          <w:rtl w:val="0"/>
        </w:rPr>
        <w:t xml:space="preserve"> ante 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la solicitud de acceso a datos personales, mediante la cual requirió le fuese entregado lo siguiente: </w:t>
      </w:r>
    </w:p>
    <w:p w:rsidR="00000000" w:rsidDel="00000000" w:rsidP="00000000" w:rsidRDefault="00000000" w:rsidRPr="00000000" w14:paraId="00000005">
      <w:pPr>
        <w:spacing w:after="240" w:before="240" w:lineRule="auto"/>
        <w:ind w:left="851" w:right="902" w:firstLine="0"/>
        <w:jc w:val="both"/>
        <w:rPr>
          <w:rFonts w:ascii="Palatino Linotype" w:cs="Palatino Linotype" w:eastAsia="Palatino Linotype" w:hAnsi="Palatino Linotype"/>
          <w:b w:val="1"/>
          <w:i w:val="1"/>
          <w:sz w:val="22"/>
          <w:szCs w:val="22"/>
        </w:rPr>
      </w:pPr>
      <w:bookmarkStart w:colFirst="0" w:colLast="0" w:name="_heading=h.gjdgxs" w:id="0"/>
      <w:bookmarkEnd w:id="0"/>
      <w:r w:rsidDel="00000000" w:rsidR="00000000" w:rsidRPr="00000000">
        <w:rPr>
          <w:rFonts w:ascii="Palatino Linotype" w:cs="Palatino Linotype" w:eastAsia="Palatino Linotype" w:hAnsi="Palatino Linotype"/>
          <w:i w:val="1"/>
          <w:sz w:val="22"/>
          <w:szCs w:val="22"/>
          <w:rtl w:val="0"/>
        </w:rPr>
        <w:t xml:space="preserve">“Requiero que </w:t>
      </w:r>
      <w:r w:rsidDel="00000000" w:rsidR="00000000" w:rsidRPr="00000000">
        <w:rPr>
          <w:rFonts w:ascii="Palatino Linotype" w:cs="Palatino Linotype" w:eastAsia="Palatino Linotype" w:hAnsi="Palatino Linotype"/>
          <w:b w:val="1"/>
          <w:i w:val="1"/>
          <w:sz w:val="22"/>
          <w:szCs w:val="22"/>
          <w:rtl w:val="0"/>
        </w:rPr>
        <w:t xml:space="preserve">se me proporcione todo documento con que cuente relacionado con el homicidio de mi padre</w:t>
      </w: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que haya enviado cualquier dependencia del Estado de México, contenida en el Archivo General</w:t>
      </w:r>
      <w:r w:rsidDel="00000000" w:rsidR="00000000" w:rsidRPr="00000000">
        <w:rPr>
          <w:rFonts w:ascii="Palatino Linotype" w:cs="Palatino Linotype" w:eastAsia="Palatino Linotype" w:hAnsi="Palatino Linotype"/>
          <w:i w:val="1"/>
          <w:sz w:val="22"/>
          <w:szCs w:val="22"/>
          <w:rtl w:val="0"/>
        </w:rPr>
        <w:t xml:space="preserve">, ya que me estoy allegando de documentos para esclarecer el caso y ayudar con la investigación que sigue su curso, </w:t>
      </w:r>
      <w:r w:rsidDel="00000000" w:rsidR="00000000" w:rsidRPr="00000000">
        <w:rPr>
          <w:rFonts w:ascii="Palatino Linotype" w:cs="Palatino Linotype" w:eastAsia="Palatino Linotype" w:hAnsi="Palatino Linotype"/>
          <w:b w:val="1"/>
          <w:i w:val="1"/>
          <w:sz w:val="22"/>
          <w:szCs w:val="22"/>
          <w:rtl w:val="0"/>
        </w:rPr>
        <w:t xml:space="preserve">particularmente de la enviada por el Municipio de Naucalpan, Procuraduría del Estado, Poder Judicial, ISSEMYM</w:t>
      </w: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cualquier otra involucrada en información del seguimiento del caso de mi padre fallecido en funciones como XXXXX,</w:t>
      </w:r>
      <w:r w:rsidDel="00000000" w:rsidR="00000000" w:rsidRPr="00000000">
        <w:rPr>
          <w:rFonts w:ascii="Palatino Linotype" w:cs="Palatino Linotype" w:eastAsia="Palatino Linotype" w:hAnsi="Palatino Linotype"/>
          <w:i w:val="1"/>
          <w:sz w:val="22"/>
          <w:szCs w:val="22"/>
          <w:rtl w:val="0"/>
        </w:rPr>
        <w:t xml:space="preserve"> al tenor de lo que describo en seguida: El 7 de febrero de 1968 el Gobernador en ese tiempo Juan Fernández Albarrán, tenía la obligación de haber levantado un Acta ante la Procuraduría General del Estado de México, y supervisar esa investigación ya que a él le tuvo que haber llegado información fidedigna tanto del municipio, policía municipal, dirección general de seguridad pública y tránsito del Estado de México, Policía Judicial del Estado de México y demás dependencias acerca del asunto (todo ello ya que en los periódicos y notas que adjunto se mencionan) y habernos ayudado ya que en ese tiempo mi madre quedó viuda y mi hermano mayor XXXXXXX 13 años, XXXXXX 11 años, XXXXX 9 años, XXXXX 7 años, XXXXX 5 años y XXXX XXXXXXXXX 3 años, todos de apellido XXXX XXXXX y no nos dieron pensión ni ayuda para las becas mencionadas municipales y a la vez la Gubernatura. Todo lo anterior en relación con los hechos de secuestro, tortura y homicidio de mi padre el X XX XXXXXXX XX XXXX, cuando fungía como xxxxx xxxxxx del Ayuntamiento de Naucalpan del trienio 1967-1969 estando en funciones. El nombre de mi padre fallecido es </w:t>
      </w:r>
      <w:r w:rsidDel="00000000" w:rsidR="00000000" w:rsidRPr="00000000">
        <w:rPr>
          <w:rFonts w:ascii="Palatino Linotype" w:cs="Palatino Linotype" w:eastAsia="Palatino Linotype" w:hAnsi="Palatino Linotype"/>
          <w:b w:val="1"/>
          <w:i w:val="1"/>
          <w:sz w:val="22"/>
          <w:szCs w:val="22"/>
          <w:rtl w:val="0"/>
        </w:rPr>
        <w:t xml:space="preserve">XXXXX XXXX XXXXXXX</w:t>
      </w:r>
      <w:r w:rsidDel="00000000" w:rsidR="00000000" w:rsidRPr="00000000">
        <w:rPr>
          <w:rFonts w:ascii="Palatino Linotype" w:cs="Palatino Linotype" w:eastAsia="Palatino Linotype" w:hAnsi="Palatino Linotype"/>
          <w:i w:val="1"/>
          <w:sz w:val="22"/>
          <w:szCs w:val="22"/>
          <w:rtl w:val="0"/>
        </w:rPr>
        <w:t xml:space="preserve">. De ahí que requiero todos los documentos relacionados con acciones que el Gobernador haya realizado para esclarecer el hecho por el homicidio de mi padre en funciones como servidor público y los apoyos, becas o ayudas que nos prometieron. Aunado a ello todas las fichas informativas, informes, oficios, o como se denominen relacionados con los informes que las distintas dependencias de seguridad, Procuraduría General del Estado de México o de competencia, mediante las que informaron al Gobernado acerca de los hechos relacionados con el secuestro, tortura y homicidio de mi padre el X XX XXXXXXX XX XXXX. Todo lo anterior lo estoy solicitando por los hechos de 1968 a 1990 que comprende la "Guerra Sucia" esclarecimiento del crimen de reparación del daño a los deudos que creó nuestro Presidente Andrés Manuel López Obrador. Adjunto documentos que acreditan interés de acuerdo al art. 106 de la Ley de Datos Personales Local., así como aquellos que pueden servir para mayor referencia y se pueda proporcionar cualquier documento relacionado con que cuenten y así ayudarme en la investigación que realizo, gracias.</w:t>
      </w:r>
      <w:r w:rsidDel="00000000" w:rsidR="00000000" w:rsidRPr="00000000">
        <w:rPr>
          <w:rFonts w:ascii="Palatino Linotype" w:cs="Palatino Linotype" w:eastAsia="Palatino Linotype" w:hAnsi="Palatino Linotype"/>
          <w:b w:val="1"/>
          <w:i w:val="1"/>
          <w:sz w:val="22"/>
          <w:szCs w:val="22"/>
          <w:rtl w:val="0"/>
        </w:rPr>
        <w:t xml:space="preserve">”</w:t>
      </w:r>
      <w:r w:rsidDel="00000000" w:rsidR="00000000" w:rsidRPr="00000000">
        <w:rPr>
          <w:rFonts w:ascii="Palatino Linotype" w:cs="Palatino Linotype" w:eastAsia="Palatino Linotype" w:hAnsi="Palatino Linotype"/>
          <w:i w:val="1"/>
          <w:sz w:val="22"/>
          <w:szCs w:val="22"/>
          <w:rtl w:val="0"/>
        </w:rPr>
        <w:t xml:space="preserve"> (sic) </w:t>
      </w:r>
      <w:r w:rsidDel="00000000" w:rsidR="00000000" w:rsidRPr="00000000">
        <w:rPr>
          <w:rtl w:val="0"/>
        </w:rPr>
      </w:r>
    </w:p>
    <w:p w:rsidR="00000000" w:rsidDel="00000000" w:rsidP="00000000" w:rsidRDefault="00000000" w:rsidRPr="00000000" w14:paraId="00000006">
      <w:pPr>
        <w:spacing w:after="240" w:before="240" w:line="360" w:lineRule="auto"/>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Modalidad de acceso a la información:</w:t>
      </w:r>
      <w:r w:rsidDel="00000000" w:rsidR="00000000" w:rsidRPr="00000000">
        <w:rPr>
          <w:rFonts w:ascii="Palatino Linotype" w:cs="Palatino Linotype" w:eastAsia="Palatino Linotype" w:hAnsi="Palatino Linotype"/>
          <w:rtl w:val="0"/>
        </w:rPr>
        <w:t xml:space="preserve"> a través de</w:t>
      </w:r>
      <w:r w:rsidDel="00000000" w:rsidR="00000000" w:rsidRPr="00000000">
        <w:rPr>
          <w:rFonts w:ascii="Palatino Linotype" w:cs="Palatino Linotype" w:eastAsia="Palatino Linotype" w:hAnsi="Palatino Linotype"/>
          <w:b w:val="1"/>
          <w:rtl w:val="0"/>
        </w:rPr>
        <w:t xml:space="preserve"> SARCOEM.</w:t>
      </w:r>
    </w:p>
    <w:p w:rsidR="00000000" w:rsidDel="00000000" w:rsidP="00000000" w:rsidRDefault="00000000" w:rsidRPr="00000000" w14:paraId="00000007">
      <w:pPr>
        <w:spacing w:after="240" w:before="240" w:line="360" w:lineRule="auto"/>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Pr>
        <w:drawing>
          <wp:inline distB="0" distT="0" distL="0" distR="0">
            <wp:extent cx="5612130" cy="957580"/>
            <wp:effectExtent b="0" l="0" r="0" t="0"/>
            <wp:docPr id="201975761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612130" cy="95758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240" w:before="240" w:line="360" w:lineRule="auto"/>
        <w:jc w:val="both"/>
        <w:rPr>
          <w:rFonts w:ascii="Palatino Linotype" w:cs="Palatino Linotype" w:eastAsia="Palatino Linotype" w:hAnsi="Palatino Linotype"/>
        </w:rPr>
      </w:pPr>
      <w:bookmarkStart w:colFirst="0" w:colLast="0" w:name="_heading=h.3dy6vkm" w:id="1"/>
      <w:bookmarkEnd w:id="1"/>
      <w:r w:rsidDel="00000000" w:rsidR="00000000" w:rsidRPr="00000000">
        <w:rPr>
          <w:rFonts w:ascii="Palatino Linotype" w:cs="Palatino Linotype" w:eastAsia="Palatino Linotype" w:hAnsi="Palatino Linotype"/>
          <w:rtl w:val="0"/>
        </w:rPr>
        <w:t xml:space="preserve">La persona solicitante adjuntó la digitalización de su Credencial para votar emitida por el Instituto Nacional Electoral y su Acta de Nacimiento, el Acta de Defunción del titular de los datos personales, y diversos documentos y notas periodísticas que se relacionan con el suceso referido en la solicitud de acceso a datos.</w:t>
      </w:r>
    </w:p>
    <w:p w:rsidR="00000000" w:rsidDel="00000000" w:rsidP="00000000" w:rsidRDefault="00000000" w:rsidRPr="00000000" w14:paraId="00000009">
      <w:pPr>
        <w:spacing w:after="240" w:before="240" w:line="360" w:lineRule="auto"/>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2. Respuesta. </w:t>
      </w:r>
      <w:r w:rsidDel="00000000" w:rsidR="00000000" w:rsidRPr="00000000">
        <w:rPr>
          <w:rFonts w:ascii="Palatino Linotype" w:cs="Palatino Linotype" w:eastAsia="Palatino Linotype" w:hAnsi="Palatino Linotype"/>
          <w:rtl w:val="0"/>
        </w:rPr>
        <w:t xml:space="preserve">De las constancias que obran en </w:t>
      </w:r>
      <w:r w:rsidDel="00000000" w:rsidR="00000000" w:rsidRPr="00000000">
        <w:rPr>
          <w:rFonts w:ascii="Palatino Linotype" w:cs="Palatino Linotype" w:eastAsia="Palatino Linotype" w:hAnsi="Palatino Linotype"/>
          <w:b w:val="1"/>
          <w:rtl w:val="0"/>
        </w:rPr>
        <w:t xml:space="preserve">SARCEOM</w:t>
      </w:r>
      <w:r w:rsidDel="00000000" w:rsidR="00000000" w:rsidRPr="00000000">
        <w:rPr>
          <w:rFonts w:ascii="Palatino Linotype" w:cs="Palatino Linotype" w:eastAsia="Palatino Linotype" w:hAnsi="Palatino Linotype"/>
          <w:rtl w:val="0"/>
        </w:rPr>
        <w:t xml:space="preserve">, se observa que 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no emitió respuesta a la solicitud de acceso a datos de la persona solicitante.</w:t>
      </w:r>
      <w:r w:rsidDel="00000000" w:rsidR="00000000" w:rsidRPr="00000000">
        <w:rPr>
          <w:rtl w:val="0"/>
        </w:rPr>
      </w:r>
    </w:p>
    <w:p w:rsidR="00000000" w:rsidDel="00000000" w:rsidP="00000000" w:rsidRDefault="00000000" w:rsidRPr="00000000" w14:paraId="0000000A">
      <w:pPr>
        <w:spacing w:after="240" w:before="240" w:line="360" w:lineRule="auto"/>
        <w:ind w:right="49"/>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3. Interposición del recurso de revisión. </w:t>
      </w:r>
      <w:r w:rsidDel="00000000" w:rsidR="00000000" w:rsidRPr="00000000">
        <w:rPr>
          <w:rFonts w:ascii="Palatino Linotype" w:cs="Palatino Linotype" w:eastAsia="Palatino Linotype" w:hAnsi="Palatino Linotype"/>
          <w:rtl w:val="0"/>
        </w:rPr>
        <w:t xml:space="preserve">Inconforme con la falta de respuesta del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el </w:t>
      </w:r>
      <w:r w:rsidDel="00000000" w:rsidR="00000000" w:rsidRPr="00000000">
        <w:rPr>
          <w:rFonts w:ascii="Palatino Linotype" w:cs="Palatino Linotype" w:eastAsia="Palatino Linotype" w:hAnsi="Palatino Linotype"/>
          <w:b w:val="1"/>
          <w:rtl w:val="0"/>
        </w:rPr>
        <w:t xml:space="preserve">treinta de abril de dos mil veinticuatro,</w:t>
      </w:r>
      <w:r w:rsidDel="00000000" w:rsidR="00000000" w:rsidRPr="00000000">
        <w:rPr>
          <w:rFonts w:ascii="Palatino Linotype" w:cs="Palatino Linotype" w:eastAsia="Palatino Linotype" w:hAnsi="Palatino Linotype"/>
          <w:rtl w:val="0"/>
        </w:rPr>
        <w:t xml:space="preserve"> la persona solicitante interpuso el recurso de revisión a través del </w:t>
      </w:r>
      <w:r w:rsidDel="00000000" w:rsidR="00000000" w:rsidRPr="00000000">
        <w:rPr>
          <w:rFonts w:ascii="Palatino Linotype" w:cs="Palatino Linotype" w:eastAsia="Palatino Linotype" w:hAnsi="Palatino Linotype"/>
          <w:b w:val="1"/>
          <w:rtl w:val="0"/>
        </w:rPr>
        <w:t xml:space="preserve">SARCOEM, </w:t>
      </w:r>
      <w:r w:rsidDel="00000000" w:rsidR="00000000" w:rsidRPr="00000000">
        <w:rPr>
          <w:rFonts w:ascii="Palatino Linotype" w:cs="Palatino Linotype" w:eastAsia="Palatino Linotype" w:hAnsi="Palatino Linotype"/>
          <w:rtl w:val="0"/>
        </w:rPr>
        <w:t xml:space="preserve">en donde se manifestó de la siguiente manera:</w:t>
      </w:r>
      <w:r w:rsidDel="00000000" w:rsidR="00000000" w:rsidRPr="00000000">
        <w:rPr>
          <w:rtl w:val="0"/>
        </w:rPr>
      </w:r>
    </w:p>
    <w:p w:rsidR="00000000" w:rsidDel="00000000" w:rsidP="00000000" w:rsidRDefault="00000000" w:rsidRPr="00000000" w14:paraId="0000000B">
      <w:pPr>
        <w:tabs>
          <w:tab w:val="left" w:leader="none" w:pos="2745"/>
        </w:tabs>
        <w:spacing w:after="240" w:before="240" w:line="360" w:lineRule="auto"/>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Acto impugnado: </w:t>
      </w:r>
    </w:p>
    <w:p w:rsidR="00000000" w:rsidDel="00000000" w:rsidP="00000000" w:rsidRDefault="00000000" w:rsidRPr="00000000" w14:paraId="0000000C">
      <w:pPr>
        <w:tabs>
          <w:tab w:val="left" w:leader="none" w:pos="2745"/>
        </w:tabs>
        <w:spacing w:after="240" w:before="240" w:lineRule="auto"/>
        <w:ind w:left="851"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“No contestaron mi solicitud” (sic)</w:t>
      </w:r>
    </w:p>
    <w:p w:rsidR="00000000" w:rsidDel="00000000" w:rsidP="00000000" w:rsidRDefault="00000000" w:rsidRPr="00000000" w14:paraId="0000000D">
      <w:pPr>
        <w:spacing w:line="360" w:lineRule="auto"/>
        <w:jc w:val="both"/>
        <w:rPr>
          <w:rFonts w:ascii="Palatino Linotype" w:cs="Palatino Linotype" w:eastAsia="Palatino Linotype" w:hAnsi="Palatino Linotype"/>
        </w:rPr>
      </w:pPr>
      <w:bookmarkStart w:colFirst="0" w:colLast="0" w:name="_heading=h.30j0zll" w:id="2"/>
      <w:bookmarkEnd w:id="2"/>
      <w:r w:rsidDel="00000000" w:rsidR="00000000" w:rsidRPr="00000000">
        <w:rPr>
          <w:rFonts w:ascii="Palatino Linotype" w:cs="Palatino Linotype" w:eastAsia="Palatino Linotype" w:hAnsi="Palatino Linotype"/>
          <w:b w:val="1"/>
          <w:rtl w:val="0"/>
        </w:rPr>
        <w:t xml:space="preserve">Y Razones o motivos de inconformidad</w:t>
      </w: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0E">
      <w:pPr>
        <w:tabs>
          <w:tab w:val="left" w:leader="none" w:pos="2745"/>
        </w:tabs>
        <w:spacing w:after="240" w:before="240" w:lineRule="auto"/>
        <w:ind w:left="851" w:right="900" w:firstLine="0"/>
        <w:jc w:val="both"/>
        <w:rPr>
          <w:rFonts w:ascii="Palatino Linotype" w:cs="Palatino Linotype" w:eastAsia="Palatino Linotype" w:hAnsi="Palatino Linotype"/>
          <w:i w:val="1"/>
          <w:sz w:val="22"/>
          <w:szCs w:val="22"/>
        </w:rPr>
      </w:pPr>
      <w:bookmarkStart w:colFirst="0" w:colLast="0" w:name="_heading=h.2et92p0" w:id="3"/>
      <w:bookmarkEnd w:id="3"/>
      <w:r w:rsidDel="00000000" w:rsidR="00000000" w:rsidRPr="00000000">
        <w:rPr>
          <w:rFonts w:ascii="Palatino Linotype" w:cs="Palatino Linotype" w:eastAsia="Palatino Linotype" w:hAnsi="Palatino Linotype"/>
          <w:i w:val="1"/>
          <w:sz w:val="22"/>
          <w:szCs w:val="22"/>
          <w:rtl w:val="0"/>
        </w:rPr>
        <w:t xml:space="preserve">“No se atendió la solicitud” (sic)</w:t>
      </w:r>
    </w:p>
    <w:p w:rsidR="00000000" w:rsidDel="00000000" w:rsidP="00000000" w:rsidRDefault="00000000" w:rsidRPr="00000000" w14:paraId="0000000F">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La parte </w:t>
      </w:r>
      <w:r w:rsidDel="00000000" w:rsidR="00000000" w:rsidRPr="00000000">
        <w:rPr>
          <w:rFonts w:ascii="Palatino Linotype" w:cs="Palatino Linotype" w:eastAsia="Palatino Linotype" w:hAnsi="Palatino Linotype"/>
          <w:b w:val="1"/>
          <w:rtl w:val="0"/>
        </w:rPr>
        <w:t xml:space="preserve">Recurrente </w:t>
      </w:r>
      <w:r w:rsidDel="00000000" w:rsidR="00000000" w:rsidRPr="00000000">
        <w:rPr>
          <w:rFonts w:ascii="Palatino Linotype" w:cs="Palatino Linotype" w:eastAsia="Palatino Linotype" w:hAnsi="Palatino Linotype"/>
          <w:rtl w:val="0"/>
        </w:rPr>
        <w:t xml:space="preserve">adjuntó nuevamente los documentos que acompañaron su solicitud de acceso a datos.</w:t>
      </w:r>
    </w:p>
    <w:p w:rsidR="00000000" w:rsidDel="00000000" w:rsidP="00000000" w:rsidRDefault="00000000" w:rsidRPr="00000000" w14:paraId="00000010">
      <w:pPr>
        <w:spacing w:after="240" w:before="240" w:line="360" w:lineRule="auto"/>
        <w:ind w:right="51"/>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4. Turno. </w:t>
      </w:r>
      <w:r w:rsidDel="00000000" w:rsidR="00000000" w:rsidRPr="00000000">
        <w:rPr>
          <w:rFonts w:ascii="Palatino Linotype" w:cs="Palatino Linotype" w:eastAsia="Palatino Linotype" w:hAnsi="Palatino Linotype"/>
          <w:rtl w:val="0"/>
        </w:rPr>
        <w:t xml:space="preserve">De conformidad con los artículos 11 y 127, de la Ley de Protección de Datos Personales en Posesión de Sujetos Obligados del Estado de México y Municipios, en relación con el diverso 185, fracción I, de la Ley de Transparencia y Acceso a la Información Pública del Estado de México y Municipios, de aplicación supletoria a la citada Ley de Protección de Datos Personales, el presente recurso de revisión se turnó mediante el sistema electrónico </w:t>
      </w:r>
      <w:r w:rsidDel="00000000" w:rsidR="00000000" w:rsidRPr="00000000">
        <w:rPr>
          <w:rFonts w:ascii="Palatino Linotype" w:cs="Palatino Linotype" w:eastAsia="Palatino Linotype" w:hAnsi="Palatino Linotype"/>
          <w:b w:val="1"/>
          <w:rtl w:val="0"/>
        </w:rPr>
        <w:t xml:space="preserve">SARCOEM</w:t>
      </w:r>
      <w:r w:rsidDel="00000000" w:rsidR="00000000" w:rsidRPr="00000000">
        <w:rPr>
          <w:rFonts w:ascii="Palatino Linotype" w:cs="Palatino Linotype" w:eastAsia="Palatino Linotype" w:hAnsi="Palatino Linotype"/>
          <w:rtl w:val="0"/>
        </w:rPr>
        <w:t xml:space="preserve"> del Instituto de Transparencia, Acceso a la Información Pública y Protección de Datos Personales del Estado de México y Municipios, a la Comisionada </w:t>
      </w:r>
      <w:r w:rsidDel="00000000" w:rsidR="00000000" w:rsidRPr="00000000">
        <w:rPr>
          <w:rFonts w:ascii="Palatino Linotype" w:cs="Palatino Linotype" w:eastAsia="Palatino Linotype" w:hAnsi="Palatino Linotype"/>
          <w:b w:val="1"/>
          <w:rtl w:val="0"/>
        </w:rPr>
        <w:t xml:space="preserve">Guadalupe Ramírez Peña, </w:t>
      </w:r>
      <w:r w:rsidDel="00000000" w:rsidR="00000000" w:rsidRPr="00000000">
        <w:rPr>
          <w:rFonts w:ascii="Palatino Linotype" w:cs="Palatino Linotype" w:eastAsia="Palatino Linotype" w:hAnsi="Palatino Linotype"/>
          <w:rtl w:val="0"/>
        </w:rPr>
        <w:t xml:space="preserve">a efecto de que analizara sobre su admisión o su desechamiento.</w:t>
      </w:r>
      <w:r w:rsidDel="00000000" w:rsidR="00000000" w:rsidRPr="00000000">
        <w:rPr>
          <w:rtl w:val="0"/>
        </w:rPr>
      </w:r>
    </w:p>
    <w:p w:rsidR="00000000" w:rsidDel="00000000" w:rsidP="00000000" w:rsidRDefault="00000000" w:rsidRPr="00000000" w14:paraId="00000011">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5. Admisión del Recurso de revisión.</w:t>
      </w:r>
      <w:r w:rsidDel="00000000" w:rsidR="00000000" w:rsidRPr="00000000">
        <w:rPr>
          <w:rFonts w:ascii="Palatino Linotype" w:cs="Palatino Linotype" w:eastAsia="Palatino Linotype" w:hAnsi="Palatino Linotype"/>
          <w:rtl w:val="0"/>
        </w:rPr>
        <w:t xml:space="preserve"> El</w:t>
      </w:r>
      <w:r w:rsidDel="00000000" w:rsidR="00000000" w:rsidRPr="00000000">
        <w:rPr>
          <w:rFonts w:ascii="Palatino Linotype" w:cs="Palatino Linotype" w:eastAsia="Palatino Linotype" w:hAnsi="Palatino Linotype"/>
          <w:b w:val="1"/>
          <w:rtl w:val="0"/>
        </w:rPr>
        <w:t xml:space="preserve"> siete de mayo de dos mil veinticuatro, </w:t>
      </w:r>
      <w:r w:rsidDel="00000000" w:rsidR="00000000" w:rsidRPr="00000000">
        <w:rPr>
          <w:rFonts w:ascii="Palatino Linotype" w:cs="Palatino Linotype" w:eastAsia="Palatino Linotype" w:hAnsi="Palatino Linotype"/>
          <w:rtl w:val="0"/>
        </w:rPr>
        <w:t xml:space="preserve">de conformidad con lo dispuesto en los artículos 11, 127 y 131 de la Ley de Protección de Datos Personales en Posesión de Sujetos Obligados del Estado de México y Municipios, y 185, fracción II de la Ley de Transparencia y Acceso a la Información Pública del Estado de México y Municipios de aplicación supletoria, se acordó lo siguiente: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240" w:before="240" w:line="360" w:lineRule="auto"/>
        <w:ind w:left="284" w:right="193"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La admisión a trámite del referido recurso de revisión;</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240" w:before="240" w:line="360" w:lineRule="auto"/>
        <w:ind w:left="284" w:right="193"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La integración del expediente a fin de ponerlo a disposición de las partes para la consulta.</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240" w:before="240" w:line="360" w:lineRule="auto"/>
        <w:ind w:left="284" w:right="193"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El requerimiento</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a las partes para que en un plazo no mayor a siete días manifestaran, por cualquier medio, su voluntad de conciliar, con el apercibimiento de que, en caso de no hacerlo, se tendría por precluido su derecho, para tales efectos.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40" w:before="240" w:line="360" w:lineRule="auto"/>
        <w:ind w:left="284" w:right="193"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Asimismo, en términos del artículo 132 fracción I de la Ley de Protección de Datos Personales en Posesión de Sujetos Obligados del Estado de México y Municipios, se hizo del conocimiento de las partes un resumen del recurso de revisión de mérito, así como los elementos comunes y puntos de controversia, respecto del presente asunto.</w:t>
      </w:r>
    </w:p>
    <w:p w:rsidR="00000000" w:rsidDel="00000000" w:rsidP="00000000" w:rsidRDefault="00000000" w:rsidRPr="00000000" w14:paraId="00000016">
      <w:pPr>
        <w:spacing w:after="240" w:before="240" w:line="360" w:lineRule="auto"/>
        <w:jc w:val="both"/>
        <w:rPr>
          <w:rFonts w:ascii="Palatino Linotype" w:cs="Palatino Linotype" w:eastAsia="Palatino Linotype" w:hAnsi="Palatino Linotype"/>
          <w:b w:val="1"/>
        </w:rPr>
      </w:pPr>
      <w:bookmarkStart w:colFirst="0" w:colLast="0" w:name="_heading=h.2s8eyo1" w:id="4"/>
      <w:bookmarkEnd w:id="4"/>
      <w:r w:rsidDel="00000000" w:rsidR="00000000" w:rsidRPr="00000000">
        <w:rPr>
          <w:rFonts w:ascii="Palatino Linotype" w:cs="Palatino Linotype" w:eastAsia="Palatino Linotype" w:hAnsi="Palatino Linotype"/>
          <w:b w:val="1"/>
          <w:rtl w:val="0"/>
        </w:rPr>
        <w:t xml:space="preserve">6. Etapa de Conciliación. </w:t>
      </w:r>
      <w:r w:rsidDel="00000000" w:rsidR="00000000" w:rsidRPr="00000000">
        <w:rPr>
          <w:rFonts w:ascii="Palatino Linotype" w:cs="Palatino Linotype" w:eastAsia="Palatino Linotype" w:hAnsi="Palatino Linotype"/>
          <w:rtl w:val="0"/>
        </w:rPr>
        <w:t xml:space="preserve">El </w:t>
      </w:r>
      <w:r w:rsidDel="00000000" w:rsidR="00000000" w:rsidRPr="00000000">
        <w:rPr>
          <w:rFonts w:ascii="Palatino Linotype" w:cs="Palatino Linotype" w:eastAsia="Palatino Linotype" w:hAnsi="Palatino Linotype"/>
          <w:b w:val="1"/>
          <w:rtl w:val="0"/>
        </w:rPr>
        <w:t xml:space="preserve">tres de julio dos mil veinticuatro</w:t>
      </w:r>
      <w:r w:rsidDel="00000000" w:rsidR="00000000" w:rsidRPr="00000000">
        <w:rPr>
          <w:rFonts w:ascii="Palatino Linotype" w:cs="Palatino Linotype" w:eastAsia="Palatino Linotype" w:hAnsi="Palatino Linotype"/>
          <w:rtl w:val="0"/>
        </w:rPr>
        <w:t xml:space="preserve">, se notificó a las partes el Acuerdo de exhortación a conciliación, y se otorgó un plazo máximo de siete días hábiles para  que remitieran a este Instituto, por cualquier medio, un escrito en el que manifestaran  su voluntad de conciliar, en términos del artículo 132, fracción I de la Ley de Protección  de Datos Personales en Posesión de Sujetos Obligados del Estado de México y  Municipios.</w:t>
      </w:r>
      <w:r w:rsidDel="00000000" w:rsidR="00000000" w:rsidRPr="00000000">
        <w:rPr>
          <w:rtl w:val="0"/>
        </w:rPr>
      </w:r>
    </w:p>
    <w:p w:rsidR="00000000" w:rsidDel="00000000" w:rsidP="00000000" w:rsidRDefault="00000000" w:rsidRPr="00000000" w14:paraId="00000017">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El </w:t>
      </w:r>
      <w:r w:rsidDel="00000000" w:rsidR="00000000" w:rsidRPr="00000000">
        <w:rPr>
          <w:rFonts w:ascii="Palatino Linotype" w:cs="Palatino Linotype" w:eastAsia="Palatino Linotype" w:hAnsi="Palatino Linotype"/>
          <w:b w:val="1"/>
          <w:rtl w:val="0"/>
        </w:rPr>
        <w:t xml:space="preserve">ocho de julio de dos mil veinticuatro</w:t>
      </w:r>
      <w:r w:rsidDel="00000000" w:rsidR="00000000" w:rsidRPr="00000000">
        <w:rPr>
          <w:rFonts w:ascii="Palatino Linotype" w:cs="Palatino Linotype" w:eastAsia="Palatino Linotype" w:hAnsi="Palatino Linotype"/>
          <w:rtl w:val="0"/>
        </w:rPr>
        <w:t xml:space="preserve">, 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manifestó su voluntad para conciliar, mediante el oficio número 234A00000/UT-401-2024, mientras que la parte </w:t>
      </w:r>
      <w:r w:rsidDel="00000000" w:rsidR="00000000" w:rsidRPr="00000000">
        <w:rPr>
          <w:rFonts w:ascii="Palatino Linotype" w:cs="Palatino Linotype" w:eastAsia="Palatino Linotype" w:hAnsi="Palatino Linotype"/>
          <w:b w:val="1"/>
          <w:rtl w:val="0"/>
        </w:rPr>
        <w:t xml:space="preserve">Recurrente </w:t>
      </w:r>
      <w:r w:rsidDel="00000000" w:rsidR="00000000" w:rsidRPr="00000000">
        <w:rPr>
          <w:rFonts w:ascii="Palatino Linotype" w:cs="Palatino Linotype" w:eastAsia="Palatino Linotype" w:hAnsi="Palatino Linotype"/>
          <w:rtl w:val="0"/>
        </w:rPr>
        <w:t xml:space="preserve">manifestó su voluntad para conciliar el presente asunto, el </w:t>
      </w:r>
      <w:r w:rsidDel="00000000" w:rsidR="00000000" w:rsidRPr="00000000">
        <w:rPr>
          <w:rFonts w:ascii="Palatino Linotype" w:cs="Palatino Linotype" w:eastAsia="Palatino Linotype" w:hAnsi="Palatino Linotype"/>
          <w:b w:val="1"/>
          <w:rtl w:val="0"/>
        </w:rPr>
        <w:t xml:space="preserve">nueve de julio de dos mil veinticuatro</w:t>
      </w:r>
      <w:r w:rsidDel="00000000" w:rsidR="00000000" w:rsidRPr="00000000">
        <w:rPr>
          <w:rFonts w:ascii="Palatino Linotype" w:cs="Palatino Linotype" w:eastAsia="Palatino Linotype" w:hAnsi="Palatino Linotype"/>
          <w:rtl w:val="0"/>
        </w:rPr>
        <w:t xml:space="preserve">, mediante un escrito libre.</w:t>
      </w:r>
    </w:p>
    <w:p w:rsidR="00000000" w:rsidDel="00000000" w:rsidP="00000000" w:rsidRDefault="00000000" w:rsidRPr="00000000" w14:paraId="00000018">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 respecto, se identifica que este Instituto tiene la atribución de procurar la conciliación entre las autoridades y los titulares de los datos personales en cualquier momento del procedimiento del Recurso de Revisión, y en su caso, verificar el cumplimiento del acuerdo respectivo en términos del artículo 82, fracción XXVIII de la Ley de Protección de Datos Personales del Estado de México y Municipios. Entonces. Por lo tanto, se consideró procedente citar a las partes a audiencia de conciliación.</w:t>
      </w:r>
    </w:p>
    <w:p w:rsidR="00000000" w:rsidDel="00000000" w:rsidP="00000000" w:rsidRDefault="00000000" w:rsidRPr="00000000" w14:paraId="00000019">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Atentos a la voluntad de las partes de llegar a una conciliación en el presente asunto, el </w:t>
      </w:r>
      <w:r w:rsidDel="00000000" w:rsidR="00000000" w:rsidRPr="00000000">
        <w:rPr>
          <w:rFonts w:ascii="Palatino Linotype" w:cs="Palatino Linotype" w:eastAsia="Palatino Linotype" w:hAnsi="Palatino Linotype"/>
          <w:b w:val="1"/>
          <w:rtl w:val="0"/>
        </w:rPr>
        <w:t xml:space="preserve">diecisiete de julio de dos mil veinticuatro</w:t>
      </w:r>
      <w:r w:rsidDel="00000000" w:rsidR="00000000" w:rsidRPr="00000000">
        <w:rPr>
          <w:rFonts w:ascii="Palatino Linotype" w:cs="Palatino Linotype" w:eastAsia="Palatino Linotype" w:hAnsi="Palatino Linotype"/>
          <w:rtl w:val="0"/>
        </w:rPr>
        <w:t xml:space="preserve">, la Comisionada Ponente emitió el </w:t>
      </w:r>
      <w:r w:rsidDel="00000000" w:rsidR="00000000" w:rsidRPr="00000000">
        <w:rPr>
          <w:rFonts w:ascii="Palatino Linotype" w:cs="Palatino Linotype" w:eastAsia="Palatino Linotype" w:hAnsi="Palatino Linotype"/>
          <w:b w:val="1"/>
          <w:rtl w:val="0"/>
        </w:rPr>
        <w:t xml:space="preserve">Acuerdo para señalar día, hora y lugar para la celebración de la audiencia de conciliación, </w:t>
      </w:r>
      <w:r w:rsidDel="00000000" w:rsidR="00000000" w:rsidRPr="00000000">
        <w:rPr>
          <w:rFonts w:ascii="Palatino Linotype" w:cs="Palatino Linotype" w:eastAsia="Palatino Linotype" w:hAnsi="Palatino Linotype"/>
          <w:rtl w:val="0"/>
        </w:rPr>
        <w:t xml:space="preserve">esto es, a las 11:00 horas del día nueve de agosto de dos mil veinticuatro, en las oficinas de este Instituto.</w:t>
      </w:r>
    </w:p>
    <w:p w:rsidR="00000000" w:rsidDel="00000000" w:rsidP="00000000" w:rsidRDefault="00000000" w:rsidRPr="00000000" w14:paraId="0000001A">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 las 11:03 horas del día </w:t>
      </w:r>
      <w:r w:rsidDel="00000000" w:rsidR="00000000" w:rsidRPr="00000000">
        <w:rPr>
          <w:rFonts w:ascii="Palatino Linotype" w:cs="Palatino Linotype" w:eastAsia="Palatino Linotype" w:hAnsi="Palatino Linotype"/>
          <w:b w:val="1"/>
          <w:rtl w:val="0"/>
        </w:rPr>
        <w:t xml:space="preserve">nueve de agosto de dos mil veinticuatro</w:t>
      </w:r>
      <w:r w:rsidDel="00000000" w:rsidR="00000000" w:rsidRPr="00000000">
        <w:rPr>
          <w:rFonts w:ascii="Palatino Linotype" w:cs="Palatino Linotype" w:eastAsia="Palatino Linotype" w:hAnsi="Palatino Linotype"/>
          <w:rtl w:val="0"/>
        </w:rPr>
        <w:t xml:space="preserve">, tuvo verificativo la audiencia de conciliación entre la parte</w:t>
      </w:r>
      <w:r w:rsidDel="00000000" w:rsidR="00000000" w:rsidRPr="00000000">
        <w:rPr>
          <w:rFonts w:ascii="Palatino Linotype" w:cs="Palatino Linotype" w:eastAsia="Palatino Linotype" w:hAnsi="Palatino Linotype"/>
          <w:b w:val="1"/>
          <w:rtl w:val="0"/>
        </w:rPr>
        <w:t xml:space="preserve"> Recurrente </w:t>
      </w:r>
      <w:r w:rsidDel="00000000" w:rsidR="00000000" w:rsidRPr="00000000">
        <w:rPr>
          <w:rFonts w:ascii="Palatino Linotype" w:cs="Palatino Linotype" w:eastAsia="Palatino Linotype" w:hAnsi="Palatino Linotype"/>
          <w:rtl w:val="0"/>
        </w:rPr>
        <w:t xml:space="preserve">y</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el</w:t>
      </w:r>
      <w:r w:rsidDel="00000000" w:rsidR="00000000" w:rsidRPr="00000000">
        <w:rPr>
          <w:rFonts w:ascii="Palatino Linotype" w:cs="Palatino Linotype" w:eastAsia="Palatino Linotype" w:hAnsi="Palatino Linotype"/>
          <w:b w:val="1"/>
          <w:rtl w:val="0"/>
        </w:rPr>
        <w:t xml:space="preserve"> Sujeto Obligado</w:t>
      </w:r>
      <w:r w:rsidDel="00000000" w:rsidR="00000000" w:rsidRPr="00000000">
        <w:rPr>
          <w:rFonts w:ascii="Palatino Linotype" w:cs="Palatino Linotype" w:eastAsia="Palatino Linotype" w:hAnsi="Palatino Linotype"/>
          <w:rtl w:val="0"/>
        </w:rPr>
        <w:t xml:space="preserve">, a la cual</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comparecieron ambas partes, quienes previamente se identificaron con las identificaciones oficiales correspondientes, asimismo, la parte </w:t>
      </w:r>
      <w:r w:rsidDel="00000000" w:rsidR="00000000" w:rsidRPr="00000000">
        <w:rPr>
          <w:rFonts w:ascii="Palatino Linotype" w:cs="Palatino Linotype" w:eastAsia="Palatino Linotype" w:hAnsi="Palatino Linotype"/>
          <w:b w:val="1"/>
          <w:rtl w:val="0"/>
        </w:rPr>
        <w:t xml:space="preserve">Recurrente</w:t>
      </w:r>
      <w:r w:rsidDel="00000000" w:rsidR="00000000" w:rsidRPr="00000000">
        <w:rPr>
          <w:rFonts w:ascii="Palatino Linotype" w:cs="Palatino Linotype" w:eastAsia="Palatino Linotype" w:hAnsi="Palatino Linotype"/>
          <w:rtl w:val="0"/>
        </w:rPr>
        <w:t xml:space="preserve"> acreditó el interés jurídico mediante su Acta de nacimiento, así como Acta de defunción de su padre; manifestaron sus posturas y como resultado de estas, se levantó el acta correspondiente. </w:t>
      </w:r>
    </w:p>
    <w:p w:rsidR="00000000" w:rsidDel="00000000" w:rsidP="00000000" w:rsidRDefault="00000000" w:rsidRPr="00000000" w14:paraId="0000001B">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Es de señalar que quien acudió en representación del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dio cuenta a la persona solicitante que en ejercicio de sus atribuciones realizó la búsqueda en sus archivos físicos y electrónicos de los documentos referidos por la parte Recurrente en la solicitud de acceso a datos, sin embargo, no localizó documentación alguna que se hubiera remitido por las dependencias referidas en la solicitud a la Oficialía Mayor, o que la misma haya generado; asimismo refirió que la respuesta sería remitida a través del SARCOEM. </w:t>
      </w:r>
    </w:p>
    <w:p w:rsidR="00000000" w:rsidDel="00000000" w:rsidP="00000000" w:rsidRDefault="00000000" w:rsidRPr="00000000" w14:paraId="0000001C">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su parte, la persona solicitante consintió y aceptó la respuesta proporcionada por 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y dio por atendido su derecho a accedo a datos personales.  </w:t>
      </w:r>
    </w:p>
    <w:p w:rsidR="00000000" w:rsidDel="00000000" w:rsidP="00000000" w:rsidRDefault="00000000" w:rsidRPr="00000000" w14:paraId="0000001D">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7. Cumplimiento al Acuerdo de conciliación. </w:t>
      </w:r>
      <w:r w:rsidDel="00000000" w:rsidR="00000000" w:rsidRPr="00000000">
        <w:rPr>
          <w:rFonts w:ascii="Palatino Linotype" w:cs="Palatino Linotype" w:eastAsia="Palatino Linotype" w:hAnsi="Palatino Linotype"/>
          <w:rtl w:val="0"/>
        </w:rPr>
        <w:t xml:space="preserve"> El </w:t>
      </w:r>
      <w:r w:rsidDel="00000000" w:rsidR="00000000" w:rsidRPr="00000000">
        <w:rPr>
          <w:rFonts w:ascii="Palatino Linotype" w:cs="Palatino Linotype" w:eastAsia="Palatino Linotype" w:hAnsi="Palatino Linotype"/>
          <w:b w:val="1"/>
          <w:rtl w:val="0"/>
        </w:rPr>
        <w:t xml:space="preserve">doce de agosto de dos mil veinticuatro, </w:t>
      </w:r>
      <w:r w:rsidDel="00000000" w:rsidR="00000000" w:rsidRPr="00000000">
        <w:rPr>
          <w:rFonts w:ascii="Palatino Linotype" w:cs="Palatino Linotype" w:eastAsia="Palatino Linotype" w:hAnsi="Palatino Linotype"/>
          <w:rtl w:val="0"/>
        </w:rPr>
        <w:t xml:space="preserve"> el </w:t>
      </w:r>
      <w:r w:rsidDel="00000000" w:rsidR="00000000" w:rsidRPr="00000000">
        <w:rPr>
          <w:rFonts w:ascii="Palatino Linotype" w:cs="Palatino Linotype" w:eastAsia="Palatino Linotype" w:hAnsi="Palatino Linotype"/>
          <w:b w:val="1"/>
          <w:rtl w:val="0"/>
        </w:rPr>
        <w:t xml:space="preserve"> Sujeto Obligado </w:t>
      </w:r>
      <w:r w:rsidDel="00000000" w:rsidR="00000000" w:rsidRPr="00000000">
        <w:rPr>
          <w:rFonts w:ascii="Palatino Linotype" w:cs="Palatino Linotype" w:eastAsia="Palatino Linotype" w:hAnsi="Palatino Linotype"/>
          <w:rtl w:val="0"/>
        </w:rPr>
        <w:t xml:space="preserve">remitió a través del SARCOEM, el oficio 234A00000/UT-459-2024, mediante el cual la Encargada de atender temas de Transparencia, Acceso a la Información Pública y Protección de Datos Personales de la Oficialía Mayor, después de realizar una búsqueda exhaustiva y razonable en los archivos físicos y electrónicos de la Oficialía Mayor, manifiesta que no obra documento alguno susceptible de relacionar con el ejercicio de acceso a datos personales, en virtud de la falta de atribuciones para generar, administrar, poseer y/o administrar los documentos solicitados, hecho que configura la incompetencia notoria para el ejercicio del Derecho de Acceso a Datos personales, accionado por la persona solicitante, ante el Sujeto Obligado.</w:t>
      </w:r>
    </w:p>
    <w:p w:rsidR="00000000" w:rsidDel="00000000" w:rsidP="00000000" w:rsidRDefault="00000000" w:rsidRPr="00000000" w14:paraId="0000001E">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8. Ampliación del término para resolver</w:t>
      </w:r>
      <w:r w:rsidDel="00000000" w:rsidR="00000000" w:rsidRPr="00000000">
        <w:rPr>
          <w:rFonts w:ascii="Palatino Linotype" w:cs="Palatino Linotype" w:eastAsia="Palatino Linotype" w:hAnsi="Palatino Linotype"/>
          <w:rtl w:val="0"/>
        </w:rPr>
        <w:t xml:space="preserve">. En fecha </w:t>
      </w:r>
      <w:r w:rsidDel="00000000" w:rsidR="00000000" w:rsidRPr="00000000">
        <w:rPr>
          <w:rFonts w:ascii="Palatino Linotype" w:cs="Palatino Linotype" w:eastAsia="Palatino Linotype" w:hAnsi="Palatino Linotype"/>
          <w:b w:val="1"/>
          <w:rtl w:val="0"/>
        </w:rPr>
        <w:t xml:space="preserve">catorce de agosto de dos mil veinticuatro</w:t>
      </w:r>
      <w:r w:rsidDel="00000000" w:rsidR="00000000" w:rsidRPr="00000000">
        <w:rPr>
          <w:rFonts w:ascii="Palatino Linotype" w:cs="Palatino Linotype" w:eastAsia="Palatino Linotype" w:hAnsi="Palatino Linotype"/>
          <w:rtl w:val="0"/>
        </w:rPr>
        <w:t xml:space="preserve">, se amplió el término para resolver el recurso de revisión en términos del artículo 133 de la Ley de Protección de Datos Personales en Posesión de Sujetos Obligados del Estado de México y Municipios.</w:t>
      </w:r>
    </w:p>
    <w:p w:rsidR="00000000" w:rsidDel="00000000" w:rsidP="00000000" w:rsidRDefault="00000000" w:rsidRPr="00000000" w14:paraId="0000001F">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000000" w:rsidDel="00000000" w:rsidP="00000000" w:rsidRDefault="00000000" w:rsidRPr="00000000" w14:paraId="00000020">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rsidR="00000000" w:rsidDel="00000000" w:rsidP="00000000" w:rsidRDefault="00000000" w:rsidRPr="00000000" w14:paraId="00000021">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000000" w:rsidDel="00000000" w:rsidP="00000000" w:rsidRDefault="00000000" w:rsidRPr="00000000" w14:paraId="00000022">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000000" w:rsidDel="00000000" w:rsidP="00000000" w:rsidRDefault="00000000" w:rsidRPr="00000000" w14:paraId="00000023">
      <w:pPr>
        <w:spacing w:after="240" w:before="240" w:line="360" w:lineRule="auto"/>
        <w:jc w:val="both"/>
        <w:rPr>
          <w:rFonts w:ascii="Palatino Linotype" w:cs="Palatino Linotype" w:eastAsia="Palatino Linotype" w:hAnsi="Palatino Linotype"/>
          <w:strike w:val="1"/>
        </w:rPr>
      </w:pPr>
      <w:r w:rsidDel="00000000" w:rsidR="00000000" w:rsidRPr="00000000">
        <w:rPr>
          <w:rFonts w:ascii="Palatino Linotype" w:cs="Palatino Linotype" w:eastAsia="Palatino Linotype" w:hAnsi="Palatino Linotype"/>
          <w:rtl w:val="0"/>
        </w:rPr>
        <w:t xml:space="preserve">Por ello, excepcionalmente, si un asunto es resuelto con posterioridad a los plazos señalados por la norma debe analizarse la razonabilidad del tiempo necesario para su resolución, atentos a los siguientes criterios: </w:t>
      </w:r>
      <w:r w:rsidDel="00000000" w:rsidR="00000000" w:rsidRPr="00000000">
        <w:rPr>
          <w:rtl w:val="0"/>
        </w:rPr>
      </w:r>
    </w:p>
    <w:p w:rsidR="00000000" w:rsidDel="00000000" w:rsidP="00000000" w:rsidRDefault="00000000" w:rsidRPr="00000000" w14:paraId="00000024">
      <w:pPr>
        <w:numPr>
          <w:ilvl w:val="0"/>
          <w:numId w:val="2"/>
        </w:numPr>
        <w:spacing w:after="240" w:before="240" w:line="360" w:lineRule="auto"/>
        <w:ind w:left="927"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Complejidad del Asunto: La complejidad de la prueba, la pluralidad de sujetos procesales, el tiempo transcurrido, las características y contexto del recurso. </w:t>
      </w:r>
    </w:p>
    <w:p w:rsidR="00000000" w:rsidDel="00000000" w:rsidP="00000000" w:rsidRDefault="00000000" w:rsidRPr="00000000" w14:paraId="00000025">
      <w:pPr>
        <w:numPr>
          <w:ilvl w:val="0"/>
          <w:numId w:val="2"/>
        </w:numPr>
        <w:spacing w:after="240" w:before="240" w:line="360" w:lineRule="auto"/>
        <w:ind w:left="927"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Actividad Procesal del interesado. Acciones u omisiones del interesado.</w:t>
      </w:r>
    </w:p>
    <w:p w:rsidR="00000000" w:rsidDel="00000000" w:rsidP="00000000" w:rsidRDefault="00000000" w:rsidRPr="00000000" w14:paraId="00000026">
      <w:pPr>
        <w:numPr>
          <w:ilvl w:val="0"/>
          <w:numId w:val="2"/>
        </w:numPr>
        <w:spacing w:after="240" w:before="240" w:line="360" w:lineRule="auto"/>
        <w:ind w:left="927"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Conducta de la Autoridad: Las Acciones u omisiones realizadas en el procedimiento. Así como si la autoridad actuó con la debida diligencia.</w:t>
      </w:r>
    </w:p>
    <w:p w:rsidR="00000000" w:rsidDel="00000000" w:rsidP="00000000" w:rsidRDefault="00000000" w:rsidRPr="00000000" w14:paraId="00000027">
      <w:pPr>
        <w:spacing w:after="240" w:before="240" w:line="360" w:lineRule="auto"/>
        <w:ind w:left="567"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 La afectación generada en la situación jurídica de la persona involucrada en el proceso: Violación a sus derechos humanos.</w:t>
      </w:r>
    </w:p>
    <w:p w:rsidR="00000000" w:rsidDel="00000000" w:rsidP="00000000" w:rsidRDefault="00000000" w:rsidRPr="00000000" w14:paraId="00000028">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000000" w:rsidDel="00000000" w:rsidP="00000000" w:rsidRDefault="00000000" w:rsidRPr="00000000" w14:paraId="00000029">
      <w:pPr>
        <w:spacing w:after="240" w:before="240" w:line="360" w:lineRule="auto"/>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Argumento que encuentra sustento en la jurisprudencia P./J. 32/92 emitida por el Pleno de la Suprema Corte de Justicia de la Nación de rubro </w:t>
      </w:r>
      <w:r w:rsidDel="00000000" w:rsidR="00000000" w:rsidRPr="00000000">
        <w:rPr>
          <w:rFonts w:ascii="Palatino Linotype" w:cs="Palatino Linotype" w:eastAsia="Palatino Linotype" w:hAnsi="Palatino Linotype"/>
          <w:i w:val="1"/>
          <w:rtl w:val="0"/>
        </w:rPr>
        <w:t xml:space="preserve">“TÉRMINOS PROCESALES. PARA DETERMINAR SI UN FUNCIONARIO JUDICIAL ACTUÓ INDEBIDAMENTE POR NO RESPETARLOS SE DEBE ATENDER AL PRESUPUESTO QUE CONSIDERÓ EL LEGISLADOR AL FIJARLOS Y LAS CARACTERÍSTICAS DEL CASO.”</w:t>
      </w:r>
      <w:r w:rsidDel="00000000" w:rsidR="00000000" w:rsidRPr="00000000">
        <w:rPr>
          <w:rFonts w:ascii="Palatino Linotype" w:cs="Palatino Linotype" w:eastAsia="Palatino Linotype" w:hAnsi="Palatino Linotype"/>
          <w:rtl w:val="0"/>
        </w:rPr>
        <w:t xml:space="preserve">, visible en la Gaceta del Seminario Judicial de la Federación con el registro digital 205635.</w:t>
      </w:r>
      <w:r w:rsidDel="00000000" w:rsidR="00000000" w:rsidRPr="00000000">
        <w:rPr>
          <w:rtl w:val="0"/>
        </w:rPr>
      </w:r>
    </w:p>
    <w:p w:rsidR="00000000" w:rsidDel="00000000" w:rsidP="00000000" w:rsidRDefault="00000000" w:rsidRPr="00000000" w14:paraId="0000002A">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000000" w:rsidDel="00000000" w:rsidP="00000000" w:rsidRDefault="00000000" w:rsidRPr="00000000" w14:paraId="0000002B">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 respecto, también son de considerar los criterios sostenidos por el Cuarto Tribunal Colegiado en Materia Administrativa del Primer Circuito, cuyos rubros y datos de identificación son los siguientes:</w:t>
      </w:r>
    </w:p>
    <w:p w:rsidR="00000000" w:rsidDel="00000000" w:rsidP="00000000" w:rsidRDefault="00000000" w:rsidRPr="00000000" w14:paraId="0000002C">
      <w:pPr>
        <w:spacing w:after="240" w:before="240" w:lineRule="auto"/>
        <w:ind w:left="851" w:right="902"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PLAZO RAZONABLE PARA RESOLVER. DIMENSIÓN Y EFECTOS DE ESTE CONCEPTO CUANDO SE ADUCE EXCESIVA CARGA DE TRABAJO</w:t>
      </w: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sz w:val="22"/>
          <w:szCs w:val="22"/>
          <w:rtl w:val="0"/>
        </w:rPr>
        <w:t xml:space="preserve"> consultable en el Seminario Judicial de la Federación y su gaceta, con el registro digital 2002351.</w:t>
      </w:r>
    </w:p>
    <w:p w:rsidR="00000000" w:rsidDel="00000000" w:rsidP="00000000" w:rsidRDefault="00000000" w:rsidRPr="00000000" w14:paraId="0000002D">
      <w:pPr>
        <w:spacing w:after="240" w:before="240" w:lineRule="auto"/>
        <w:ind w:left="851" w:right="902"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PLAZO RAZONABLE PARA RESOLVER. CONCEPTO Y ELEMENTOS QUE LO INTEGRAN A LA LUZ DEL DERECHO INTERNACIONAL DE LOS DERECHOS HUMANOS</w:t>
      </w: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sz w:val="22"/>
          <w:szCs w:val="22"/>
          <w:rtl w:val="0"/>
        </w:rPr>
        <w:t xml:space="preserve">, visible en el Seminario Judicial de la Federación y su gaceta, con el registro digital 2002350.</w:t>
      </w:r>
    </w:p>
    <w:p w:rsidR="00000000" w:rsidDel="00000000" w:rsidP="00000000" w:rsidRDefault="00000000" w:rsidRPr="00000000" w14:paraId="0000002E">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ello, este Organismo Garante comprometido con la tutela de los derechos humanos confiados, señala que este exceso del plazo legal para resolver el presente asunto, resulta de carácter excepcional.</w:t>
      </w:r>
    </w:p>
    <w:p w:rsidR="00000000" w:rsidDel="00000000" w:rsidP="00000000" w:rsidRDefault="00000000" w:rsidRPr="00000000" w14:paraId="0000002F">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9. Cierre de instrucción. </w:t>
      </w:r>
      <w:r w:rsidDel="00000000" w:rsidR="00000000" w:rsidRPr="00000000">
        <w:rPr>
          <w:rFonts w:ascii="Palatino Linotype" w:cs="Palatino Linotype" w:eastAsia="Palatino Linotype" w:hAnsi="Palatino Linotype"/>
          <w:rtl w:val="0"/>
        </w:rPr>
        <w:t xml:space="preserve">Una vez transcurrido el periodo otorgado a las partes para realizar sus manifestaciones y no habiendo documentos que integrar al expediente, con fecha </w:t>
      </w:r>
      <w:r w:rsidDel="00000000" w:rsidR="00000000" w:rsidRPr="00000000">
        <w:rPr>
          <w:rFonts w:ascii="Palatino Linotype" w:cs="Palatino Linotype" w:eastAsia="Palatino Linotype" w:hAnsi="Palatino Linotype"/>
          <w:b w:val="1"/>
          <w:rtl w:val="0"/>
        </w:rPr>
        <w:t xml:space="preserve">catorce de agosto de dos mil veinticuatro, </w:t>
      </w:r>
      <w:r w:rsidDel="00000000" w:rsidR="00000000" w:rsidRPr="00000000">
        <w:rPr>
          <w:rFonts w:ascii="Palatino Linotype" w:cs="Palatino Linotype" w:eastAsia="Palatino Linotype" w:hAnsi="Palatino Linotype"/>
          <w:rtl w:val="0"/>
        </w:rPr>
        <w:t xml:space="preserve">la Comisionada Ponente determinó el cierre de instrucción en términos de los artículos 127 de la Ley de Protección de Datos Personales en Posesión de Sujetos Obligados del Estado de México y Municipios, y 185, fracción VI del artículo de la Ley de Transparencia y Acceso a la Información Pública del Estado de México y Municipios, de aplicación supletoria.</w:t>
      </w:r>
    </w:p>
    <w:p w:rsidR="00000000" w:rsidDel="00000000" w:rsidP="00000000" w:rsidRDefault="00000000" w:rsidRPr="00000000" w14:paraId="00000030">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razón de que fue debidamente sustanciado el expediente electrónico y no existe diligencia pendiente de desahogo, se emite la Resolución que conforme a Derecho proceda, de acuerdo con los siguientes: </w:t>
      </w:r>
    </w:p>
    <w:p w:rsidR="00000000" w:rsidDel="00000000" w:rsidP="00000000" w:rsidRDefault="00000000" w:rsidRPr="00000000" w14:paraId="00000031">
      <w:pPr>
        <w:widowControl w:val="0"/>
        <w:spacing w:after="240" w:before="240" w:line="360"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II. C O N S I D E R A N D O S</w:t>
      </w:r>
    </w:p>
    <w:p w:rsidR="00000000" w:rsidDel="00000000" w:rsidP="00000000" w:rsidRDefault="00000000" w:rsidRPr="00000000" w14:paraId="00000032">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Primero. Competencia.</w:t>
      </w:r>
      <w:r w:rsidDel="00000000" w:rsidR="00000000" w:rsidRPr="00000000">
        <w:rPr>
          <w:rFonts w:ascii="Palatino Linotype" w:cs="Palatino Linotype" w:eastAsia="Palatino Linotype" w:hAnsi="Palatino Linotype"/>
          <w:rtl w:val="0"/>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Segundo. Legitimación. </w:t>
      </w:r>
      <w:r w:rsidDel="00000000" w:rsidR="00000000" w:rsidRPr="00000000">
        <w:rPr>
          <w:rFonts w:ascii="Palatino Linotype" w:cs="Palatino Linotype" w:eastAsia="Palatino Linotype" w:hAnsi="Palatino Linotype"/>
          <w:rtl w:val="0"/>
        </w:rPr>
        <w:t xml:space="preserve">El recurso de revisión fue interpuesto por la parte </w:t>
      </w:r>
      <w:r w:rsidDel="00000000" w:rsidR="00000000" w:rsidRPr="00000000">
        <w:rPr>
          <w:rFonts w:ascii="Palatino Linotype" w:cs="Palatino Linotype" w:eastAsia="Palatino Linotype" w:hAnsi="Palatino Linotype"/>
          <w:b w:val="1"/>
          <w:rtl w:val="0"/>
        </w:rPr>
        <w:t xml:space="preserve">Recurrente,</w:t>
      </w:r>
      <w:r w:rsidDel="00000000" w:rsidR="00000000" w:rsidRPr="00000000">
        <w:rPr>
          <w:rFonts w:ascii="Palatino Linotype" w:cs="Palatino Linotype" w:eastAsia="Palatino Linotype" w:hAnsi="Palatino Linotype"/>
          <w:rtl w:val="0"/>
        </w:rPr>
        <w:t xml:space="preserve"> quién a su vez, formuló la solicitud de acceso de datos personales</w:t>
      </w:r>
      <w:r w:rsidDel="00000000" w:rsidR="00000000" w:rsidRPr="00000000">
        <w:rPr>
          <w:rFonts w:ascii="Palatino Linotype" w:cs="Palatino Linotype" w:eastAsia="Palatino Linotype" w:hAnsi="Palatino Linotype"/>
          <w:b w:val="1"/>
          <w:rtl w:val="0"/>
        </w:rPr>
        <w:t xml:space="preserve"> 00007/OFICIALIA/AD/2024</w:t>
      </w:r>
      <w:r w:rsidDel="00000000" w:rsidR="00000000" w:rsidRPr="00000000">
        <w:rPr>
          <w:rFonts w:ascii="Palatino Linotype" w:cs="Palatino Linotype" w:eastAsia="Palatino Linotype" w:hAnsi="Palatino Linotype"/>
          <w:rtl w:val="0"/>
        </w:rPr>
        <w:t xml:space="preserve">, ante </w:t>
      </w:r>
      <w:r w:rsidDel="00000000" w:rsidR="00000000" w:rsidRPr="00000000">
        <w:rPr>
          <w:rFonts w:ascii="Palatino Linotype" w:cs="Palatino Linotype" w:eastAsia="Palatino Linotype" w:hAnsi="Palatino Linotype"/>
          <w:b w:val="1"/>
          <w:rtl w:val="0"/>
        </w:rPr>
        <w:t xml:space="preserve">el</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de conformidad con lo establecido en el 106, párrafo tercero de la Ley de Protección de Datos Personales en Posesión de Sujetos Obligados del Estado de México y Municipios.</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240" w:before="240" w:line="360" w:lineRule="auto"/>
        <w:jc w:val="both"/>
        <w:rPr/>
      </w:pPr>
      <w:r w:rsidDel="00000000" w:rsidR="00000000" w:rsidRPr="00000000">
        <w:rPr>
          <w:rFonts w:ascii="Palatino Linotype" w:cs="Palatino Linotype" w:eastAsia="Palatino Linotype" w:hAnsi="Palatino Linotype"/>
          <w:b w:val="1"/>
          <w:rtl w:val="0"/>
        </w:rPr>
        <w:t xml:space="preserve">Tercero. Oportunidad y Procedibilidad.</w:t>
      </w:r>
      <w:r w:rsidDel="00000000" w:rsidR="00000000" w:rsidRPr="00000000">
        <w:rPr>
          <w:rFonts w:ascii="Palatino Linotype" w:cs="Palatino Linotype" w:eastAsia="Palatino Linotype" w:hAnsi="Palatino Linotype"/>
          <w:rtl w:val="0"/>
        </w:rPr>
        <w:t xml:space="preserve"> Es de precisar que la Ley de Protección de Datos Personales en Posesión de Sujetos Obligados del Estado de México y Municipios, describe el mecanismo de procedencia de los recursos de revisión, como se puede apreciar en el siguiente artículo:</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Rule="auto"/>
        <w:ind w:left="851" w:right="1185" w:firstLine="0"/>
        <w:jc w:val="both"/>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Artículo 128. </w:t>
      </w:r>
      <w:r w:rsidDel="00000000" w:rsidR="00000000" w:rsidRPr="00000000">
        <w:rPr>
          <w:rFonts w:ascii="Palatino Linotype" w:cs="Palatino Linotype" w:eastAsia="Palatino Linotype" w:hAnsi="Palatino Linotype"/>
          <w:i w:val="1"/>
          <w:sz w:val="22"/>
          <w:szCs w:val="22"/>
          <w:rtl w:val="0"/>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Rule="auto"/>
        <w:ind w:left="851" w:right="1183" w:firstLine="0"/>
        <w:jc w:val="both"/>
        <w:rPr/>
      </w:pPr>
      <w:r w:rsidDel="00000000" w:rsidR="00000000" w:rsidRPr="00000000">
        <w:rPr>
          <w:rFonts w:ascii="Palatino Linotype" w:cs="Palatino Linotype" w:eastAsia="Palatino Linotype" w:hAnsi="Palatino Linotype"/>
          <w:i w:val="1"/>
          <w:sz w:val="22"/>
          <w:szCs w:val="22"/>
          <w:rtl w:val="0"/>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(Sic)</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360" w:lineRule="auto"/>
        <w:jc w:val="both"/>
        <w:rPr/>
      </w:pPr>
      <w:r w:rsidDel="00000000" w:rsidR="00000000" w:rsidRPr="00000000">
        <w:rPr>
          <w:rFonts w:ascii="Palatino Linotype" w:cs="Palatino Linotype" w:eastAsia="Palatino Linotype" w:hAnsi="Palatino Linotype"/>
          <w:rtl w:val="0"/>
        </w:rPr>
        <w:t xml:space="preserve">De la interpretación al precepto legal inserto, se obtiene que, el plazo que les asiste a los Sujetos Obligados para entregar la respuesta a una solicitud para el ejercicio de los derechos ARCO es de quince días hábiles posteriores a la presentación de esta; sin embargo, en aquellos casos en que el</w:t>
      </w:r>
      <w:r w:rsidDel="00000000" w:rsidR="00000000" w:rsidRPr="00000000">
        <w:rPr>
          <w:rFonts w:ascii="Palatino Linotype" w:cs="Palatino Linotype" w:eastAsia="Palatino Linotype" w:hAnsi="Palatino Linotype"/>
          <w:b w:val="1"/>
          <w:rtl w:val="0"/>
        </w:rPr>
        <w:t xml:space="preserve"> Sujeto Obligado </w:t>
      </w:r>
      <w:r w:rsidDel="00000000" w:rsidR="00000000" w:rsidRPr="00000000">
        <w:rPr>
          <w:rFonts w:ascii="Palatino Linotype" w:cs="Palatino Linotype" w:eastAsia="Palatino Linotype" w:hAnsi="Palatino Linotype"/>
          <w:rtl w:val="0"/>
        </w:rPr>
        <w:t xml:space="preserve">no entregue la respuesta a la solicitud propuesta por el particular en el término legal previsto en el artículo 108 de la ley de la materia (veinte días que podrá ampliarse por diez días), la solicitud se entenderá negada y el solicitante podrá impugnarla vía recurso de revisión:</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Rule="auto"/>
        <w:ind w:left="851" w:right="902" w:firstLine="0"/>
        <w:jc w:val="both"/>
        <w:rPr/>
      </w:pPr>
      <w:r w:rsidDel="00000000" w:rsidR="00000000" w:rsidRPr="00000000">
        <w:rPr>
          <w:rFonts w:ascii="Palatino Linotype" w:cs="Palatino Linotype" w:eastAsia="Palatino Linotype" w:hAnsi="Palatino Linotype"/>
          <w:b w:val="1"/>
          <w:i w:val="1"/>
          <w:sz w:val="22"/>
          <w:szCs w:val="22"/>
          <w:rtl w:val="0"/>
        </w:rPr>
        <w:t xml:space="preserve">“Artículo 108. </w:t>
      </w:r>
      <w:r w:rsidDel="00000000" w:rsidR="00000000" w:rsidRPr="00000000">
        <w:rPr>
          <w:rFonts w:ascii="Palatino Linotype" w:cs="Palatino Linotype" w:eastAsia="Palatino Linotype" w:hAnsi="Palatino Linotype"/>
          <w:i w:val="1"/>
          <w:sz w:val="22"/>
          <w:szCs w:val="22"/>
          <w:rtl w:val="0"/>
        </w:rPr>
        <w:t xml:space="preserve">El responsable deberá establecer procedimientos sencillos que permitan el ejercicio de los derechos ARCO, privilegiando los mecanismos que faciliten su ejercicio de una manera breve y ágil. El plazo de respuesta no deberá exceder de veinte días contados a partir del día siguiente a la recepción de la solicitud.</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Rule="auto"/>
        <w:ind w:left="851" w:right="902" w:firstLine="0"/>
        <w:jc w:val="both"/>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before="120" w:lineRule="auto"/>
        <w:ind w:left="851" w:right="902" w:firstLine="0"/>
        <w:jc w:val="both"/>
        <w:rPr/>
      </w:pPr>
      <w:r w:rsidDel="00000000" w:rsidR="00000000" w:rsidRPr="00000000">
        <w:rPr>
          <w:rFonts w:ascii="Palatino Linotype" w:cs="Palatino Linotype" w:eastAsia="Palatino Linotype" w:hAnsi="Palatino Linotype"/>
          <w:b w:val="1"/>
          <w:i w:val="1"/>
          <w:sz w:val="22"/>
          <w:szCs w:val="22"/>
          <w:u w:val="single"/>
          <w:rtl w:val="0"/>
        </w:rPr>
        <w:t xml:space="preserve">En caso que el responsable no emita respuesta a la solicitud de ejercicio de derechos ARCO se entenderá que la respuesta es negativa</w:t>
      </w: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240" w:before="240" w:line="360" w:lineRule="auto"/>
        <w:jc w:val="both"/>
        <w:rPr/>
      </w:pPr>
      <w:r w:rsidDel="00000000" w:rsidR="00000000" w:rsidRPr="00000000">
        <w:rPr>
          <w:rFonts w:ascii="Palatino Linotype" w:cs="Palatino Linotype" w:eastAsia="Palatino Linotype" w:hAnsi="Palatino Linotype"/>
          <w:rtl w:val="0"/>
        </w:rPr>
        <w:t xml:space="preserve">Una vez establecida la figura de negativa ficta, la cual consiste en una presunción en sentido negativo creada por mandato de Ley, que surge a la vida jurídica ante la omisión del Sujeto Obligado para atender las solicitudes de derechos ARCO y al haber transcurrido el plazo que se otorga a las autoridades para actuar como corresponde, es decir, dando respuesta a una petición o solicitud formulada. </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40" w:before="240" w:line="360" w:lineRule="auto"/>
        <w:jc w:val="both"/>
        <w:rPr/>
      </w:pPr>
      <w:r w:rsidDel="00000000" w:rsidR="00000000" w:rsidRPr="00000000">
        <w:rPr>
          <w:rFonts w:ascii="Palatino Linotype" w:cs="Palatino Linotype" w:eastAsia="Palatino Linotype" w:hAnsi="Palatino Linotype"/>
          <w:rtl w:val="0"/>
        </w:rPr>
        <w:t xml:space="preserve">Tratándose de negativa ficta no existe resolución que se haga del conocimiento de la particular a partir de la cual pueda computarse dicho plazo, por lo que se concluye que la interposición de los recursos de revisión pueden ser en cualquier momento; postura que ha sido adoptada por este Órgano Garante mediante criterio número 001-15, aprobado por unanimidad del Pleno del Instituto de Transparencia, Acceso a la Información Pública y Protección de Datos Personales del Estado de México y Municipios, que establece:</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40" w:before="240" w:lineRule="auto"/>
        <w:ind w:left="851" w:right="900" w:firstLine="0"/>
        <w:jc w:val="both"/>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CRITERIO 0001-15 NEGATIVA FICTA. PLAZO PARA INTERPONER EL RECURSO DE REVISIÓN TRATÁNDOSE DE.</w:t>
      </w:r>
      <w:r w:rsidDel="00000000" w:rsidR="00000000" w:rsidRPr="00000000">
        <w:rPr>
          <w:rFonts w:ascii="Palatino Linotype" w:cs="Palatino Linotype" w:eastAsia="Palatino Linotype" w:hAnsi="Palatino Linotype"/>
          <w:i w:val="1"/>
          <w:sz w:val="22"/>
          <w:szCs w:val="22"/>
          <w:rtl w:val="0"/>
        </w:rPr>
        <w:t xml:space="preserve"> El artículo 48, párrafo tercero de la Ley de Protección de Datos Personales en Posesión de Sujetos Obligados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40" w:before="240" w:line="360" w:lineRule="auto"/>
        <w:jc w:val="both"/>
        <w:rPr/>
      </w:pPr>
      <w:r w:rsidDel="00000000" w:rsidR="00000000" w:rsidRPr="00000000">
        <w:rPr>
          <w:rFonts w:ascii="Palatino Linotype" w:cs="Palatino Linotype" w:eastAsia="Palatino Linotype" w:hAnsi="Palatino Linotype"/>
          <w:rtl w:val="0"/>
        </w:rPr>
        <w:t xml:space="preserve">Por lo tanto, en términos de lo dispuesto por el numeral 108 de la ley de la materia anteriormente invocado, el</w:t>
      </w:r>
      <w:r w:rsidDel="00000000" w:rsidR="00000000" w:rsidRPr="00000000">
        <w:rPr>
          <w:rFonts w:ascii="Palatino Linotype" w:cs="Palatino Linotype" w:eastAsia="Palatino Linotype" w:hAnsi="Palatino Linotype"/>
          <w:b w:val="1"/>
          <w:rtl w:val="0"/>
        </w:rPr>
        <w:t xml:space="preserve"> Sujeto Obligado</w:t>
      </w:r>
      <w:r w:rsidDel="00000000" w:rsidR="00000000" w:rsidRPr="00000000">
        <w:rPr>
          <w:rFonts w:ascii="Palatino Linotype" w:cs="Palatino Linotype" w:eastAsia="Palatino Linotype" w:hAnsi="Palatino Linotype"/>
          <w:rtl w:val="0"/>
        </w:rPr>
        <w:t xml:space="preserve"> contaba con un término que no podría exceder de veinte días para que notificara la respuesta.</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concatenación con lo anterior, de las constancias que obran en el </w:t>
      </w:r>
      <w:r w:rsidDel="00000000" w:rsidR="00000000" w:rsidRPr="00000000">
        <w:rPr>
          <w:rFonts w:ascii="Palatino Linotype" w:cs="Palatino Linotype" w:eastAsia="Palatino Linotype" w:hAnsi="Palatino Linotype"/>
          <w:b w:val="1"/>
          <w:rtl w:val="0"/>
        </w:rPr>
        <w:t xml:space="preserve">SARCOEM</w:t>
      </w:r>
      <w:r w:rsidDel="00000000" w:rsidR="00000000" w:rsidRPr="00000000">
        <w:rPr>
          <w:rFonts w:ascii="Palatino Linotype" w:cs="Palatino Linotype" w:eastAsia="Palatino Linotype" w:hAnsi="Palatino Linotype"/>
          <w:rtl w:val="0"/>
        </w:rPr>
        <w:t xml:space="preserve">, se observa que la persona solicitante presentó su solicitud el diecinueve de marzo de dos mil veinticuatro, por lo que el plazo para dar respuesta se computó del veinte de marzo al veintitrés de abril de dos mil veinticuatro; la falta de respuesta por parte del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derivó en la interposición del presente recurso de revisión, el cual se tuvo por presentado el día </w:t>
      </w:r>
      <w:r w:rsidDel="00000000" w:rsidR="00000000" w:rsidRPr="00000000">
        <w:rPr>
          <w:rFonts w:ascii="Palatino Linotype" w:cs="Palatino Linotype" w:eastAsia="Palatino Linotype" w:hAnsi="Palatino Linotype"/>
          <w:b w:val="1"/>
          <w:rtl w:val="0"/>
        </w:rPr>
        <w:t xml:space="preserve">treinta de abril de dos mil veinticuatro</w:t>
      </w:r>
      <w:r w:rsidDel="00000000" w:rsidR="00000000" w:rsidRPr="00000000">
        <w:rPr>
          <w:rFonts w:ascii="Palatino Linotype" w:cs="Palatino Linotype" w:eastAsia="Palatino Linotype" w:hAnsi="Palatino Linotype"/>
          <w:rtl w:val="0"/>
        </w:rPr>
        <w:t xml:space="preserve">, situación que acontece una vez que había fenecido el término concedido al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para efectos de dar contestación a la solicitud de ejercicio de derechos ARCO.</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40" w:before="240" w:line="360" w:lineRule="auto"/>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Por otro lado, del análisis efectuado se advierte que resulta procedente la interposición del recurso y se concluye la acreditación plena de todos y cada uno de los elementos formales exigidos por el artículo 130 de la Ley de Protección de Datos Personales en Posesión de Sujetos Obligados del Estado de México y Municipios, en atención a que fue presentado mediante el formato visible</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del</w:t>
      </w:r>
      <w:r w:rsidDel="00000000" w:rsidR="00000000" w:rsidRPr="00000000">
        <w:rPr>
          <w:rFonts w:ascii="Palatino Linotype" w:cs="Palatino Linotype" w:eastAsia="Palatino Linotype" w:hAnsi="Palatino Linotype"/>
          <w:b w:val="1"/>
          <w:rtl w:val="0"/>
        </w:rPr>
        <w:t xml:space="preserve"> SARCOEM.  </w:t>
      </w:r>
    </w:p>
    <w:p w:rsidR="00000000" w:rsidDel="00000000" w:rsidP="00000000" w:rsidRDefault="00000000" w:rsidRPr="00000000" w14:paraId="00000042">
      <w:pPr>
        <w:spacing w:after="240" w:before="240" w:line="360" w:lineRule="auto"/>
        <w:ind w:right="51"/>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Cuarto. Análisis de las causales de improcedencia y sobreseimiento del recurso de revisión. </w:t>
      </w:r>
      <w:r w:rsidDel="00000000" w:rsidR="00000000" w:rsidRPr="00000000">
        <w:rPr>
          <w:rFonts w:ascii="Palatino Linotype" w:cs="Palatino Linotype" w:eastAsia="Palatino Linotype" w:hAnsi="Palatino Linotype"/>
          <w:rtl w:val="0"/>
        </w:rPr>
        <w:t xml:space="preserve">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r w:rsidDel="00000000" w:rsidR="00000000" w:rsidRPr="00000000">
        <w:rPr>
          <w:rtl w:val="0"/>
        </w:rPr>
      </w:r>
    </w:p>
    <w:p w:rsidR="00000000" w:rsidDel="00000000" w:rsidP="00000000" w:rsidRDefault="00000000" w:rsidRPr="00000000" w14:paraId="00000043">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actualizan las causales de procedencia previstas por el artículo 129, fracciones VI y XII de la Ley en cita; no se tiene conocimiento que ante Tribunales competentes se esté tramitando algún recurso o medio de defensa en contra del acto recurrido ante este Instituto; la persona solicitante no modificó ni amplió su solicitud de acceso a datos personales y; finalmente, la persona solicitante acreditó el interés jurídico para efectos de interponer el medio de impugnación que nos ocupa.</w:t>
      </w:r>
    </w:p>
    <w:p w:rsidR="00000000" w:rsidDel="00000000" w:rsidP="00000000" w:rsidRDefault="00000000" w:rsidRPr="00000000" w14:paraId="00000044">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otra parte, el artículo 139, de la Ley de Protección de Datos Personales en Posesión de Sujetos Obligados del Estado de México y Municipios, señala que el Recurso de Revisión será sobreseído cuando una vez admitido, se actualice alguno de los supuestos siguientes:</w:t>
      </w:r>
    </w:p>
    <w:p w:rsidR="00000000" w:rsidDel="00000000" w:rsidP="00000000" w:rsidRDefault="00000000" w:rsidRPr="00000000" w14:paraId="00000045">
      <w:pPr>
        <w:numPr>
          <w:ilvl w:val="0"/>
          <w:numId w:val="3"/>
        </w:numPr>
        <w:tabs>
          <w:tab w:val="left" w:leader="none" w:pos="567"/>
        </w:tabs>
        <w:spacing w:after="120" w:before="120" w:line="360" w:lineRule="auto"/>
        <w:ind w:left="284"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El recurrente se desista expresamente.</w:t>
      </w:r>
    </w:p>
    <w:p w:rsidR="00000000" w:rsidDel="00000000" w:rsidP="00000000" w:rsidRDefault="00000000" w:rsidRPr="00000000" w14:paraId="00000046">
      <w:pPr>
        <w:numPr>
          <w:ilvl w:val="0"/>
          <w:numId w:val="3"/>
        </w:numPr>
        <w:tabs>
          <w:tab w:val="left" w:leader="none" w:pos="567"/>
        </w:tabs>
        <w:spacing w:after="120" w:before="120" w:line="360" w:lineRule="auto"/>
        <w:ind w:left="284"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El recurrente fallezca. </w:t>
      </w:r>
    </w:p>
    <w:p w:rsidR="00000000" w:rsidDel="00000000" w:rsidP="00000000" w:rsidRDefault="00000000" w:rsidRPr="00000000" w14:paraId="00000047">
      <w:pPr>
        <w:numPr>
          <w:ilvl w:val="0"/>
          <w:numId w:val="3"/>
        </w:numPr>
        <w:tabs>
          <w:tab w:val="left" w:leader="none" w:pos="567"/>
        </w:tabs>
        <w:spacing w:after="120" w:before="120" w:line="360" w:lineRule="auto"/>
        <w:ind w:left="284"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Admitido el recurso de revisión, se actualice alguna causal de improcedencia en los términos de la presente Ley. </w:t>
      </w:r>
    </w:p>
    <w:p w:rsidR="00000000" w:rsidDel="00000000" w:rsidP="00000000" w:rsidRDefault="00000000" w:rsidRPr="00000000" w14:paraId="00000048">
      <w:pPr>
        <w:numPr>
          <w:ilvl w:val="0"/>
          <w:numId w:val="3"/>
        </w:numPr>
        <w:tabs>
          <w:tab w:val="left" w:leader="none" w:pos="567"/>
        </w:tabs>
        <w:spacing w:after="120" w:before="120" w:line="360" w:lineRule="auto"/>
        <w:ind w:left="284"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El responsable modifique o revoque su respuesta de tal manera que el recurso de revisión quede sin materia. </w:t>
      </w:r>
    </w:p>
    <w:p w:rsidR="00000000" w:rsidDel="00000000" w:rsidP="00000000" w:rsidRDefault="00000000" w:rsidRPr="00000000" w14:paraId="00000049">
      <w:pPr>
        <w:numPr>
          <w:ilvl w:val="0"/>
          <w:numId w:val="3"/>
        </w:numPr>
        <w:tabs>
          <w:tab w:val="left" w:leader="none" w:pos="567"/>
        </w:tabs>
        <w:spacing w:after="120" w:before="120" w:line="360" w:lineRule="auto"/>
        <w:ind w:left="284" w:firstLine="0"/>
        <w:jc w:val="both"/>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Quede sin materia el recurso de revisión. </w:t>
      </w:r>
    </w:p>
    <w:p w:rsidR="00000000" w:rsidDel="00000000" w:rsidP="00000000" w:rsidRDefault="00000000" w:rsidRPr="00000000" w14:paraId="0000004A">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Con base en las actuaciones efectuadas por las partes durante el procedimiento de acceso a datos personales, se estima procedente analizar si el recurso de revisión actualiza la causal de sobreseimiento prevista en la fracción V del artículo en cita, para lo cual es necesario realizar la relatoría de dichas actuaciones, con el propósito de dar claridad en el tratamiento del tema en estudio.</w:t>
      </w:r>
    </w:p>
    <w:p w:rsidR="00000000" w:rsidDel="00000000" w:rsidP="00000000" w:rsidRDefault="00000000" w:rsidRPr="00000000" w14:paraId="0000004B">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Tal y como quedó asentado</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en el antecedente 1 de la presente resolución, la persona solicitante, en representación de la persona titular de los datos personales, requirió al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le proporcione, información consistente en lo siguiente:</w:t>
      </w:r>
    </w:p>
    <w:p w:rsidR="00000000" w:rsidDel="00000000" w:rsidP="00000000" w:rsidRDefault="00000000" w:rsidRPr="00000000" w14:paraId="0000004C">
      <w:pPr>
        <w:spacing w:after="240" w:before="240" w:line="360" w:lineRule="auto"/>
        <w:ind w:left="426" w:firstLine="0"/>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1. Todo documento (fichas informativas, informes, oficios, o como se denominen) con que cuente relacionado con el homicidio su padre el X XX XXXXXXX XX XXXX, que haya enviado cualquier dependencia del Estado de México, contenida en el Archivo General, particularmente de la enviada por el Municipio de Naucalpan, la entonces Procuraduría General de Justicia del Estado de México, el Poder Judicial, el ISSEMYM, y cualquier otra involucrada en el seguimiento del caso de su padre fallecido en funciones como XXXXX</w:t>
      </w:r>
      <w:r w:rsidDel="00000000" w:rsidR="00000000" w:rsidRPr="00000000">
        <w:rPr>
          <w:rFonts w:ascii="Palatino Linotype" w:cs="Palatino Linotype" w:eastAsia="Palatino Linotype" w:hAnsi="Palatino Linotype"/>
          <w:b w:val="1"/>
          <w:rtl w:val="0"/>
        </w:rPr>
        <w:t xml:space="preserve">.</w:t>
      </w:r>
    </w:p>
    <w:p w:rsidR="00000000" w:rsidDel="00000000" w:rsidP="00000000" w:rsidRDefault="00000000" w:rsidRPr="00000000" w14:paraId="0000004D">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Para lo cual relató los hechos que motivan el acceso a los datos personales solicitados.</w:t>
      </w:r>
    </w:p>
    <w:p w:rsidR="00000000" w:rsidDel="00000000" w:rsidP="00000000" w:rsidRDefault="00000000" w:rsidRPr="00000000" w14:paraId="0000004E">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Ante la omisión por parte del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para dar respuesta a la solicitud, la parte </w:t>
      </w:r>
      <w:r w:rsidDel="00000000" w:rsidR="00000000" w:rsidRPr="00000000">
        <w:rPr>
          <w:rFonts w:ascii="Palatino Linotype" w:cs="Palatino Linotype" w:eastAsia="Palatino Linotype" w:hAnsi="Palatino Linotype"/>
          <w:b w:val="1"/>
          <w:rtl w:val="0"/>
        </w:rPr>
        <w:t xml:space="preserve">Recurrente </w:t>
      </w:r>
      <w:r w:rsidDel="00000000" w:rsidR="00000000" w:rsidRPr="00000000">
        <w:rPr>
          <w:rFonts w:ascii="Palatino Linotype" w:cs="Palatino Linotype" w:eastAsia="Palatino Linotype" w:hAnsi="Palatino Linotype"/>
          <w:rtl w:val="0"/>
        </w:rPr>
        <w:t xml:space="preserve">presentó el recurso de revisión que nos ocupa, donde manifestó su inconformidad por la falta de respuesta y atención a la misma.</w:t>
      </w:r>
    </w:p>
    <w:p w:rsidR="00000000" w:rsidDel="00000000" w:rsidP="00000000" w:rsidRDefault="00000000" w:rsidRPr="00000000" w14:paraId="0000004F">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Con posterioridad, este Instituto apertura la fase de conciliación, en la cual ambas partes manifestaron su voluntad de conciliar el presente asunto, como se desprende del antecedente 6 de la presente resolución.</w:t>
      </w:r>
    </w:p>
    <w:p w:rsidR="00000000" w:rsidDel="00000000" w:rsidP="00000000" w:rsidRDefault="00000000" w:rsidRPr="00000000" w14:paraId="00000050">
      <w:pPr>
        <w:spacing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Ahora bien, es necesario advertir por este Instituto especializado en la Protección de los Datos Personales, que, para dar acceso a información de personas fallecidas, la Ley de Datos vigente en la Entidad, establece presupuestos que deben ser satisfechos, lo cual, en específico se encuentra en el artículo 106, párrafos cuarto, quinto y sexto, de conformidad con lo siguiente: </w:t>
      </w:r>
    </w:p>
    <w:p w:rsidR="00000000" w:rsidDel="00000000" w:rsidP="00000000" w:rsidRDefault="00000000" w:rsidRPr="00000000" w14:paraId="00000051">
      <w:pPr>
        <w:spacing w:after="120" w:before="120" w:lineRule="auto"/>
        <w:ind w:left="851" w:right="902"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Legitimación para Ejercer los Derechos ARCO </w:t>
      </w:r>
    </w:p>
    <w:p w:rsidR="00000000" w:rsidDel="00000000" w:rsidP="00000000" w:rsidRDefault="00000000" w:rsidRPr="00000000" w14:paraId="00000052">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Artículo 106.</w:t>
      </w:r>
      <w:r w:rsidDel="00000000" w:rsidR="00000000" w:rsidRPr="00000000">
        <w:rPr>
          <w:rFonts w:ascii="Palatino Linotype" w:cs="Palatino Linotype" w:eastAsia="Palatino Linotype" w:hAnsi="Palatino Linotype"/>
          <w:i w:val="1"/>
          <w:sz w:val="22"/>
          <w:szCs w:val="22"/>
          <w:rtl w:val="0"/>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rsidR="00000000" w:rsidDel="00000000" w:rsidP="00000000" w:rsidRDefault="00000000" w:rsidRPr="00000000" w14:paraId="00000053">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 </w:t>
      </w:r>
    </w:p>
    <w:p w:rsidR="00000000" w:rsidDel="00000000" w:rsidP="00000000" w:rsidRDefault="00000000" w:rsidRPr="00000000" w14:paraId="00000054">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rsidR="00000000" w:rsidDel="00000000" w:rsidP="00000000" w:rsidRDefault="00000000" w:rsidRPr="00000000" w14:paraId="00000055">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El titular podrá autorizar dentro de una cláusula del testamento a las personas que podrán ejercer sus derechos ARCO al momento del fallecimiento.</w:t>
      </w:r>
    </w:p>
    <w:p w:rsidR="00000000" w:rsidDel="00000000" w:rsidP="00000000" w:rsidRDefault="00000000" w:rsidRPr="00000000" w14:paraId="00000056">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El ejercicio de los derechos ARCO por persona distinta a su titular o a su representante, será posible, excepcionalmente, en aquellos supuestos previstos por disposición legal, o en su caso, por mandato judicial. …” </w:t>
      </w:r>
    </w:p>
    <w:p w:rsidR="00000000" w:rsidDel="00000000" w:rsidP="00000000" w:rsidRDefault="00000000" w:rsidRPr="00000000" w14:paraId="00000057">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Se identifica que estos requisitos disminuyen en la etapa del Recurso de Revisión, en donde bastará con que la persona que busca acceder a los datos personales de la persona fallecida acredite interés jurídico ante este Organismo Garante, como lo establece el artículo 122, de la Ley de Protección de Datos Personales, vigente en la entidad:</w:t>
      </w:r>
    </w:p>
    <w:p w:rsidR="00000000" w:rsidDel="00000000" w:rsidP="00000000" w:rsidRDefault="00000000" w:rsidRPr="00000000" w14:paraId="00000058">
      <w:pPr>
        <w:spacing w:after="120" w:before="120" w:lineRule="auto"/>
        <w:ind w:left="851" w:right="902"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Interposición respecto a datos de personas fallecidas </w:t>
      </w:r>
    </w:p>
    <w:p w:rsidR="00000000" w:rsidDel="00000000" w:rsidP="00000000" w:rsidRDefault="00000000" w:rsidRPr="00000000" w14:paraId="00000059">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Artículo 122.</w:t>
      </w:r>
      <w:r w:rsidDel="00000000" w:rsidR="00000000" w:rsidRPr="00000000">
        <w:rPr>
          <w:rFonts w:ascii="Palatino Linotype" w:cs="Palatino Linotype" w:eastAsia="Palatino Linotype" w:hAnsi="Palatino Linotype"/>
          <w:i w:val="1"/>
          <w:sz w:val="22"/>
          <w:szCs w:val="22"/>
          <w:rtl w:val="0"/>
        </w:rPr>
        <w:t xml:space="preserve"> La interposición de un recurso de revisión de datos personales concernientes a personas fallecidas, podrá realizarla la persona que acredite tener un interés jurídico o legítimo.”</w:t>
      </w:r>
    </w:p>
    <w:p w:rsidR="00000000" w:rsidDel="00000000" w:rsidP="00000000" w:rsidRDefault="00000000" w:rsidRPr="00000000" w14:paraId="0000005A">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Para acreditar el interés jurídico, es indispensable identificar la normatividad aplicable, para lo que en primer lugar, resulta conducente atender a lo establecido constitucionalmente y es así como, la reforma constitucional en materia de derechos humanos de dos mil once, implicó una cantidad importante de cambios en el diseño constitucional, y por tanto en la labor de aplicación e interpretación de las normas.</w:t>
      </w:r>
    </w:p>
    <w:p w:rsidR="00000000" w:rsidDel="00000000" w:rsidP="00000000" w:rsidRDefault="00000000" w:rsidRPr="00000000" w14:paraId="0000005B">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La herramienta más relevante es el principio de interpretación conforme, el cual persigue dos propósitos: asegurar la integración normativa de los derechos y resolver las tensiones, conflictos o antinomias que se presenten entre los mismos; este principio, se contempla en el artículo primero de la Constitución Política de los Estados Unidos Mexicanos:</w:t>
      </w:r>
    </w:p>
    <w:p w:rsidR="00000000" w:rsidDel="00000000" w:rsidP="00000000" w:rsidRDefault="00000000" w:rsidRPr="00000000" w14:paraId="0000005C">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Artículo 1o. </w:t>
      </w:r>
      <w:r w:rsidDel="00000000" w:rsidR="00000000" w:rsidRPr="00000000">
        <w:rPr>
          <w:rFonts w:ascii="Palatino Linotype" w:cs="Palatino Linotype" w:eastAsia="Palatino Linotype" w:hAnsi="Palatino Linotype"/>
          <w:i w:val="1"/>
          <w:sz w:val="22"/>
          <w:szCs w:val="22"/>
          <w:rtl w:val="0"/>
        </w:rPr>
        <w:t xml:space="preserve">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000000" w:rsidDel="00000000" w:rsidP="00000000" w:rsidRDefault="00000000" w:rsidRPr="00000000" w14:paraId="0000005D">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Las normas relativas a los derechos humanos se interpretarán de conformidad con esta Constitución y con los tratados internacionales de la materia favoreciendo en todo tiempo a las personas la protección más amplia.</w:t>
      </w:r>
    </w:p>
    <w:p w:rsidR="00000000" w:rsidDel="00000000" w:rsidP="00000000" w:rsidRDefault="00000000" w:rsidRPr="00000000" w14:paraId="0000005E">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000000" w:rsidDel="00000000" w:rsidP="00000000" w:rsidRDefault="00000000" w:rsidRPr="00000000" w14:paraId="0000005F">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Está prohibida la esclavitud en los Estados Unidos Mexicanos. Los esclavos del extranjero que entren al territorio nacional alcanzarán, por este solo hecho, su libertad y la protección de las leyes.</w:t>
      </w:r>
    </w:p>
    <w:p w:rsidR="00000000" w:rsidDel="00000000" w:rsidP="00000000" w:rsidRDefault="00000000" w:rsidRPr="00000000" w14:paraId="00000060">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000000" w:rsidDel="00000000" w:rsidP="00000000" w:rsidRDefault="00000000" w:rsidRPr="00000000" w14:paraId="00000061">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La interpretación conforme constituye el principio por el cual las normas relativas a los derechos humanos son, en su carácter de estándares de mínimos, objeto de una remisión hacia la Constitución y los tratados internacionales para efectos de su aplicación más protectora.</w:t>
      </w:r>
    </w:p>
    <w:p w:rsidR="00000000" w:rsidDel="00000000" w:rsidP="00000000" w:rsidRDefault="00000000" w:rsidRPr="00000000" w14:paraId="00000062">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La interpretación conforme ha adoptado una naturaleza, en la medida que las remisiones interpretativas no se dan únicamente respecto a los tratados internacionales, sino también respecto a la propia Constitución y la interpretación que les dan las normas secundarias a los derechos consagrados en el marco constitucional. Este nuevo paradigma legal, consiente acceder entonces a elementos normativos, que permitan ampliar la interpretación que se le da a un derecho, siempre que sea en beneficio del gobernado y en ajuste al marco normativo aplicable.</w:t>
      </w:r>
    </w:p>
    <w:p w:rsidR="00000000" w:rsidDel="00000000" w:rsidP="00000000" w:rsidRDefault="00000000" w:rsidRPr="00000000" w14:paraId="00000063">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La propia Ley de Protección de Datos Personales en Posesión de Sujetos Obligados del Estado de México y Municipios, en su artículo 10, establecen que la protección de los datos personales deberá hacerse en ajuste a la interpretación conforme, para lo que se reproduce el mencionado artículo:</w:t>
      </w:r>
    </w:p>
    <w:p w:rsidR="00000000" w:rsidDel="00000000" w:rsidP="00000000" w:rsidRDefault="00000000" w:rsidRPr="00000000" w14:paraId="00000064">
      <w:pPr>
        <w:spacing w:after="120" w:before="120" w:lineRule="auto"/>
        <w:ind w:left="851" w:right="902"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Interpretación conforme</w:t>
      </w:r>
    </w:p>
    <w:p w:rsidR="00000000" w:rsidDel="00000000" w:rsidP="00000000" w:rsidRDefault="00000000" w:rsidRPr="00000000" w14:paraId="00000065">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Artículo 10. La aplicación e interpretación de la presente Ley se realizará conforme a lo dispuesto por la Constitución Política de los Estados Unidos Mexicanos, los Tratados Internacionales en los que el Estado mexicano sea parte, la Constitución Política del Estado Libre y Soberano de México, así como las resoluciones y sentencias vinculantes que emitan los órganos nacionales e internacionales especializados, favoreciendo el derecho a la privacidad, la protección de datos personales y a las personas la protección más amplia.</w:t>
      </w:r>
    </w:p>
    <w:p w:rsidR="00000000" w:rsidDel="00000000" w:rsidP="00000000" w:rsidRDefault="00000000" w:rsidRPr="00000000" w14:paraId="00000066">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Para el caso de la interpretación, se podrán tomar en cuenta los criterios, determinaciones y opiniones de los organismos nacionales e internacionales, en materia de protección de datos personales.</w:t>
      </w:r>
    </w:p>
    <w:p w:rsidR="00000000" w:rsidDel="00000000" w:rsidP="00000000" w:rsidRDefault="00000000" w:rsidRPr="00000000" w14:paraId="00000067">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Para ello, entonces es dable citar en el análisis los Lineamientos Generales de Protección de Datos Personales para el Sector Público, aprobados por el Pleno del Instituto Nacional de Transparencia, Acceso a la Información Pública y Protección de Datos Personales, el 19 de diciembre del 2017, en apego a lo consagrado por la Ley General de Protección de Datos Personales en Posesión de Sujetos Obligados:</w:t>
      </w:r>
    </w:p>
    <w:p w:rsidR="00000000" w:rsidDel="00000000" w:rsidP="00000000" w:rsidRDefault="00000000" w:rsidRPr="00000000" w14:paraId="00000068">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Artículo 75.</w:t>
      </w:r>
      <w:r w:rsidDel="00000000" w:rsidR="00000000" w:rsidRPr="00000000">
        <w:rPr>
          <w:rFonts w:ascii="Palatino Linotype" w:cs="Palatino Linotype" w:eastAsia="Palatino Linotype" w:hAnsi="Palatino Linotype"/>
          <w:i w:val="1"/>
          <w:sz w:val="22"/>
          <w:szCs w:val="22"/>
          <w:rtl w:val="0"/>
        </w:rPr>
        <w:t xml:space="preserve"> De conformidad con el artículo 49, último párrafo de la Ley General, tratándose de datos personales concernientes a personas fallecidas, la persona que acredite tener un interés jurídico podrá ejercer los derechos ARCO.</w:t>
      </w:r>
    </w:p>
    <w:p w:rsidR="00000000" w:rsidDel="00000000" w:rsidP="00000000" w:rsidRDefault="00000000" w:rsidRPr="00000000" w14:paraId="00000069">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En caso de que la persona fallecida no hubiere expresado fehacientemente su voluntad a que se refiere el párrafo anterior, bastará que la persona que pretende ejercer los derechos ARCO acredite su interés jurídico en los términos previstos en el presente Capítulo.</w:t>
      </w:r>
    </w:p>
    <w:p w:rsidR="00000000" w:rsidDel="00000000" w:rsidP="00000000" w:rsidRDefault="00000000" w:rsidRPr="00000000" w14:paraId="0000006A">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Para los efectos de la Ley General y los presentes Lineamientos generales, se entenderá por interés jurídico, aquel que tiene una persona física que, con motivo del fallecimiento del titular, pretende ejercer los derechos ARCO, de éste, para el reconocimiento de derechos sucesorios, atendiendo a la relación de parentesco por consanguinidad o afinidad que haya tenido con el titular, el cual se acreditará en términos de las disposiciones legales aplicables.</w:t>
      </w:r>
    </w:p>
    <w:p w:rsidR="00000000" w:rsidDel="00000000" w:rsidP="00000000" w:rsidRDefault="00000000" w:rsidRPr="00000000" w14:paraId="0000006B">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Puede alegar interés jurídico, de manera enunciativa mas no limitativa, el albacea, herederos, legatarios, familiares en línea recta sin limitación de grado y en línea colateral hasta el cuarto grado, lo que se acreditará con copia simple del documento delegatorio, pasado ante la fé de notario público o suscrito ante dos testigos.</w:t>
      </w:r>
      <w:r w:rsidDel="00000000" w:rsidR="00000000" w:rsidRPr="00000000">
        <w:rPr>
          <w:rFonts w:ascii="Palatino Linotype" w:cs="Palatino Linotype" w:eastAsia="Palatino Linotype" w:hAnsi="Palatino Linotype"/>
          <w:sz w:val="22"/>
          <w:szCs w:val="22"/>
          <w:rtl w:val="0"/>
        </w:rPr>
        <w:t xml:space="preserve">”</w:t>
      </w:r>
      <w:r w:rsidDel="00000000" w:rsidR="00000000" w:rsidRPr="00000000">
        <w:rPr>
          <w:rtl w:val="0"/>
        </w:rPr>
      </w:r>
    </w:p>
    <w:p w:rsidR="00000000" w:rsidDel="00000000" w:rsidP="00000000" w:rsidRDefault="00000000" w:rsidRPr="00000000" w14:paraId="0000006C">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Esta fuente obligacional, tiene el carácter de vigente y, por tanto, debe ser considerada por parte de este Organismo Garante. </w:t>
      </w:r>
    </w:p>
    <w:p w:rsidR="00000000" w:rsidDel="00000000" w:rsidP="00000000" w:rsidRDefault="00000000" w:rsidRPr="00000000" w14:paraId="0000006D">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Así, se debe identificar que la reforma en materia de datos personales fue con la finalidad por una parte de proteger la intimidad de las personas, aun post mortem y, por otra parte, generar la certeza jurídica para que una persona, disponga de su información a través de testamento.</w:t>
      </w:r>
    </w:p>
    <w:p w:rsidR="00000000" w:rsidDel="00000000" w:rsidP="00000000" w:rsidRDefault="00000000" w:rsidRPr="00000000" w14:paraId="0000006E">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ello, este Organismo Garante en todo momento consideró tanto la protección a la intimidad de la persona fallecida, como los intereses jurídicos que la persona solicitante expresó, esto es, allegarse de información para esclarecer el homicidio de su padre, así como de apoyos, becas o ayudas que se les prometieron como reparación del daño.</w:t>
      </w:r>
    </w:p>
    <w:p w:rsidR="00000000" w:rsidDel="00000000" w:rsidP="00000000" w:rsidRDefault="00000000" w:rsidRPr="00000000" w14:paraId="0000006F">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este tenor, una vez que se cotejaron las identidades de las personas intervinientes en la audiencia, así como la representación de la persona solicitante, durante la celebración de la misma se tuvo a bien mediar la entrega de la información solicitada, esto, en ajuste a las formalidades señaladas en el acta formada por el desahogo de esta, situación que se trae a colación en los términos siguientes:</w:t>
      </w:r>
    </w:p>
    <w:p w:rsidR="00000000" w:rsidDel="00000000" w:rsidP="00000000" w:rsidRDefault="00000000" w:rsidRPr="00000000" w14:paraId="00000070">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“Una vez expuestos los antecedentes del recurso de revisión que se resuelve, de acuerdo a las constancias que obran en el expediente electrónico del SARCOEM, se concedió el uso de la voz a la parte Recurrente, quien hizo referencia a los hechos que motivaron la presentación de la solicitud de acceso a datos ante la Oficialía Mayor. </w:t>
      </w:r>
    </w:p>
    <w:p w:rsidR="00000000" w:rsidDel="00000000" w:rsidP="00000000" w:rsidRDefault="00000000" w:rsidRPr="00000000" w14:paraId="00000071">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Por otra parte, el </w:t>
      </w:r>
      <w:r w:rsidDel="00000000" w:rsidR="00000000" w:rsidRPr="00000000">
        <w:rPr>
          <w:rFonts w:ascii="Palatino Linotype" w:cs="Palatino Linotype" w:eastAsia="Palatino Linotype" w:hAnsi="Palatino Linotype"/>
          <w:b w:val="1"/>
          <w:i w:val="1"/>
          <w:sz w:val="22"/>
          <w:szCs w:val="22"/>
          <w:rtl w:val="0"/>
        </w:rPr>
        <w:t xml:space="preserve">Sujeto Obligado manifestó que en ejercicio de sus atribuciones realizó la búsqueda en sus archivos físicos y electrónicos de los documentos referidos por la parte Recurrente en la solicitud de acceso a datos</w:t>
      </w:r>
      <w:r w:rsidDel="00000000" w:rsidR="00000000" w:rsidRPr="00000000">
        <w:rPr>
          <w:rFonts w:ascii="Palatino Linotype" w:cs="Palatino Linotype" w:eastAsia="Palatino Linotype" w:hAnsi="Palatino Linotype"/>
          <w:i w:val="1"/>
          <w:sz w:val="22"/>
          <w:szCs w:val="22"/>
          <w:rtl w:val="0"/>
        </w:rPr>
        <w:t xml:space="preserve">, sin embargo, </w:t>
      </w:r>
      <w:r w:rsidDel="00000000" w:rsidR="00000000" w:rsidRPr="00000000">
        <w:rPr>
          <w:rFonts w:ascii="Palatino Linotype" w:cs="Palatino Linotype" w:eastAsia="Palatino Linotype" w:hAnsi="Palatino Linotype"/>
          <w:b w:val="1"/>
          <w:i w:val="1"/>
          <w:sz w:val="22"/>
          <w:szCs w:val="22"/>
          <w:u w:val="single"/>
          <w:rtl w:val="0"/>
        </w:rPr>
        <w:t xml:space="preserve">no localizó documentación alguna que se hubiera remitido por las dependencias referidas en la solicitud a la Oficialía Mayor, o que la misma haya generado;</w:t>
      </w:r>
      <w:r w:rsidDel="00000000" w:rsidR="00000000" w:rsidRPr="00000000">
        <w:rPr>
          <w:rFonts w:ascii="Palatino Linotype" w:cs="Palatino Linotype" w:eastAsia="Palatino Linotype" w:hAnsi="Palatino Linotype"/>
          <w:i w:val="1"/>
          <w:sz w:val="22"/>
          <w:szCs w:val="22"/>
          <w:rtl w:val="0"/>
        </w:rPr>
        <w:t xml:space="preserve"> asimismo refirió que la respuesta será remitida a través del SARCOEM. </w:t>
      </w:r>
    </w:p>
    <w:p w:rsidR="00000000" w:rsidDel="00000000" w:rsidP="00000000" w:rsidRDefault="00000000" w:rsidRPr="00000000" w14:paraId="00000072">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Por lo anterior, </w:t>
      </w:r>
      <w:r w:rsidDel="00000000" w:rsidR="00000000" w:rsidRPr="00000000">
        <w:rPr>
          <w:rFonts w:ascii="Palatino Linotype" w:cs="Palatino Linotype" w:eastAsia="Palatino Linotype" w:hAnsi="Palatino Linotype"/>
          <w:b w:val="1"/>
          <w:i w:val="1"/>
          <w:sz w:val="22"/>
          <w:szCs w:val="22"/>
          <w:u w:val="single"/>
          <w:rtl w:val="0"/>
        </w:rPr>
        <w:t xml:space="preserve">la parte Recurrente consciente y acepta la respuesta proporcionada por el Sujeto Obligado y da por atendido su derecho a accedo a datos personales</w:t>
      </w:r>
      <w:r w:rsidDel="00000000" w:rsidR="00000000" w:rsidRPr="00000000">
        <w:rPr>
          <w:rFonts w:ascii="Palatino Linotype" w:cs="Palatino Linotype" w:eastAsia="Palatino Linotype" w:hAnsi="Palatino Linotype"/>
          <w:i w:val="1"/>
          <w:sz w:val="22"/>
          <w:szCs w:val="22"/>
          <w:rtl w:val="0"/>
        </w:rPr>
        <w:t xml:space="preserve">. “</w:t>
      </w:r>
    </w:p>
    <w:p w:rsidR="00000000" w:rsidDel="00000000" w:rsidP="00000000" w:rsidRDefault="00000000" w:rsidRPr="00000000" w14:paraId="00000073">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Con base en lo anterior, se acredita que las partes llegaron al acuerdo que establece el artículo 132, fracción V de la Ley de Protección de Datos Personales en Posesión de los Sujetos Obligados del Estado de México y Municipios, que es del tenor literal siguiente:</w:t>
      </w:r>
    </w:p>
    <w:p w:rsidR="00000000" w:rsidDel="00000000" w:rsidP="00000000" w:rsidRDefault="00000000" w:rsidRPr="00000000" w14:paraId="00000074">
      <w:pPr>
        <w:spacing w:after="120" w:before="120" w:lineRule="auto"/>
        <w:ind w:left="851" w:right="902"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Procedimiento de conciliación </w:t>
      </w:r>
    </w:p>
    <w:p w:rsidR="00000000" w:rsidDel="00000000" w:rsidP="00000000" w:rsidRDefault="00000000" w:rsidRPr="00000000" w14:paraId="00000075">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Artículo 132.</w:t>
      </w:r>
      <w:r w:rsidDel="00000000" w:rsidR="00000000" w:rsidRPr="00000000">
        <w:rPr>
          <w:rFonts w:ascii="Palatino Linotype" w:cs="Palatino Linotype" w:eastAsia="Palatino Linotype" w:hAnsi="Palatino Linotype"/>
          <w:i w:val="1"/>
          <w:sz w:val="22"/>
          <w:szCs w:val="22"/>
          <w:rtl w:val="0"/>
        </w:rPr>
        <w:t xml:space="preserve"> Admitido el recurso de revisión y sin perjuicio de lo dispuesto por la Ley General, el Instituto promoverá la conciliación entre las partes, de conformidad con el procedimiento siguiente:</w:t>
      </w:r>
    </w:p>
    <w:p w:rsidR="00000000" w:rsidDel="00000000" w:rsidP="00000000" w:rsidRDefault="00000000" w:rsidRPr="00000000" w14:paraId="00000076">
      <w:pPr>
        <w:spacing w:after="120" w:before="120" w:lineRule="auto"/>
        <w:ind w:left="1134" w:right="902"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w:t>
      </w:r>
    </w:p>
    <w:p w:rsidR="00000000" w:rsidDel="00000000" w:rsidP="00000000" w:rsidRDefault="00000000" w:rsidRPr="00000000" w14:paraId="00000077">
      <w:pPr>
        <w:spacing w:after="120" w:before="120" w:lineRule="auto"/>
        <w:ind w:left="1134" w:right="902"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V</w:t>
      </w: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De llegar a un acuerdo, éste se hará constar por escrito y tendrá efectos vinculantes. </w:t>
      </w:r>
    </w:p>
    <w:p w:rsidR="00000000" w:rsidDel="00000000" w:rsidP="00000000" w:rsidRDefault="00000000" w:rsidRPr="00000000" w14:paraId="00000078">
      <w:pPr>
        <w:spacing w:after="120" w:before="120" w:lineRule="auto"/>
        <w:ind w:left="1134" w:right="902"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i w:val="1"/>
          <w:sz w:val="22"/>
          <w:szCs w:val="22"/>
          <w:u w:val="single"/>
          <w:rtl w:val="0"/>
        </w:rPr>
        <w:t xml:space="preserve">El recurso de revisión quedará sin materia</w:t>
      </w:r>
      <w:r w:rsidDel="00000000" w:rsidR="00000000" w:rsidRPr="00000000">
        <w:rPr>
          <w:rFonts w:ascii="Palatino Linotype" w:cs="Palatino Linotype" w:eastAsia="Palatino Linotype" w:hAnsi="Palatino Linotype"/>
          <w:i w:val="1"/>
          <w:sz w:val="22"/>
          <w:szCs w:val="22"/>
          <w:rtl w:val="0"/>
        </w:rPr>
        <w:t xml:space="preserve"> y el Instituto, deberán verificar el cumplimiento del acuerdo respectivo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9">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Toda vez que 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derivado de la búsqueda exhaustiva y razonable en los archivos a su cargo,</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manifestó no haber localizado  documentación alguna que se hubiera remitido por las dependencias referidas en la solicitud a la Oficialía Mayor, o que la misma haya generado, se constituye en una expresión en sentido negativo, esto es, niega la existencia de información alguna al respecto en los archivos a su cargo.</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Así, al considerarse como hecho negativo, resulta obvio que 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no puede tener en sus archivos información que satisfaga esta parte del requerimiento de información, ya que no puede probarse por ser lógica y materialmente imposible, ello aunado a que este Organismo Garante no puede tener la certeza de que la información referida se debió haber generado durante el periodo al que se hace alusión, sirve de sustento la siguiente Tesis</w:t>
      </w:r>
      <w:r w:rsidDel="00000000" w:rsidR="00000000" w:rsidRPr="00000000">
        <w:rPr>
          <w:rFonts w:ascii="Palatino Linotype" w:cs="Palatino Linotype" w:eastAsia="Palatino Linotype" w:hAnsi="Palatino Linotype"/>
          <w:vertAlign w:val="superscript"/>
        </w:rPr>
        <w:footnoteReference w:customMarkFollows="0" w:id="0"/>
      </w:r>
      <w:r w:rsidDel="00000000" w:rsidR="00000000" w:rsidRPr="00000000">
        <w:rPr>
          <w:rFonts w:ascii="Palatino Linotype" w:cs="Palatino Linotype" w:eastAsia="Palatino Linotype" w:hAnsi="Palatino Linotype"/>
          <w:rtl w:val="0"/>
        </w:rPr>
        <w:t xml:space="preserve"> emitida por la Segunda Sala de la Suprema Corte de la Nación, que es del tenor literal siguiente:</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before="120" w:lineRule="auto"/>
        <w:ind w:left="851" w:right="900" w:firstLine="0"/>
        <w:jc w:val="both"/>
        <w:rPr/>
      </w:pPr>
      <w:r w:rsidDel="00000000" w:rsidR="00000000" w:rsidRPr="00000000">
        <w:rPr>
          <w:rFonts w:ascii="Palatino Linotype" w:cs="Palatino Linotype" w:eastAsia="Palatino Linotype" w:hAnsi="Palatino Linotype"/>
          <w:b w:val="1"/>
          <w:i w:val="1"/>
          <w:sz w:val="22"/>
          <w:szCs w:val="22"/>
          <w:rtl w:val="0"/>
        </w:rPr>
        <w:t xml:space="preserve">“HECHOS NEGATIVOS, NO SON SUSCEPTIBLES DE DEMOSTRACIÓN. </w:t>
      </w:r>
      <w:r w:rsidDel="00000000" w:rsidR="00000000" w:rsidRPr="00000000">
        <w:rPr>
          <w:rFonts w:ascii="Palatino Linotype" w:cs="Palatino Linotype" w:eastAsia="Palatino Linotype" w:hAnsi="Palatino Linotype"/>
          <w:i w:val="1"/>
          <w:sz w:val="22"/>
          <w:szCs w:val="22"/>
          <w:rtl w:val="0"/>
        </w:rPr>
        <w:t xml:space="preserve">Tratándose de un hecho negativo, el Juez no tiene por que invocar prueba alguna de la que se desprenda, ya que es bien sabido que esta clase de hechos no son susceptibles de demostración.”</w:t>
      </w:r>
      <w:r w:rsidDel="00000000" w:rsidR="00000000" w:rsidRPr="00000000">
        <w:rPr>
          <w:rtl w:val="0"/>
        </w:rPr>
      </w:r>
    </w:p>
    <w:p w:rsidR="00000000" w:rsidDel="00000000" w:rsidP="00000000" w:rsidRDefault="00000000" w:rsidRPr="00000000" w14:paraId="0000007C">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consiguiente, no es procedente la entrega de documento alguno, o en su caso, el Acuerdo de Inexistencia, toda vez que el pronunciamiento del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declara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 de aplicación supletoria.</w:t>
      </w:r>
    </w:p>
    <w:p w:rsidR="00000000" w:rsidDel="00000000" w:rsidP="00000000" w:rsidRDefault="00000000" w:rsidRPr="00000000" w14:paraId="0000007D">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Lo anterior, tomando en consideración, además, que del marco normativo aplicable al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tl w:val="0"/>
        </w:rPr>
        <w:t xml:space="preserve"> </w:t>
      </w:r>
      <w:r w:rsidDel="00000000" w:rsidR="00000000" w:rsidRPr="00000000">
        <w:rPr>
          <w:rFonts w:ascii="Palatino Linotype" w:cs="Palatino Linotype" w:eastAsia="Palatino Linotype" w:hAnsi="Palatino Linotype"/>
          <w:rtl w:val="0"/>
        </w:rPr>
        <w:t xml:space="preserve">no se localizó atribución alguna que le faculte para generar, administrar y/o poseer los documentos que son del interés de la persona solicitante. </w:t>
      </w:r>
    </w:p>
    <w:p w:rsidR="00000000" w:rsidDel="00000000" w:rsidP="00000000" w:rsidRDefault="00000000" w:rsidRPr="00000000" w14:paraId="0000007E">
      <w:pPr>
        <w:spacing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Con base en los argumentos expuestos, se concluye que se está ante la presencia de la causal de sobreseimiento establecida en el diverso 139, fracción V, de la Ley de Protección de Datos Personales en Posesión de Sujetos Obligados del Estado de México y Municipios, toda vez que, la parte </w:t>
      </w:r>
      <w:r w:rsidDel="00000000" w:rsidR="00000000" w:rsidRPr="00000000">
        <w:rPr>
          <w:rFonts w:ascii="Palatino Linotype" w:cs="Palatino Linotype" w:eastAsia="Palatino Linotype" w:hAnsi="Palatino Linotype"/>
          <w:b w:val="1"/>
          <w:rtl w:val="0"/>
        </w:rPr>
        <w:t xml:space="preserve">Recurrente</w:t>
      </w:r>
      <w:r w:rsidDel="00000000" w:rsidR="00000000" w:rsidRPr="00000000">
        <w:rPr>
          <w:rFonts w:ascii="Palatino Linotype" w:cs="Palatino Linotype" w:eastAsia="Palatino Linotype" w:hAnsi="Palatino Linotype"/>
          <w:rtl w:val="0"/>
        </w:rPr>
        <w:t xml:space="preserve"> consintió la respuesta proporcionada por 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como consta en el acta de la audiencia de conciliación, por lo tanto, se dejó sin materia el presente Recurso de Revisión. </w:t>
      </w:r>
    </w:p>
    <w:p w:rsidR="00000000" w:rsidDel="00000000" w:rsidP="00000000" w:rsidRDefault="00000000" w:rsidRPr="00000000" w14:paraId="0000007F">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consecuencia, lo procedente es </w:t>
      </w:r>
      <w:r w:rsidDel="00000000" w:rsidR="00000000" w:rsidRPr="00000000">
        <w:rPr>
          <w:rFonts w:ascii="Palatino Linotype" w:cs="Palatino Linotype" w:eastAsia="Palatino Linotype" w:hAnsi="Palatino Linotype"/>
          <w:b w:val="1"/>
          <w:rtl w:val="0"/>
        </w:rPr>
        <w:t xml:space="preserve">Sobreseer </w:t>
      </w:r>
      <w:r w:rsidDel="00000000" w:rsidR="00000000" w:rsidRPr="00000000">
        <w:rPr>
          <w:rFonts w:ascii="Palatino Linotype" w:cs="Palatino Linotype" w:eastAsia="Palatino Linotype" w:hAnsi="Palatino Linotype"/>
          <w:rtl w:val="0"/>
        </w:rPr>
        <w:t xml:space="preserve">el presente recurso de revisión, de conformidad con el artículo 137, fracción I</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de la Ley de Protección de Datos Personales en Posesión de Sujetos Obligados del Estado de México y Municipios, que es del tenor literal siguiente: </w:t>
      </w:r>
    </w:p>
    <w:p w:rsidR="00000000" w:rsidDel="00000000" w:rsidP="00000000" w:rsidRDefault="00000000" w:rsidRPr="00000000" w14:paraId="00000080">
      <w:pPr>
        <w:tabs>
          <w:tab w:val="left" w:leader="none" w:pos="993"/>
        </w:tabs>
        <w:spacing w:after="240" w:before="240" w:line="360" w:lineRule="auto"/>
        <w:ind w:left="851"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Artículo 137</w:t>
      </w:r>
      <w:r w:rsidDel="00000000" w:rsidR="00000000" w:rsidRPr="00000000">
        <w:rPr>
          <w:rFonts w:ascii="Palatino Linotype" w:cs="Palatino Linotype" w:eastAsia="Palatino Linotype" w:hAnsi="Palatino Linotype"/>
          <w:i w:val="1"/>
          <w:sz w:val="22"/>
          <w:szCs w:val="22"/>
          <w:rtl w:val="0"/>
        </w:rPr>
        <w:t xml:space="preserve">. Las resoluciones del Instituto podrán: </w:t>
      </w:r>
    </w:p>
    <w:p w:rsidR="00000000" w:rsidDel="00000000" w:rsidP="00000000" w:rsidRDefault="00000000" w:rsidRPr="00000000" w14:paraId="00000081">
      <w:pPr>
        <w:tabs>
          <w:tab w:val="left" w:leader="none" w:pos="1418"/>
        </w:tabs>
        <w:spacing w:after="240" w:before="240" w:line="360" w:lineRule="auto"/>
        <w:ind w:left="1134" w:right="900" w:firstLine="0"/>
        <w:jc w:val="both"/>
        <w:rPr>
          <w:rFonts w:ascii="Palatino Linotype" w:cs="Palatino Linotype" w:eastAsia="Palatino Linotype" w:hAnsi="Palatino Linotype"/>
          <w:b w:val="1"/>
          <w:i w:val="1"/>
          <w:sz w:val="22"/>
          <w:szCs w:val="22"/>
          <w:u w:val="single"/>
        </w:rPr>
      </w:pPr>
      <w:r w:rsidDel="00000000" w:rsidR="00000000" w:rsidRPr="00000000">
        <w:rPr>
          <w:rFonts w:ascii="Palatino Linotype" w:cs="Palatino Linotype" w:eastAsia="Palatino Linotype" w:hAnsi="Palatino Linotype"/>
          <w:b w:val="1"/>
          <w:i w:val="1"/>
          <w:sz w:val="22"/>
          <w:szCs w:val="22"/>
          <w:u w:val="single"/>
          <w:rtl w:val="0"/>
        </w:rPr>
        <w:t xml:space="preserve">I. Sobreseer o desechar el recurso de revisión por improcedente.”</w:t>
      </w:r>
    </w:p>
    <w:p w:rsidR="00000000" w:rsidDel="00000000" w:rsidP="00000000" w:rsidRDefault="00000000" w:rsidRPr="00000000" w14:paraId="00000082">
      <w:pPr>
        <w:spacing w:after="240" w:before="240" w:line="360" w:lineRule="auto"/>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rtl w:val="0"/>
        </w:rPr>
        <w:t xml:space="preserve">Al respecto, no obsta mencionar que, de acuerdo con el procesalista Niceto Alcalá-Zamora y Castillo en su obra </w:t>
      </w:r>
      <w:r w:rsidDel="00000000" w:rsidR="00000000" w:rsidRPr="00000000">
        <w:rPr>
          <w:rFonts w:ascii="Palatino Linotype" w:cs="Palatino Linotype" w:eastAsia="Palatino Linotype" w:hAnsi="Palatino Linotype"/>
          <w:i w:val="1"/>
          <w:rtl w:val="0"/>
        </w:rPr>
        <w:t xml:space="preserve">“Cuestiones de Terminología Procesal”</w:t>
      </w:r>
      <w:r w:rsidDel="00000000" w:rsidR="00000000" w:rsidRPr="00000000">
        <w:rPr>
          <w:rFonts w:ascii="Palatino Linotype" w:cs="Palatino Linotype" w:eastAsia="Palatino Linotype" w:hAnsi="Palatino Linotype"/>
          <w:rtl w:val="0"/>
        </w:rPr>
        <w:t xml:space="preserve">, el sobreseimiento es </w:t>
      </w:r>
      <w:r w:rsidDel="00000000" w:rsidR="00000000" w:rsidRPr="00000000">
        <w:rPr>
          <w:rFonts w:ascii="Palatino Linotype" w:cs="Palatino Linotype" w:eastAsia="Palatino Linotype" w:hAnsi="Palatino Linotype"/>
          <w:i w:val="1"/>
          <w:rtl w:val="0"/>
        </w:rPr>
        <w:t xml:space="preserve">“...una resolución en forma de auto, que produce la suspensión indefinida del procedimiento penal, o que pone fin al proceso, impidiendo en ambos casos, mientras subsista, la apertura del plenario o que en él se pronuncie sentencia...”</w:t>
      </w:r>
    </w:p>
    <w:p w:rsidR="00000000" w:rsidDel="00000000" w:rsidP="00000000" w:rsidRDefault="00000000" w:rsidRPr="00000000" w14:paraId="00000083">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Y, por su parte, Eduardo Pallares, en su artículo </w:t>
      </w:r>
      <w:r w:rsidDel="00000000" w:rsidR="00000000" w:rsidRPr="00000000">
        <w:rPr>
          <w:rFonts w:ascii="Palatino Linotype" w:cs="Palatino Linotype" w:eastAsia="Palatino Linotype" w:hAnsi="Palatino Linotype"/>
          <w:i w:val="1"/>
          <w:rtl w:val="0"/>
        </w:rPr>
        <w:t xml:space="preserve">“La caducidad y el sobreseimiento en el amparo”</w:t>
      </w:r>
      <w:r w:rsidDel="00000000" w:rsidR="00000000" w:rsidRPr="00000000">
        <w:rPr>
          <w:rFonts w:ascii="Palatino Linotype" w:cs="Palatino Linotype" w:eastAsia="Palatino Linotype" w:hAnsi="Palatino Linotype"/>
          <w:rtl w:val="0"/>
        </w:rPr>
        <w:t xml:space="preserve">, cita la definición de Aguilera Paz, aduciendo que se </w:t>
      </w:r>
      <w:r w:rsidDel="00000000" w:rsidR="00000000" w:rsidRPr="00000000">
        <w:rPr>
          <w:rFonts w:ascii="Palatino Linotype" w:cs="Palatino Linotype" w:eastAsia="Palatino Linotype" w:hAnsi="Palatino Linotype"/>
          <w:i w:val="1"/>
          <w:rtl w:val="0"/>
        </w:rPr>
        <w:t xml:space="preserve">“...entiende por sobreseimiento en el tecnicismo forense, el hecho de cesar en el procedimiento o curso de la causa, por no existir méritos bastantes para entrar en un juicio o para entablar la contienda judicial que debe ser objeto del mismo...”</w:t>
      </w:r>
      <w:r w:rsidDel="00000000" w:rsidR="00000000" w:rsidRPr="00000000">
        <w:rPr>
          <w:rFonts w:ascii="Palatino Linotype" w:cs="Palatino Linotype" w:eastAsia="Palatino Linotype" w:hAnsi="Palatino Linotype"/>
          <w:rtl w:val="0"/>
        </w:rPr>
        <w:t xml:space="preserve">. Asimismo señala que existe el sobreseimiento provisional y el definitivo</w:t>
      </w:r>
      <w:r w:rsidDel="00000000" w:rsidR="00000000" w:rsidRPr="00000000">
        <w:rPr>
          <w:rFonts w:ascii="Palatino Linotype" w:cs="Palatino Linotype" w:eastAsia="Palatino Linotype" w:hAnsi="Palatino Linotype"/>
          <w:i w:val="1"/>
          <w:rtl w:val="0"/>
        </w:rPr>
        <w:t xml:space="preserve">: “...el definitivo es una verdadera sentencia que pone fin al juicio, y que una vez dictada, produce cosa juzgada, mientras que el provisorio tiene por efectos suspender la prosecución de la causa...”</w:t>
      </w:r>
      <w:r w:rsidDel="00000000" w:rsidR="00000000" w:rsidRPr="00000000">
        <w:rPr>
          <w:rtl w:val="0"/>
        </w:rPr>
      </w:r>
    </w:p>
    <w:p w:rsidR="00000000" w:rsidDel="00000000" w:rsidP="00000000" w:rsidRDefault="00000000" w:rsidRPr="00000000" w14:paraId="00000084">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Así, para la doctrina el sobreseimiento provoca que un procedimiento se suspenda o se resuelva en definitiva </w:t>
      </w:r>
      <w:r w:rsidDel="00000000" w:rsidR="00000000" w:rsidRPr="00000000">
        <w:rPr>
          <w:rFonts w:ascii="Palatino Linotype" w:cs="Palatino Linotype" w:eastAsia="Palatino Linotype" w:hAnsi="Palatino Linotype"/>
          <w:b w:val="1"/>
          <w:u w:val="single"/>
          <w:rtl w:val="0"/>
        </w:rPr>
        <w:t xml:space="preserve">sin que se entre al estudio de los agravios o motivos de inconformidad</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Este mismo criterio es compartido por el más alto tribunal del país en múltiples jurisprudencias, por lo que a continuación se agrega una de ellas que sirve como orientador en esta resolución:</w:t>
      </w:r>
    </w:p>
    <w:p w:rsidR="00000000" w:rsidDel="00000000" w:rsidP="00000000" w:rsidRDefault="00000000" w:rsidRPr="00000000" w14:paraId="00000085">
      <w:pPr>
        <w:spacing w:after="240" w:before="24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“SOBRESEIMIENTO EN EL JUICIO DE AMPARO DIRECTO. IMPIDE EL ESTUDIO DE LAS VIOLACIONES PROCESALES PLANTEADAS EN LOS CONCEPTOS DE VIOLACIÓN. El sobreseimiento</w:t>
      </w:r>
      <w:r w:rsidDel="00000000" w:rsidR="00000000" w:rsidRPr="00000000">
        <w:rPr>
          <w:rFonts w:ascii="Palatino Linotype" w:cs="Palatino Linotype" w:eastAsia="Palatino Linotype" w:hAnsi="Palatino Linotype"/>
          <w:i w:val="1"/>
          <w:sz w:val="22"/>
          <w:szCs w:val="22"/>
          <w:rtl w:val="0"/>
        </w:rPr>
        <w:t xml:space="preserve"> en el juicio de amparo directo </w:t>
      </w:r>
      <w:r w:rsidDel="00000000" w:rsidR="00000000" w:rsidRPr="00000000">
        <w:rPr>
          <w:rFonts w:ascii="Palatino Linotype" w:cs="Palatino Linotype" w:eastAsia="Palatino Linotype" w:hAnsi="Palatino Linotype"/>
          <w:b w:val="1"/>
          <w:i w:val="1"/>
          <w:sz w:val="22"/>
          <w:szCs w:val="22"/>
          <w:rtl w:val="0"/>
        </w:rPr>
        <w:t xml:space="preserve">provoca la terminación de la controversia planteada</w:t>
      </w:r>
      <w:r w:rsidDel="00000000" w:rsidR="00000000" w:rsidRPr="00000000">
        <w:rPr>
          <w:rFonts w:ascii="Palatino Linotype" w:cs="Palatino Linotype" w:eastAsia="Palatino Linotype" w:hAnsi="Palatino Linotype"/>
          <w:i w:val="1"/>
          <w:sz w:val="22"/>
          <w:szCs w:val="22"/>
          <w:rtl w:val="0"/>
        </w:rPr>
        <w:t xml:space="preserve"> por el quejoso en la demanda de amparo</w:t>
      </w:r>
      <w:r w:rsidDel="00000000" w:rsidR="00000000" w:rsidRPr="00000000">
        <w:rPr>
          <w:rFonts w:ascii="Palatino Linotype" w:cs="Palatino Linotype" w:eastAsia="Palatino Linotype" w:hAnsi="Palatino Linotype"/>
          <w:b w:val="1"/>
          <w:i w:val="1"/>
          <w:sz w:val="22"/>
          <w:szCs w:val="22"/>
          <w:rtl w:val="0"/>
        </w:rPr>
        <w:t xml:space="preserve">, sin hacer un pronunciamiento de fondo sobre la legalidad o ilegalidad de la sentencia reclamada</w:t>
      </w: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Por consiguiente, si al sobreseerse en el juicio de amparo </w:t>
      </w:r>
      <w:r w:rsidDel="00000000" w:rsidR="00000000" w:rsidRPr="00000000">
        <w:rPr>
          <w:rFonts w:ascii="Palatino Linotype" w:cs="Palatino Linotype" w:eastAsia="Palatino Linotype" w:hAnsi="Palatino Linotype"/>
          <w:b w:val="1"/>
          <w:i w:val="1"/>
          <w:sz w:val="22"/>
          <w:szCs w:val="22"/>
          <w:u w:val="single"/>
          <w:rtl w:val="0"/>
        </w:rPr>
        <w:t xml:space="preserve">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Así, con fundamento en lo prescrito en los artículos 5 párrafos trigésimo tercero,  trigésimo cuarto y trigésimo quinto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240" w:before="240" w:line="360"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III. R E S U E L V E</w:t>
      </w:r>
    </w:p>
    <w:p w:rsidR="00000000" w:rsidDel="00000000" w:rsidP="00000000" w:rsidRDefault="00000000" w:rsidRPr="00000000" w14:paraId="00000088">
      <w:pPr>
        <w:spacing w:before="160" w:line="360" w:lineRule="auto"/>
        <w:jc w:val="both"/>
        <w:rPr>
          <w:rFonts w:ascii="Palatino Linotype" w:cs="Palatino Linotype" w:eastAsia="Palatino Linotype" w:hAnsi="Palatino Linotype"/>
        </w:rPr>
      </w:pPr>
      <w:bookmarkStart w:colFirst="0" w:colLast="0" w:name="_heading=h.3rdcrjn" w:id="5"/>
      <w:bookmarkEnd w:id="5"/>
      <w:r w:rsidDel="00000000" w:rsidR="00000000" w:rsidRPr="00000000">
        <w:rPr>
          <w:rFonts w:ascii="Palatino Linotype" w:cs="Palatino Linotype" w:eastAsia="Palatino Linotype" w:hAnsi="Palatino Linotype"/>
          <w:b w:val="1"/>
          <w:rtl w:val="0"/>
        </w:rPr>
        <w:t xml:space="preserve">Primero. </w:t>
      </w:r>
      <w:r w:rsidDel="00000000" w:rsidR="00000000" w:rsidRPr="00000000">
        <w:rPr>
          <w:rFonts w:ascii="Palatino Linotype" w:cs="Palatino Linotype" w:eastAsia="Palatino Linotype" w:hAnsi="Palatino Linotype"/>
          <w:rtl w:val="0"/>
        </w:rPr>
        <w:t xml:space="preserve">Se</w:t>
      </w:r>
      <w:r w:rsidDel="00000000" w:rsidR="00000000" w:rsidRPr="00000000">
        <w:rPr>
          <w:rFonts w:ascii="Palatino Linotype" w:cs="Palatino Linotype" w:eastAsia="Palatino Linotype" w:hAnsi="Palatino Linotype"/>
          <w:b w:val="1"/>
          <w:rtl w:val="0"/>
        </w:rPr>
        <w:t xml:space="preserve"> Sobresee, </w:t>
      </w:r>
      <w:r w:rsidDel="00000000" w:rsidR="00000000" w:rsidRPr="00000000">
        <w:rPr>
          <w:rFonts w:ascii="Palatino Linotype" w:cs="Palatino Linotype" w:eastAsia="Palatino Linotype" w:hAnsi="Palatino Linotype"/>
          <w:rtl w:val="0"/>
        </w:rPr>
        <w:t xml:space="preserve">el recurso de revisión </w:t>
      </w:r>
      <w:r w:rsidDel="00000000" w:rsidR="00000000" w:rsidRPr="00000000">
        <w:rPr>
          <w:rFonts w:ascii="Palatino Linotype" w:cs="Palatino Linotype" w:eastAsia="Palatino Linotype" w:hAnsi="Palatino Linotype"/>
          <w:b w:val="1"/>
          <w:rtl w:val="0"/>
        </w:rPr>
        <w:t xml:space="preserve">02384/INFOEM/AD/RR/2024,</w:t>
      </w:r>
      <w:r w:rsidDel="00000000" w:rsidR="00000000" w:rsidRPr="00000000">
        <w:rPr>
          <w:rFonts w:ascii="Palatino Linotype" w:cs="Palatino Linotype" w:eastAsia="Palatino Linotype" w:hAnsi="Palatino Linotype"/>
          <w:rtl w:val="0"/>
        </w:rPr>
        <w:t xml:space="preserve"> porque al quedarse sin materia</w:t>
      </w:r>
      <w:r w:rsidDel="00000000" w:rsidR="00000000" w:rsidRPr="00000000">
        <w:rPr>
          <w:rFonts w:ascii="Palatino Linotype" w:cs="Palatino Linotype" w:eastAsia="Palatino Linotype" w:hAnsi="Palatino Linotype"/>
          <w:b w:val="1"/>
          <w:rtl w:val="0"/>
        </w:rPr>
        <w:t xml:space="preserve">,</w:t>
      </w:r>
      <w:r w:rsidDel="00000000" w:rsidR="00000000" w:rsidRPr="00000000">
        <w:rPr>
          <w:rFonts w:ascii="Palatino Linotype" w:cs="Palatino Linotype" w:eastAsia="Palatino Linotype" w:hAnsi="Palatino Linotype"/>
          <w:rtl w:val="0"/>
        </w:rPr>
        <w:t xml:space="preserve"> se actualizó la causal prevista en el artículo 139 fracción V, en relación con el artículo 132 fracción V, ambos de la Ley de Protección de Datos Personales en Posesión de Sujetos Obligados del Estado de México y Municipios, en términos del Considerando </w:t>
      </w:r>
      <w:r w:rsidDel="00000000" w:rsidR="00000000" w:rsidRPr="00000000">
        <w:rPr>
          <w:rFonts w:ascii="Palatino Linotype" w:cs="Palatino Linotype" w:eastAsia="Palatino Linotype" w:hAnsi="Palatino Linotype"/>
          <w:b w:val="1"/>
          <w:rtl w:val="0"/>
        </w:rPr>
        <w:t xml:space="preserve">Cuarto </w:t>
      </w:r>
      <w:r w:rsidDel="00000000" w:rsidR="00000000" w:rsidRPr="00000000">
        <w:rPr>
          <w:rFonts w:ascii="Palatino Linotype" w:cs="Palatino Linotype" w:eastAsia="Palatino Linotype" w:hAnsi="Palatino Linotype"/>
          <w:rtl w:val="0"/>
        </w:rPr>
        <w:t xml:space="preserve">de la presente Resolución.</w:t>
      </w:r>
    </w:p>
    <w:p w:rsidR="00000000" w:rsidDel="00000000" w:rsidP="00000000" w:rsidRDefault="00000000" w:rsidRPr="00000000" w14:paraId="00000089">
      <w:pPr>
        <w:tabs>
          <w:tab w:val="left" w:leader="none" w:pos="7936"/>
        </w:tabs>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Segundo. Notifíquese, </w:t>
      </w:r>
      <w:r w:rsidDel="00000000" w:rsidR="00000000" w:rsidRPr="00000000">
        <w:rPr>
          <w:rFonts w:ascii="Palatino Linotype" w:cs="Palatino Linotype" w:eastAsia="Palatino Linotype" w:hAnsi="Palatino Linotype"/>
          <w:rtl w:val="0"/>
        </w:rPr>
        <w:t xml:space="preserve">vía</w:t>
      </w:r>
      <w:r w:rsidDel="00000000" w:rsidR="00000000" w:rsidRPr="00000000">
        <w:rPr>
          <w:rFonts w:ascii="Palatino Linotype" w:cs="Palatino Linotype" w:eastAsia="Palatino Linotype" w:hAnsi="Palatino Linotype"/>
          <w:b w:val="1"/>
          <w:rtl w:val="0"/>
        </w:rPr>
        <w:t xml:space="preserve"> SARCOEM</w:t>
      </w:r>
      <w:r w:rsidDel="00000000" w:rsidR="00000000" w:rsidRPr="00000000">
        <w:rPr>
          <w:rFonts w:ascii="Palatino Linotype" w:cs="Palatino Linotype" w:eastAsia="Palatino Linotype" w:hAnsi="Palatino Linotype"/>
          <w:b w:val="1"/>
          <w:i w:val="1"/>
          <w:rtl w:val="0"/>
        </w:rPr>
        <w:t xml:space="preserve">, </w:t>
      </w:r>
      <w:r w:rsidDel="00000000" w:rsidR="00000000" w:rsidRPr="00000000">
        <w:rPr>
          <w:rFonts w:ascii="Palatino Linotype" w:cs="Palatino Linotype" w:eastAsia="Palatino Linotype" w:hAnsi="Palatino Linotype"/>
          <w:rtl w:val="0"/>
        </w:rPr>
        <w:t xml:space="preserve">al Titular de la Unidad de Transparencia del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la presente resolución</w:t>
      </w:r>
      <w:r w:rsidDel="00000000" w:rsidR="00000000" w:rsidRPr="00000000">
        <w:rPr>
          <w:rFonts w:ascii="Palatino Linotype" w:cs="Palatino Linotype" w:eastAsia="Palatino Linotype" w:hAnsi="Palatino Linotype"/>
          <w:b w:val="1"/>
          <w:i w:val="1"/>
          <w:rtl w:val="0"/>
        </w:rPr>
        <w:t xml:space="preserve"> </w:t>
      </w:r>
      <w:r w:rsidDel="00000000" w:rsidR="00000000" w:rsidRPr="00000000">
        <w:rPr>
          <w:rFonts w:ascii="Palatino Linotype" w:cs="Palatino Linotype" w:eastAsia="Palatino Linotype" w:hAnsi="Palatino Linotype"/>
          <w:rtl w:val="0"/>
        </w:rPr>
        <w:t xml:space="preserve">para su conocimiento.</w:t>
      </w:r>
    </w:p>
    <w:p w:rsidR="00000000" w:rsidDel="00000000" w:rsidP="00000000" w:rsidRDefault="00000000" w:rsidRPr="00000000" w14:paraId="0000008A">
      <w:pPr>
        <w:tabs>
          <w:tab w:val="left" w:leader="none" w:pos="4667"/>
        </w:tabs>
        <w:spacing w:after="240" w:before="240" w:line="360" w:lineRule="auto"/>
        <w:jc w:val="both"/>
        <w:rPr>
          <w:rFonts w:ascii="Palatino Linotype" w:cs="Palatino Linotype" w:eastAsia="Palatino Linotype" w:hAnsi="Palatino Linotype"/>
        </w:rPr>
      </w:pPr>
      <w:bookmarkStart w:colFirst="0" w:colLast="0" w:name="_heading=h.26in1rg" w:id="6"/>
      <w:bookmarkEnd w:id="6"/>
      <w:r w:rsidDel="00000000" w:rsidR="00000000" w:rsidRPr="00000000">
        <w:rPr>
          <w:rFonts w:ascii="Palatino Linotype" w:cs="Palatino Linotype" w:eastAsia="Palatino Linotype" w:hAnsi="Palatino Linotype"/>
          <w:b w:val="1"/>
          <w:rtl w:val="0"/>
        </w:rPr>
        <w:t xml:space="preserve">Tercero. Notifíquese, </w:t>
      </w:r>
      <w:r w:rsidDel="00000000" w:rsidR="00000000" w:rsidRPr="00000000">
        <w:rPr>
          <w:rFonts w:ascii="Palatino Linotype" w:cs="Palatino Linotype" w:eastAsia="Palatino Linotype" w:hAnsi="Palatino Linotype"/>
          <w:rtl w:val="0"/>
        </w:rPr>
        <w:t xml:space="preserve">vía</w:t>
      </w:r>
      <w:r w:rsidDel="00000000" w:rsidR="00000000" w:rsidRPr="00000000">
        <w:rPr>
          <w:rFonts w:ascii="Palatino Linotype" w:cs="Palatino Linotype" w:eastAsia="Palatino Linotype" w:hAnsi="Palatino Linotype"/>
          <w:b w:val="1"/>
          <w:rtl w:val="0"/>
        </w:rPr>
        <w:t xml:space="preserve"> SARCOEM</w:t>
      </w:r>
      <w:r w:rsidDel="00000000" w:rsidR="00000000" w:rsidRPr="00000000">
        <w:rPr>
          <w:rFonts w:ascii="Palatino Linotype" w:cs="Palatino Linotype" w:eastAsia="Palatino Linotype" w:hAnsi="Palatino Linotype"/>
          <w:rtl w:val="0"/>
        </w:rPr>
        <w:t xml:space="preserve">, a</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la parte </w:t>
      </w:r>
      <w:r w:rsidDel="00000000" w:rsidR="00000000" w:rsidRPr="00000000">
        <w:rPr>
          <w:rFonts w:ascii="Palatino Linotype" w:cs="Palatino Linotype" w:eastAsia="Palatino Linotype" w:hAnsi="Palatino Linotype"/>
          <w:b w:val="1"/>
          <w:rtl w:val="0"/>
        </w:rPr>
        <w:t xml:space="preserve">Recurrente</w:t>
      </w:r>
      <w:r w:rsidDel="00000000" w:rsidR="00000000" w:rsidRPr="00000000">
        <w:rPr>
          <w:rFonts w:ascii="Palatino Linotype" w:cs="Palatino Linotype" w:eastAsia="Palatino Linotype" w:hAnsi="Palatino Linotype"/>
          <w:rtl w:val="0"/>
        </w:rPr>
        <w:t xml:space="preserve">, la presente resolución,  asimismo, se hace de su conocimiento que de conformidad con lo establecido en el artículo 142 de la Ley de Protección de Datos Personales en Posesión de Sujetos Obligados del Estado de México y Municipios podrá promover el Juicio de Amparo en los términos de las leyes aplicables. </w:t>
      </w:r>
    </w:p>
    <w:p w:rsidR="00000000" w:rsidDel="00000000" w:rsidP="00000000" w:rsidRDefault="00000000" w:rsidRPr="00000000" w14:paraId="0000008B">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NOVENA SESIÓN ORDINARIA, CELEBRADA EL</w:t>
      </w:r>
      <w:r w:rsidDel="00000000" w:rsidR="00000000" w:rsidRPr="00000000">
        <w:rPr>
          <w:rtl w:val="0"/>
        </w:rPr>
        <w:t xml:space="preserve"> </w:t>
      </w:r>
      <w:r w:rsidDel="00000000" w:rsidR="00000000" w:rsidRPr="00000000">
        <w:rPr>
          <w:rFonts w:ascii="Palatino Linotype" w:cs="Palatino Linotype" w:eastAsia="Palatino Linotype" w:hAnsi="Palatino Linotype"/>
          <w:rtl w:val="0"/>
        </w:rPr>
        <w:t xml:space="preserve">VEINTIUNO DE AGOSTO DE DOS MIL VEINTICUATRO, ANTE EL SECRETARIO TÉCNICO DEL PLENO ALEXIS TAPIA RAMÍREZ.</w:t>
      </w:r>
    </w:p>
    <w:p w:rsidR="00000000" w:rsidDel="00000000" w:rsidP="00000000" w:rsidRDefault="00000000" w:rsidRPr="00000000" w14:paraId="0000008C">
      <w:pPr>
        <w:spacing w:after="240" w:before="24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8D">
      <w:pPr>
        <w:spacing w:line="360" w:lineRule="auto"/>
        <w:jc w:val="both"/>
        <w:rPr>
          <w:rFonts w:ascii="Palatino Linotype" w:cs="Palatino Linotype" w:eastAsia="Palatino Linotype" w:hAnsi="Palatino Linotype"/>
        </w:rPr>
      </w:pPr>
      <w:bookmarkStart w:colFirst="0" w:colLast="0" w:name="_heading=h.1t3h5sf" w:id="7"/>
      <w:bookmarkEnd w:id="7"/>
      <w:r w:rsidDel="00000000" w:rsidR="00000000" w:rsidRPr="00000000">
        <w:rPr>
          <w:rtl w:val="0"/>
        </w:rPr>
      </w:r>
    </w:p>
    <w:p w:rsidR="00000000" w:rsidDel="00000000" w:rsidP="00000000" w:rsidRDefault="00000000" w:rsidRPr="00000000" w14:paraId="0000008E">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8F">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0">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1">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2">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3">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4">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5">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6">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7">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8">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9">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A">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B">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C">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D">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E">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F">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A0">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A1">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A2">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A3">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A4">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A5">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A6">
      <w:pPr>
        <w:spacing w:line="360" w:lineRule="auto"/>
        <w:jc w:val="both"/>
        <w:rPr>
          <w:rFonts w:ascii="Palatino Linotype" w:cs="Palatino Linotype" w:eastAsia="Palatino Linotype" w:hAnsi="Palatino Linotype"/>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701" w:top="1985"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252"/>
        <w:tab w:val="right" w:leader="none" w:pos="8504"/>
      </w:tabs>
      <w:jc w:val="right"/>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Página </w:t>
    </w:r>
    <w:r w:rsidDel="00000000" w:rsidR="00000000" w:rsidRPr="00000000">
      <w:rPr>
        <w:rFonts w:ascii="Palatino Linotype" w:cs="Palatino Linotype" w:eastAsia="Palatino Linotype" w:hAnsi="Palatino Linotype"/>
        <w:b w:val="1"/>
        <w:color w:val="000000"/>
        <w:sz w:val="20"/>
        <w:szCs w:val="20"/>
      </w:rPr>
      <w:fldChar w:fldCharType="begin"/>
      <w:instrText xml:space="preserve">PAGE</w:instrText>
      <w:fldChar w:fldCharType="separate"/>
      <w:fldChar w:fldCharType="end"/>
    </w:r>
    <w:r w:rsidDel="00000000" w:rsidR="00000000" w:rsidRPr="00000000">
      <w:rPr>
        <w:rFonts w:ascii="Palatino Linotype" w:cs="Palatino Linotype" w:eastAsia="Palatino Linotype" w:hAnsi="Palatino Linotype"/>
        <w:color w:val="000000"/>
        <w:sz w:val="20"/>
        <w:szCs w:val="20"/>
        <w:rtl w:val="0"/>
      </w:rPr>
      <w:t xml:space="preserve"> de </w:t>
    </w:r>
    <w:r w:rsidDel="00000000" w:rsidR="00000000" w:rsidRPr="00000000">
      <w:rPr>
        <w:rFonts w:ascii="Palatino Linotype" w:cs="Palatino Linotype" w:eastAsia="Palatino Linotype" w:hAnsi="Palatino Linotype"/>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leader="none" w:pos="4252"/>
        <w:tab w:val="right" w:leader="none" w:pos="8504"/>
      </w:tabs>
      <w:ind w:firstLine="708"/>
      <w:rPr>
        <w:rFonts w:ascii="Cambria" w:cs="Cambria" w:eastAsia="Cambria" w:hAnsi="Cambria"/>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252"/>
        <w:tab w:val="right" w:leader="none" w:pos="8504"/>
      </w:tabs>
      <w:jc w:val="right"/>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Página </w:t>
    </w:r>
    <w:r w:rsidDel="00000000" w:rsidR="00000000" w:rsidRPr="00000000">
      <w:rPr>
        <w:rFonts w:ascii="Palatino Linotype" w:cs="Palatino Linotype" w:eastAsia="Palatino Linotype" w:hAnsi="Palatino Linotype"/>
        <w:b w:val="1"/>
        <w:color w:val="000000"/>
        <w:sz w:val="20"/>
        <w:szCs w:val="20"/>
      </w:rPr>
      <w:fldChar w:fldCharType="begin"/>
      <w:instrText xml:space="preserve">PAGE</w:instrText>
      <w:fldChar w:fldCharType="separate"/>
      <w:fldChar w:fldCharType="end"/>
    </w:r>
    <w:r w:rsidDel="00000000" w:rsidR="00000000" w:rsidRPr="00000000">
      <w:rPr>
        <w:rFonts w:ascii="Palatino Linotype" w:cs="Palatino Linotype" w:eastAsia="Palatino Linotype" w:hAnsi="Palatino Linotype"/>
        <w:color w:val="000000"/>
        <w:sz w:val="20"/>
        <w:szCs w:val="20"/>
        <w:rtl w:val="0"/>
      </w:rPr>
      <w:t xml:space="preserve"> de </w:t>
    </w:r>
    <w:r w:rsidDel="00000000" w:rsidR="00000000" w:rsidRPr="00000000">
      <w:rPr>
        <w:rFonts w:ascii="Palatino Linotype" w:cs="Palatino Linotype" w:eastAsia="Palatino Linotype" w:hAnsi="Palatino Linotype"/>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leader="none" w:pos="4252"/>
        <w:tab w:val="right" w:leader="none" w:pos="8504"/>
      </w:tabs>
      <w:rPr>
        <w:rFonts w:ascii="Cambria" w:cs="Cambria" w:eastAsia="Cambria" w:hAnsi="Cambria"/>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A7">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16"/>
          <w:szCs w:val="16"/>
        </w:rPr>
      </w:pPr>
      <w:r w:rsidDel="00000000" w:rsidR="00000000" w:rsidRPr="00000000">
        <w:rPr>
          <w:rStyle w:val="FootnoteReference"/>
          <w:vertAlign w:val="superscript"/>
        </w:rPr>
        <w:footnoteRef/>
      </w:r>
      <w:r w:rsidDel="00000000" w:rsidR="00000000" w:rsidRPr="00000000">
        <w:rPr>
          <w:rFonts w:ascii="Palatino Linotype" w:cs="Palatino Linotype" w:eastAsia="Palatino Linotype" w:hAnsi="Palatino Linotype"/>
          <w:color w:val="000000"/>
          <w:sz w:val="16"/>
          <w:szCs w:val="16"/>
          <w:rtl w:val="0"/>
        </w:rPr>
        <w:t xml:space="preserve"> Tesis [A]: 2a. Semanario Judicial de la Federación, Sexta Época, Volumen LII, Tercera Parte, p. 101, Reg. digital </w:t>
      </w:r>
      <w:r w:rsidDel="00000000" w:rsidR="00000000" w:rsidRPr="00000000">
        <w:rPr>
          <w:rFonts w:ascii="Palatino Linotype" w:cs="Palatino Linotype" w:eastAsia="Palatino Linotype" w:hAnsi="Palatino Linotype"/>
          <w:color w:val="212529"/>
          <w:sz w:val="16"/>
          <w:szCs w:val="16"/>
          <w:highlight w:val="white"/>
          <w:rtl w:val="0"/>
        </w:rPr>
        <w:t xml:space="preserve">267287.</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rPr>
        <w:rFonts w:ascii="Cambria" w:cs="Cambria" w:eastAsia="Cambria" w:hAnsi="Cambria"/>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-1080118</wp:posOffset>
          </wp:positionH>
          <wp:positionV relativeFrom="paragraph">
            <wp:posOffset>-488296</wp:posOffset>
          </wp:positionV>
          <wp:extent cx="7809865" cy="10165715"/>
          <wp:effectExtent b="0" l="0" r="0" t="0"/>
          <wp:wrapNone/>
          <wp:docPr id="201975761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09865" cy="10165715"/>
                  </a:xfrm>
                  <a:prstGeom prst="rect"/>
                  <a:ln/>
                </pic:spPr>
              </pic:pic>
            </a:graphicData>
          </a:graphic>
        </wp:anchor>
      </w:drawing>
    </w:r>
  </w:p>
  <w:tbl>
    <w:tblPr>
      <w:tblStyle w:val="Table1"/>
      <w:tblW w:w="5953.0" w:type="dxa"/>
      <w:jc w:val="left"/>
      <w:tblInd w:w="3261.0" w:type="dxa"/>
      <w:tblLayout w:type="fixed"/>
      <w:tblLook w:val="0400"/>
    </w:tblPr>
    <w:tblGrid>
      <w:gridCol w:w="2489"/>
      <w:gridCol w:w="3464"/>
      <w:tblGridChange w:id="0">
        <w:tblGrid>
          <w:gridCol w:w="2489"/>
          <w:gridCol w:w="3464"/>
        </w:tblGrid>
      </w:tblGridChange>
    </w:tblGrid>
    <w:tr>
      <w:trPr>
        <w:cantSplit w:val="0"/>
        <w:tblHeader w:val="0"/>
      </w:trPr>
      <w:tc>
        <w:tcPr>
          <w:shd w:fill="auto" w:val="clear"/>
        </w:tcPr>
        <w:p w:rsidR="00000000" w:rsidDel="00000000" w:rsidP="00000000" w:rsidRDefault="00000000" w:rsidRPr="00000000" w14:paraId="000000A9">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Recurso de Revisión:</w:t>
          </w:r>
        </w:p>
      </w:tc>
      <w:tc>
        <w:tcPr>
          <w:shd w:fill="auto" w:val="clear"/>
          <w:vAlign w:val="center"/>
        </w:tcPr>
        <w:p w:rsidR="00000000" w:rsidDel="00000000" w:rsidP="00000000" w:rsidRDefault="00000000" w:rsidRPr="00000000" w14:paraId="000000AA">
          <w:pPr>
            <w:ind w:right="175"/>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02384/INFOEM/AD/RR/2024</w:t>
          </w:r>
        </w:p>
      </w:tc>
    </w:tr>
    <w:tr>
      <w:trPr>
        <w:cantSplit w:val="0"/>
        <w:trHeight w:val="228" w:hRule="atLeast"/>
        <w:tblHeader w:val="0"/>
      </w:trPr>
      <w:tc>
        <w:tcPr>
          <w:shd w:fill="auto" w:val="clear"/>
          <w:vAlign w:val="center"/>
        </w:tcPr>
        <w:p w:rsidR="00000000" w:rsidDel="00000000" w:rsidP="00000000" w:rsidRDefault="00000000" w:rsidRPr="00000000" w14:paraId="000000AB">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Sujeto Obligado:</w:t>
          </w:r>
        </w:p>
      </w:tc>
      <w:tc>
        <w:tcPr>
          <w:shd w:fill="auto" w:val="clear"/>
          <w:vAlign w:val="center"/>
        </w:tcPr>
        <w:p w:rsidR="00000000" w:rsidDel="00000000" w:rsidP="00000000" w:rsidRDefault="00000000" w:rsidRPr="00000000" w14:paraId="000000AC">
          <w:pPr>
            <w:ind w:left="-45" w:right="176" w:firstLine="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Oficialía Mayor</w:t>
          </w:r>
        </w:p>
      </w:tc>
    </w:tr>
    <w:tr>
      <w:trPr>
        <w:cantSplit w:val="0"/>
        <w:tblHeader w:val="0"/>
      </w:trPr>
      <w:tc>
        <w:tcPr>
          <w:shd w:fill="auto" w:val="clear"/>
          <w:vAlign w:val="center"/>
        </w:tcPr>
        <w:p w:rsidR="00000000" w:rsidDel="00000000" w:rsidP="00000000" w:rsidRDefault="00000000" w:rsidRPr="00000000" w14:paraId="000000AD">
          <w:pPr>
            <w:ind w:right="-108"/>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Comisionada ponente:</w:t>
          </w:r>
        </w:p>
      </w:tc>
      <w:tc>
        <w:tcPr>
          <w:shd w:fill="auto" w:val="clear"/>
          <w:vAlign w:val="center"/>
        </w:tcPr>
        <w:p w:rsidR="00000000" w:rsidDel="00000000" w:rsidP="00000000" w:rsidRDefault="00000000" w:rsidRPr="00000000" w14:paraId="000000AE">
          <w:pPr>
            <w:ind w:right="175"/>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Guadalupe Ramírez Peña</w:t>
          </w:r>
        </w:p>
      </w:tc>
    </w:tr>
  </w:tbl>
  <w:p w:rsidR="00000000" w:rsidDel="00000000" w:rsidP="00000000" w:rsidRDefault="00000000" w:rsidRPr="00000000" w14:paraId="000000AF">
    <w:pPr>
      <w:rPr>
        <w:rFonts w:ascii="Cambria" w:cs="Cambria" w:eastAsia="Cambria" w:hAnsi="Cambria"/>
        <w:color w:val="000000"/>
      </w:rPr>
    </w:pPr>
    <w:r w:rsidDel="00000000" w:rsidR="00000000" w:rsidRPr="00000000">
      <w:rPr>
        <w:rFonts w:ascii="Cambria" w:cs="Cambria" w:eastAsia="Cambria" w:hAnsi="Cambria"/>
        <w:color w:val="000000"/>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76" w:lineRule="auto"/>
      <w:rPr>
        <w:rFonts w:ascii="Palatino Linotype" w:cs="Palatino Linotype" w:eastAsia="Palatino Linotype" w:hAnsi="Palatino Linotype"/>
        <w:color w:val="000000"/>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-1136014</wp:posOffset>
          </wp:positionH>
          <wp:positionV relativeFrom="paragraph">
            <wp:posOffset>-385444</wp:posOffset>
          </wp:positionV>
          <wp:extent cx="7809865" cy="10165715"/>
          <wp:effectExtent b="0" l="0" r="0" t="0"/>
          <wp:wrapNone/>
          <wp:docPr id="20197576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09865" cy="10165715"/>
                  </a:xfrm>
                  <a:prstGeom prst="rect"/>
                  <a:ln/>
                </pic:spPr>
              </pic:pic>
            </a:graphicData>
          </a:graphic>
        </wp:anchor>
      </w:drawing>
    </w:r>
  </w:p>
  <w:tbl>
    <w:tblPr>
      <w:tblStyle w:val="Table2"/>
      <w:tblW w:w="5670.0" w:type="dxa"/>
      <w:jc w:val="left"/>
      <w:tblInd w:w="3261.0" w:type="dxa"/>
      <w:tblLayout w:type="fixed"/>
      <w:tblLook w:val="0400"/>
    </w:tblPr>
    <w:tblGrid>
      <w:gridCol w:w="2551"/>
      <w:gridCol w:w="3119"/>
      <w:tblGridChange w:id="0">
        <w:tblGrid>
          <w:gridCol w:w="2551"/>
          <w:gridCol w:w="3119"/>
        </w:tblGrid>
      </w:tblGridChange>
    </w:tblGrid>
    <w:tr>
      <w:trPr>
        <w:cantSplit w:val="0"/>
        <w:tblHeader w:val="0"/>
      </w:trPr>
      <w:tc>
        <w:tcPr>
          <w:shd w:fill="auto" w:val="clear"/>
          <w:vAlign w:val="center"/>
        </w:tcPr>
        <w:p w:rsidR="00000000" w:rsidDel="00000000" w:rsidP="00000000" w:rsidRDefault="00000000" w:rsidRPr="00000000" w14:paraId="000000B1">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Recurso de Revisión:</w:t>
          </w:r>
        </w:p>
      </w:tc>
      <w:tc>
        <w:tcPr>
          <w:shd w:fill="auto" w:val="clear"/>
          <w:vAlign w:val="center"/>
        </w:tcPr>
        <w:p w:rsidR="00000000" w:rsidDel="00000000" w:rsidP="00000000" w:rsidRDefault="00000000" w:rsidRPr="00000000" w14:paraId="000000B2">
          <w:pPr>
            <w:tabs>
              <w:tab w:val="left" w:leader="none" w:pos="3153"/>
            </w:tabs>
            <w:ind w:left="-45" w:firstLine="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02384/INFOEM/AD/RR/2024</w:t>
          </w:r>
        </w:p>
      </w:tc>
    </w:tr>
    <w:tr>
      <w:trPr>
        <w:cantSplit w:val="0"/>
        <w:trHeight w:val="130" w:hRule="atLeast"/>
        <w:tblHeader w:val="0"/>
      </w:trPr>
      <w:tc>
        <w:tcPr>
          <w:shd w:fill="auto" w:val="clear"/>
          <w:vAlign w:val="center"/>
        </w:tcPr>
        <w:p w:rsidR="00000000" w:rsidDel="00000000" w:rsidP="00000000" w:rsidRDefault="00000000" w:rsidRPr="00000000" w14:paraId="000000B3">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Recurrente:</w:t>
          </w:r>
        </w:p>
      </w:tc>
      <w:tc>
        <w:tcPr>
          <w:shd w:fill="auto" w:val="clear"/>
          <w:vAlign w:val="center"/>
        </w:tcPr>
        <w:p w:rsidR="00000000" w:rsidDel="00000000" w:rsidP="00000000" w:rsidRDefault="00000000" w:rsidRPr="00000000" w14:paraId="000000B4">
          <w:pPr>
            <w:ind w:left="-45" w:firstLine="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XXXXX XXXX XXXXX </w:t>
          </w:r>
        </w:p>
      </w:tc>
    </w:tr>
    <w:tr>
      <w:trPr>
        <w:cantSplit w:val="0"/>
        <w:trHeight w:val="228" w:hRule="atLeast"/>
        <w:tblHeader w:val="0"/>
      </w:trPr>
      <w:tc>
        <w:tcPr>
          <w:shd w:fill="auto" w:val="clear"/>
          <w:vAlign w:val="center"/>
        </w:tcPr>
        <w:p w:rsidR="00000000" w:rsidDel="00000000" w:rsidP="00000000" w:rsidRDefault="00000000" w:rsidRPr="00000000" w14:paraId="000000B5">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Sujeto obligado:</w:t>
          </w:r>
        </w:p>
      </w:tc>
      <w:tc>
        <w:tcPr>
          <w:shd w:fill="auto" w:val="clear"/>
          <w:vAlign w:val="center"/>
        </w:tcPr>
        <w:p w:rsidR="00000000" w:rsidDel="00000000" w:rsidP="00000000" w:rsidRDefault="00000000" w:rsidRPr="00000000" w14:paraId="000000B6">
          <w:pPr>
            <w:ind w:left="-45" w:right="176" w:firstLine="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Oficialía Mayor</w:t>
          </w:r>
        </w:p>
      </w:tc>
    </w:tr>
    <w:tr>
      <w:trPr>
        <w:cantSplit w:val="0"/>
        <w:tblHeader w:val="0"/>
      </w:trPr>
      <w:tc>
        <w:tcPr>
          <w:shd w:fill="auto" w:val="clear"/>
          <w:vAlign w:val="center"/>
        </w:tcPr>
        <w:p w:rsidR="00000000" w:rsidDel="00000000" w:rsidP="00000000" w:rsidRDefault="00000000" w:rsidRPr="00000000" w14:paraId="000000B7">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Comisionada ponente:</w:t>
          </w:r>
        </w:p>
      </w:tc>
      <w:tc>
        <w:tcPr>
          <w:shd w:fill="auto" w:val="clear"/>
          <w:vAlign w:val="center"/>
        </w:tcPr>
        <w:p w:rsidR="00000000" w:rsidDel="00000000" w:rsidP="00000000" w:rsidRDefault="00000000" w:rsidRPr="00000000" w14:paraId="000000B8">
          <w:pPr>
            <w:ind w:left="-45" w:right="-533" w:firstLine="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Guadalupe Ramírez Peña</w:t>
          </w:r>
        </w:p>
      </w:tc>
    </w:tr>
  </w:tbl>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4252"/>
        <w:tab w:val="right" w:leader="none" w:pos="8504"/>
      </w:tabs>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68" w:hanging="360"/>
      </w:pPr>
      <w:rPr>
        <w:b w:val="1"/>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2">
    <w:lvl w:ilvl="0">
      <w:start w:val="1"/>
      <w:numFmt w:val="lowerLetter"/>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3">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spacing w:after="60" w:before="240" w:lineRule="auto"/>
      <w:ind w:left="2160" w:hanging="720"/>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ind w:left="2880" w:hanging="720"/>
    </w:pPr>
    <w:rPr>
      <w:rFonts w:ascii="Cambria" w:cs="Cambria" w:eastAsia="Cambria" w:hAnsi="Cambria"/>
      <w:b w:val="1"/>
      <w:sz w:val="28"/>
      <w:szCs w:val="28"/>
    </w:rPr>
  </w:style>
  <w:style w:type="paragraph" w:styleId="Heading5">
    <w:name w:val="heading 5"/>
    <w:basedOn w:val="Normal"/>
    <w:next w:val="Normal"/>
    <w:pPr>
      <w:spacing w:after="60" w:before="240" w:lineRule="auto"/>
      <w:ind w:left="3600" w:hanging="720"/>
    </w:pPr>
    <w:rPr>
      <w:rFonts w:ascii="Cambria" w:cs="Cambria" w:eastAsia="Cambria" w:hAnsi="Cambria"/>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B2902"/>
  </w:style>
  <w:style w:type="paragraph" w:styleId="Ttulo1">
    <w:name w:val="heading 1"/>
    <w:basedOn w:val="Normal"/>
    <w:next w:val="Normal"/>
    <w:link w:val="Ttulo1Car"/>
    <w:uiPriority w:val="9"/>
    <w:qFormat w:val="1"/>
    <w:rsid w:val="00603D72"/>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Ttulo2">
    <w:name w:val="heading 2"/>
    <w:basedOn w:val="Normal"/>
    <w:next w:val="Normal"/>
    <w:link w:val="Ttulo2Car"/>
    <w:uiPriority w:val="9"/>
    <w:unhideWhenUsed w:val="1"/>
    <w:qFormat w:val="1"/>
    <w:rsid w:val="00603D72"/>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Ttulo3">
    <w:name w:val="heading 3"/>
    <w:basedOn w:val="Normal"/>
    <w:next w:val="Normal"/>
    <w:link w:val="Ttulo3Car"/>
    <w:uiPriority w:val="9"/>
    <w:unhideWhenUsed w:val="1"/>
    <w:qFormat w:val="1"/>
    <w:rsid w:val="003B73CD"/>
    <w:pPr>
      <w:keepNext w:val="1"/>
      <w:tabs>
        <w:tab w:val="num" w:pos="2160"/>
      </w:tabs>
      <w:spacing w:after="60" w:before="240"/>
      <w:ind w:left="2160" w:hanging="720"/>
      <w:outlineLvl w:val="2"/>
    </w:pPr>
    <w:rPr>
      <w:rFonts w:asciiTheme="majorHAnsi" w:cstheme="majorBidi" w:eastAsiaTheme="majorEastAsia" w:hAnsiTheme="majorHAnsi"/>
      <w:b w:val="1"/>
      <w:bCs w:val="1"/>
      <w:sz w:val="26"/>
      <w:szCs w:val="26"/>
      <w:lang w:eastAsia="en-US" w:val="en-US"/>
    </w:rPr>
  </w:style>
  <w:style w:type="paragraph" w:styleId="Ttulo4">
    <w:name w:val="heading 4"/>
    <w:basedOn w:val="Normal"/>
    <w:next w:val="Normal"/>
    <w:link w:val="Ttulo4Car"/>
    <w:uiPriority w:val="9"/>
    <w:semiHidden w:val="1"/>
    <w:unhideWhenUsed w:val="1"/>
    <w:qFormat w:val="1"/>
    <w:rsid w:val="003B73CD"/>
    <w:pPr>
      <w:keepNext w:val="1"/>
      <w:tabs>
        <w:tab w:val="num" w:pos="2880"/>
      </w:tabs>
      <w:spacing w:after="60" w:before="240"/>
      <w:ind w:left="2880" w:hanging="720"/>
      <w:outlineLvl w:val="3"/>
    </w:pPr>
    <w:rPr>
      <w:rFonts w:asciiTheme="minorHAnsi" w:cstheme="minorBidi" w:eastAsiaTheme="minorEastAsia" w:hAnsiTheme="minorHAnsi"/>
      <w:b w:val="1"/>
      <w:bCs w:val="1"/>
      <w:sz w:val="28"/>
      <w:szCs w:val="28"/>
      <w:lang w:eastAsia="en-US" w:val="en-US"/>
    </w:rPr>
  </w:style>
  <w:style w:type="paragraph" w:styleId="Ttulo5">
    <w:name w:val="heading 5"/>
    <w:basedOn w:val="Normal"/>
    <w:next w:val="Normal"/>
    <w:link w:val="Ttulo5Car"/>
    <w:uiPriority w:val="9"/>
    <w:semiHidden w:val="1"/>
    <w:unhideWhenUsed w:val="1"/>
    <w:qFormat w:val="1"/>
    <w:rsid w:val="003B73CD"/>
    <w:pPr>
      <w:tabs>
        <w:tab w:val="num" w:pos="3600"/>
      </w:tabs>
      <w:spacing w:after="60" w:before="240"/>
      <w:ind w:left="3600" w:hanging="720"/>
      <w:outlineLvl w:val="4"/>
    </w:pPr>
    <w:rPr>
      <w:rFonts w:asciiTheme="minorHAnsi" w:cstheme="minorBidi" w:eastAsiaTheme="minorEastAsia" w:hAnsiTheme="minorHAnsi"/>
      <w:b w:val="1"/>
      <w:bCs w:val="1"/>
      <w:i w:val="1"/>
      <w:iCs w:val="1"/>
      <w:sz w:val="26"/>
      <w:szCs w:val="26"/>
      <w:lang w:eastAsia="en-US" w:val="en-US"/>
    </w:rPr>
  </w:style>
  <w:style w:type="paragraph" w:styleId="Ttulo6">
    <w:name w:val="heading 6"/>
    <w:basedOn w:val="Normal"/>
    <w:next w:val="Normal"/>
    <w:link w:val="Ttulo6Car"/>
    <w:uiPriority w:val="9"/>
    <w:semiHidden w:val="1"/>
    <w:unhideWhenUsed w:val="1"/>
    <w:qFormat w:val="1"/>
    <w:rsid w:val="003B73CD"/>
    <w:pPr>
      <w:tabs>
        <w:tab w:val="num" w:pos="4320"/>
      </w:tabs>
      <w:spacing w:after="60" w:before="240"/>
      <w:ind w:left="4320" w:hanging="720"/>
      <w:outlineLvl w:val="5"/>
    </w:pPr>
    <w:rPr>
      <w:b w:val="1"/>
      <w:bCs w:val="1"/>
      <w:sz w:val="22"/>
      <w:szCs w:val="22"/>
      <w:lang w:eastAsia="en-US" w:val="en-US"/>
    </w:rPr>
  </w:style>
  <w:style w:type="paragraph" w:styleId="Ttulo7">
    <w:name w:val="heading 7"/>
    <w:basedOn w:val="Normal"/>
    <w:next w:val="Normal"/>
    <w:link w:val="Ttulo7Car"/>
    <w:uiPriority w:val="9"/>
    <w:semiHidden w:val="1"/>
    <w:unhideWhenUsed w:val="1"/>
    <w:qFormat w:val="1"/>
    <w:rsid w:val="003B73CD"/>
    <w:pPr>
      <w:tabs>
        <w:tab w:val="num" w:pos="5040"/>
      </w:tabs>
      <w:spacing w:after="60" w:before="240"/>
      <w:ind w:left="5040" w:hanging="720"/>
      <w:outlineLvl w:val="6"/>
    </w:pPr>
    <w:rPr>
      <w:rFonts w:asciiTheme="minorHAnsi" w:cstheme="minorBidi" w:eastAsiaTheme="minorEastAsia" w:hAnsiTheme="minorHAnsi"/>
      <w:lang w:eastAsia="en-US" w:val="en-US"/>
    </w:rPr>
  </w:style>
  <w:style w:type="paragraph" w:styleId="Ttulo8">
    <w:name w:val="heading 8"/>
    <w:basedOn w:val="Normal"/>
    <w:next w:val="Normal"/>
    <w:link w:val="Ttulo8Car"/>
    <w:uiPriority w:val="9"/>
    <w:semiHidden w:val="1"/>
    <w:unhideWhenUsed w:val="1"/>
    <w:qFormat w:val="1"/>
    <w:rsid w:val="003B73CD"/>
    <w:pPr>
      <w:tabs>
        <w:tab w:val="num" w:pos="5760"/>
      </w:tabs>
      <w:spacing w:after="60" w:before="240"/>
      <w:ind w:left="5760" w:hanging="720"/>
      <w:outlineLvl w:val="7"/>
    </w:pPr>
    <w:rPr>
      <w:rFonts w:asciiTheme="minorHAnsi" w:cstheme="minorBidi" w:eastAsiaTheme="minorEastAsia" w:hAnsiTheme="minorHAnsi"/>
      <w:i w:val="1"/>
      <w:iCs w:val="1"/>
      <w:lang w:eastAsia="en-US" w:val="en-US"/>
    </w:rPr>
  </w:style>
  <w:style w:type="paragraph" w:styleId="Ttulo9">
    <w:name w:val="heading 9"/>
    <w:basedOn w:val="Normal"/>
    <w:next w:val="Normal"/>
    <w:link w:val="Ttulo9Car"/>
    <w:uiPriority w:val="9"/>
    <w:semiHidden w:val="1"/>
    <w:unhideWhenUsed w:val="1"/>
    <w:qFormat w:val="1"/>
    <w:rsid w:val="003B73CD"/>
    <w:pPr>
      <w:tabs>
        <w:tab w:val="num" w:pos="6480"/>
      </w:tabs>
      <w:spacing w:after="60" w:before="240"/>
      <w:ind w:left="6480" w:hanging="720"/>
      <w:outlineLvl w:val="8"/>
    </w:pPr>
    <w:rPr>
      <w:rFonts w:asciiTheme="majorHAnsi" w:cstheme="majorBidi" w:eastAsiaTheme="majorEastAsia" w:hAnsiTheme="majorHAnsi"/>
      <w:sz w:val="22"/>
      <w:szCs w:val="22"/>
      <w:lang w:eastAsia="en-US" w:val="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9" w:customStyle="1">
    <w:name w:val="Table Normal9"/>
    <w:tblPr>
      <w:tblCellMar>
        <w:top w:w="0.0" w:type="dxa"/>
        <w:left w:w="0.0" w:type="dxa"/>
        <w:bottom w:w="0.0" w:type="dxa"/>
        <w:right w:w="0.0" w:type="dxa"/>
      </w:tblCellMar>
    </w:tblPr>
  </w:style>
  <w:style w:type="table" w:styleId="TableNormal8" w:customStyle="1">
    <w:name w:val="Table Normal8"/>
    <w:tblPr>
      <w:tblCellMar>
        <w:top w:w="0.0" w:type="dxa"/>
        <w:left w:w="0.0" w:type="dxa"/>
        <w:bottom w:w="0.0" w:type="dxa"/>
        <w:right w:w="0.0" w:type="dxa"/>
      </w:tblCellMar>
    </w:tblPr>
  </w:style>
  <w:style w:type="table" w:styleId="TableNormal7" w:customStyle="1">
    <w:name w:val="Table Normal7"/>
    <w:tblPr>
      <w:tblCellMar>
        <w:top w:w="0.0" w:type="dxa"/>
        <w:left w:w="0.0" w:type="dxa"/>
        <w:bottom w:w="0.0" w:type="dxa"/>
        <w:right w:w="0.0" w:type="dxa"/>
      </w:tblCellMar>
    </w:tblPr>
  </w:style>
  <w:style w:type="table" w:styleId="TableNormal6" w:customStyle="1">
    <w:name w:val="Table Normal6"/>
    <w:tblPr>
      <w:tblCellMar>
        <w:top w:w="0.0" w:type="dxa"/>
        <w:left w:w="0.0" w:type="dxa"/>
        <w:bottom w:w="0.0" w:type="dxa"/>
        <w:right w:w="0.0" w:type="dxa"/>
      </w:tblCellMar>
    </w:tblPr>
  </w:style>
  <w:style w:type="table" w:styleId="TableNormal50" w:customStyle="1">
    <w:name w:val="Table Normal5"/>
    <w:tblPr>
      <w:tblCellMar>
        <w:top w:w="0.0" w:type="dxa"/>
        <w:left w:w="0.0" w:type="dxa"/>
        <w:bottom w:w="0.0" w:type="dxa"/>
        <w:right w:w="0.0" w:type="dxa"/>
      </w:tblCellMar>
    </w:tblPr>
  </w:style>
  <w:style w:type="table" w:styleId="TableNormal40" w:customStyle="1">
    <w:name w:val="Table Normal4"/>
    <w:tblPr>
      <w:tblCellMar>
        <w:top w:w="0.0" w:type="dxa"/>
        <w:left w:w="0.0" w:type="dxa"/>
        <w:bottom w:w="0.0" w:type="dxa"/>
        <w:right w:w="0.0" w:type="dxa"/>
      </w:tblCellMar>
    </w:tblPr>
  </w:style>
  <w:style w:type="table" w:styleId="TableNormal30" w:customStyle="1">
    <w:name w:val="Table Normal3"/>
    <w:tblPr>
      <w:tblCellMar>
        <w:top w:w="0.0" w:type="dxa"/>
        <w:left w:w="0.0" w:type="dxa"/>
        <w:bottom w:w="0.0" w:type="dxa"/>
        <w:right w:w="0.0" w:type="dxa"/>
      </w:tblCellMar>
    </w:tblPr>
  </w:style>
  <w:style w:type="table" w:styleId="TableNormal20" w:customStyle="1">
    <w:name w:val="Table Normal2"/>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C80F8C"/>
    <w:pPr>
      <w:tabs>
        <w:tab w:val="center" w:pos="4252"/>
        <w:tab w:val="right" w:pos="8504"/>
      </w:tabs>
    </w:pPr>
    <w:rPr>
      <w:rFonts w:asciiTheme="minorHAnsi" w:cstheme="minorBidi" w:eastAsiaTheme="minorEastAsia" w:hAnsiTheme="minorHAnsi"/>
      <w:lang w:val="es-ES_tradnl"/>
    </w:rPr>
  </w:style>
  <w:style w:type="character" w:styleId="EncabezadoCar" w:customStyle="1">
    <w:name w:val="Encabezado Car"/>
    <w:basedOn w:val="Fuentedeprrafopredeter"/>
    <w:link w:val="Encabezado"/>
    <w:uiPriority w:val="99"/>
    <w:rsid w:val="00C80F8C"/>
  </w:style>
  <w:style w:type="paragraph" w:styleId="Piedepgina">
    <w:name w:val="footer"/>
    <w:basedOn w:val="Normal"/>
    <w:link w:val="PiedepginaCar"/>
    <w:uiPriority w:val="99"/>
    <w:unhideWhenUsed w:val="1"/>
    <w:rsid w:val="00C80F8C"/>
    <w:pPr>
      <w:tabs>
        <w:tab w:val="center" w:pos="4252"/>
        <w:tab w:val="right" w:pos="8504"/>
      </w:tabs>
    </w:pPr>
    <w:rPr>
      <w:rFonts w:asciiTheme="minorHAnsi" w:cstheme="minorBidi" w:eastAsiaTheme="minorEastAsia" w:hAnsiTheme="minorHAnsi"/>
      <w:lang w:val="es-ES_tradnl"/>
    </w:rPr>
  </w:style>
  <w:style w:type="character" w:styleId="PiedepginaCar" w:customStyle="1">
    <w:name w:val="Pie de página Car"/>
    <w:basedOn w:val="Fuentedeprrafopredeter"/>
    <w:link w:val="Piedepgina"/>
    <w:uiPriority w:val="99"/>
    <w:rsid w:val="00C80F8C"/>
  </w:style>
  <w:style w:type="paragraph" w:styleId="Textodeglobo">
    <w:name w:val="Balloon Text"/>
    <w:basedOn w:val="Normal"/>
    <w:link w:val="TextodegloboCar"/>
    <w:uiPriority w:val="99"/>
    <w:semiHidden w:val="1"/>
    <w:unhideWhenUsed w:val="1"/>
    <w:rsid w:val="00C80F8C"/>
    <w:rPr>
      <w:rFonts w:ascii="Lucida Grande" w:cs="Lucida Grande" w:hAnsi="Lucida Grande" w:eastAsiaTheme="minorEastAsia"/>
      <w:sz w:val="18"/>
      <w:szCs w:val="18"/>
      <w:lang w:val="es-ES_tradnl"/>
    </w:rPr>
  </w:style>
  <w:style w:type="character" w:styleId="TextodegloboCar" w:customStyle="1">
    <w:name w:val="Texto de globo Car"/>
    <w:basedOn w:val="Fuentedeprrafopredeter"/>
    <w:link w:val="Textodeglobo"/>
    <w:uiPriority w:val="99"/>
    <w:semiHidden w:val="1"/>
    <w:rsid w:val="00C80F8C"/>
    <w:rPr>
      <w:rFonts w:ascii="Lucida Grande" w:cs="Lucida Grande" w:hAnsi="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val="1"/>
    <w:rsid w:val="0070703E"/>
    <w:pPr>
      <w:ind w:left="720"/>
      <w:contextualSpacing w:val="1"/>
    </w:pPr>
  </w:style>
  <w:style w:type="character" w:styleId="Hipervnculo">
    <w:name w:val="Hyperlink"/>
    <w:basedOn w:val="Fuentedeprrafopredeter"/>
    <w:uiPriority w:val="99"/>
    <w:unhideWhenUsed w:val="1"/>
    <w:rsid w:val="00FD7589"/>
    <w:rPr>
      <w:color w:val="0000ff"/>
      <w:u w:val="single"/>
    </w:rPr>
  </w:style>
  <w:style w:type="character" w:styleId="apple-converted-space" w:customStyle="1">
    <w:name w:val="apple-converted-space"/>
    <w:basedOn w:val="Fuentedeprrafopredeter"/>
    <w:rsid w:val="00FD7589"/>
  </w:style>
  <w:style w:type="paragraph" w:styleId="Listavistosa-nfasis11" w:customStyle="1">
    <w:name w:val="Lista vistosa - Énfasis 11"/>
    <w:basedOn w:val="Normal"/>
    <w:link w:val="Listavistosa-nfasis1Car"/>
    <w:uiPriority w:val="34"/>
    <w:qFormat w:val="1"/>
    <w:rsid w:val="000D2D89"/>
    <w:pPr>
      <w:ind w:left="708"/>
    </w:pPr>
  </w:style>
  <w:style w:type="character" w:styleId="Listavistosa-nfasis1Car" w:customStyle="1">
    <w:name w:val="Lista vistosa - Énfasis 1 Car"/>
    <w:link w:val="Listavistosa-nfasis11"/>
    <w:uiPriority w:val="34"/>
    <w:locked w:val="1"/>
    <w:rsid w:val="000D2D89"/>
    <w:rPr>
      <w:rFonts w:ascii="Times New Roman" w:cs="Times New Roman" w:eastAsia="Times New Roman" w:hAnsi="Times New Roman"/>
      <w:lang w:val="es-ES"/>
    </w:rPr>
  </w:style>
  <w:style w:type="paragraph" w:styleId="Texto" w:customStyle="1">
    <w:name w:val="Texto"/>
    <w:basedOn w:val="Normal"/>
    <w:link w:val="TextoCar"/>
    <w:rsid w:val="000470FE"/>
    <w:pPr>
      <w:spacing w:after="101" w:line="216" w:lineRule="exact"/>
      <w:ind w:firstLine="288"/>
      <w:jc w:val="both"/>
    </w:pPr>
    <w:rPr>
      <w:rFonts w:ascii="Arial" w:cs="Arial" w:hAnsi="Arial"/>
      <w:sz w:val="18"/>
      <w:szCs w:val="18"/>
    </w:rPr>
  </w:style>
  <w:style w:type="paragraph" w:styleId="NormalWeb">
    <w:name w:val="Normal (Web)"/>
    <w:basedOn w:val="Normal"/>
    <w:uiPriority w:val="99"/>
    <w:rsid w:val="000470FE"/>
    <w:pPr>
      <w:spacing w:after="100" w:afterAutospacing="1" w:before="100" w:beforeAutospacing="1"/>
    </w:pPr>
  </w:style>
  <w:style w:type="character" w:styleId="apple-style-span" w:customStyle="1">
    <w:name w:val="apple-style-span"/>
    <w:rsid w:val="008846E7"/>
  </w:style>
  <w:style w:type="character" w:styleId="PrrafodelistaCar" w:customStyle="1">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val="1"/>
    <w:locked w:val="1"/>
    <w:rsid w:val="007E1FF4"/>
    <w:rPr>
      <w:rFonts w:ascii="Times New Roman" w:cs="Times New Roman" w:eastAsia="Times New Roman" w:hAnsi="Times New Roman"/>
      <w:lang w:val="es-ES"/>
    </w:rPr>
  </w:style>
  <w:style w:type="character" w:styleId="Textoennegrita">
    <w:name w:val="Strong"/>
    <w:uiPriority w:val="22"/>
    <w:qFormat w:val="1"/>
    <w:rsid w:val="003D1B5F"/>
    <w:rPr>
      <w:b w:val="1"/>
      <w:bCs w:val="1"/>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val="1"/>
    <w:qFormat w:val="1"/>
    <w:rsid w:val="002944C8"/>
    <w:rPr>
      <w:rFonts w:asciiTheme="minorHAnsi" w:cstheme="minorBidi" w:eastAsiaTheme="minorHAnsi" w:hAnsiTheme="minorHAnsi"/>
      <w:sz w:val="20"/>
      <w:szCs w:val="20"/>
      <w:lang w:eastAsia="en-US"/>
    </w:rPr>
  </w:style>
  <w:style w:type="character" w:styleId="TextonotapieCar" w:customStyle="1">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eastAsia="en-US" w:val="es-MX"/>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val="1"/>
    <w:qFormat w:val="1"/>
    <w:rsid w:val="002944C8"/>
    <w:rPr>
      <w:vertAlign w:val="superscript"/>
    </w:rPr>
  </w:style>
  <w:style w:type="paragraph" w:styleId="Sinespaciado">
    <w:name w:val="No Spacing"/>
    <w:aliases w:val="Francesa,INAI"/>
    <w:link w:val="SinespaciadoCar"/>
    <w:uiPriority w:val="1"/>
    <w:qFormat w:val="1"/>
    <w:rsid w:val="002944C8"/>
  </w:style>
  <w:style w:type="paragraph" w:styleId="Textoindependiente2">
    <w:name w:val="Body Text 2"/>
    <w:basedOn w:val="Normal"/>
    <w:link w:val="Textoindependiente2Car"/>
    <w:uiPriority w:val="99"/>
    <w:unhideWhenUsed w:val="1"/>
    <w:rsid w:val="002944C8"/>
    <w:pPr>
      <w:spacing w:after="120" w:line="480" w:lineRule="auto"/>
    </w:pPr>
  </w:style>
  <w:style w:type="character" w:styleId="Textoindependiente2Car" w:customStyle="1">
    <w:name w:val="Texto independiente 2 Car"/>
    <w:basedOn w:val="Fuentedeprrafopredeter"/>
    <w:link w:val="Textoindependiente2"/>
    <w:uiPriority w:val="99"/>
    <w:rsid w:val="002944C8"/>
    <w:rPr>
      <w:rFonts w:ascii="Times New Roman" w:cs="Times New Roman" w:eastAsia="Times New Roman" w:hAnsi="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styleId="TextosinformatoCar" w:customStyle="1">
    <w:name w:val="Texto sin formato Car"/>
    <w:basedOn w:val="Fuentedeprrafopredeter"/>
    <w:link w:val="Textosinformato"/>
    <w:rsid w:val="002944C8"/>
    <w:rPr>
      <w:rFonts w:ascii="Courier New" w:cs="Times New Roman" w:eastAsia="Times New Roman" w:hAnsi="Courier New"/>
      <w:sz w:val="20"/>
      <w:szCs w:val="20"/>
      <w:lang w:val="es-ES"/>
    </w:rPr>
  </w:style>
  <w:style w:type="paragraph" w:styleId="Standard" w:customStyle="1">
    <w:name w:val="Standard"/>
    <w:rsid w:val="002944C8"/>
    <w:pPr>
      <w:widowControl w:val="0"/>
      <w:suppressAutoHyphens w:val="1"/>
      <w:autoSpaceDN w:val="0"/>
      <w:textAlignment w:val="baseline"/>
    </w:pPr>
    <w:rPr>
      <w:rFonts w:ascii="Liberation Serif" w:cs="Lohit Hindi" w:eastAsia="DejaVu Sans" w:hAnsi="Liberation Serif"/>
      <w:kern w:val="3"/>
      <w:lang w:bidi="hi-IN" w:eastAsia="zh-CN"/>
    </w:rPr>
  </w:style>
  <w:style w:type="character" w:styleId="negritas1" w:customStyle="1">
    <w:name w:val="negritas1"/>
    <w:rsid w:val="002944C8"/>
    <w:rPr>
      <w:rFonts w:ascii="Arial" w:cs="Arial" w:hAnsi="Arial" w:hint="default"/>
      <w:b w:val="1"/>
      <w:bCs w:val="1"/>
      <w:sz w:val="18"/>
      <w:szCs w:val="18"/>
    </w:rPr>
  </w:style>
  <w:style w:type="paragraph" w:styleId="Pa2" w:customStyle="1">
    <w:name w:val="Pa2"/>
    <w:basedOn w:val="Normal"/>
    <w:next w:val="Normal"/>
    <w:uiPriority w:val="99"/>
    <w:rsid w:val="002944C8"/>
    <w:pPr>
      <w:autoSpaceDE w:val="0"/>
      <w:autoSpaceDN w:val="0"/>
      <w:adjustRightInd w:val="0"/>
      <w:spacing w:line="240" w:lineRule="atLeast"/>
    </w:pPr>
    <w:rPr>
      <w:rFonts w:ascii="Helvetica" w:hAnsi="Helvetica"/>
      <w:lang w:eastAsia="es-ES_tradnl" w:val="es-ES_tradnl"/>
    </w:rPr>
  </w:style>
  <w:style w:type="paragraph" w:styleId="Default" w:customStyle="1">
    <w:name w:val="Default"/>
    <w:rsid w:val="002944C8"/>
    <w:pPr>
      <w:autoSpaceDE w:val="0"/>
      <w:autoSpaceDN w:val="0"/>
      <w:adjustRightInd w:val="0"/>
    </w:pPr>
    <w:rPr>
      <w:rFonts w:ascii="Arial" w:cs="Arial" w:hAnsi="Arial" w:eastAsiaTheme="minorHAnsi"/>
      <w:color w:val="000000"/>
      <w:lang w:eastAsia="en-US"/>
    </w:rPr>
  </w:style>
  <w:style w:type="character" w:styleId="f" w:customStyle="1">
    <w:name w:val="f"/>
    <w:basedOn w:val="Fuentedeprrafopredeter"/>
    <w:rsid w:val="002944C8"/>
  </w:style>
  <w:style w:type="paragraph" w:styleId="q" w:customStyle="1">
    <w:name w:val="q"/>
    <w:basedOn w:val="Normal"/>
    <w:rsid w:val="002944C8"/>
    <w:pPr>
      <w:spacing w:after="100" w:afterAutospacing="1" w:before="100" w:beforeAutospacing="1"/>
    </w:pPr>
  </w:style>
  <w:style w:type="character" w:styleId="d" w:customStyle="1">
    <w:name w:val="d"/>
    <w:basedOn w:val="Fuentedeprrafopredeter"/>
    <w:rsid w:val="002944C8"/>
  </w:style>
  <w:style w:type="character" w:styleId="b" w:customStyle="1">
    <w:name w:val="b"/>
    <w:basedOn w:val="Fuentedeprrafopredeter"/>
    <w:rsid w:val="002944C8"/>
  </w:style>
  <w:style w:type="character" w:styleId="k" w:customStyle="1">
    <w:name w:val="k"/>
    <w:basedOn w:val="Fuentedeprrafopredeter"/>
    <w:rsid w:val="002944C8"/>
  </w:style>
  <w:style w:type="character" w:styleId="h" w:customStyle="1">
    <w:name w:val="h"/>
    <w:basedOn w:val="Fuentedeprrafopredeter"/>
    <w:rsid w:val="002944C8"/>
  </w:style>
  <w:style w:type="character" w:styleId="Hipervnculovisitado">
    <w:name w:val="FollowedHyperlink"/>
    <w:basedOn w:val="Fuentedeprrafopredeter"/>
    <w:uiPriority w:val="99"/>
    <w:semiHidden w:val="1"/>
    <w:unhideWhenUsed w:val="1"/>
    <w:rsid w:val="002944C8"/>
    <w:rPr>
      <w:color w:val="800080" w:themeColor="followedHyperlink"/>
      <w:u w:val="single"/>
    </w:rPr>
  </w:style>
  <w:style w:type="character" w:styleId="CitaHTML">
    <w:name w:val="HTML Cite"/>
    <w:uiPriority w:val="99"/>
    <w:semiHidden w:val="1"/>
    <w:unhideWhenUsed w:val="1"/>
    <w:rsid w:val="00B85C7C"/>
    <w:rPr>
      <w:i w:val="1"/>
      <w:iCs w:val="1"/>
    </w:rPr>
  </w:style>
  <w:style w:type="character" w:styleId="SinespaciadoCar" w:customStyle="1">
    <w:name w:val="Sin espaciado Car"/>
    <w:aliases w:val="Francesa Car,INAI Car"/>
    <w:link w:val="Sinespaciado"/>
    <w:uiPriority w:val="1"/>
    <w:locked w:val="1"/>
    <w:rsid w:val="00270539"/>
    <w:rPr>
      <w:rFonts w:ascii="Times New Roman" w:cs="Times New Roman" w:eastAsia="Times New Roman" w:hAnsi="Times New Roman"/>
      <w:lang w:val="es-MX"/>
    </w:rPr>
  </w:style>
  <w:style w:type="character" w:styleId="medium" w:customStyle="1">
    <w:name w:val="medium"/>
    <w:basedOn w:val="Fuentedeprrafopredeter"/>
    <w:rsid w:val="00354DB7"/>
  </w:style>
  <w:style w:type="table" w:styleId="Tablaconcuadrcula">
    <w:name w:val="Table Grid"/>
    <w:basedOn w:val="Tablanormal"/>
    <w:uiPriority w:val="59"/>
    <w:rsid w:val="00BB3AE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umeroconsecutivo" w:customStyle="1">
    <w:name w:val="numeroconsecutivo"/>
    <w:basedOn w:val="Fuentedeprrafopredeter"/>
    <w:rsid w:val="00615060"/>
  </w:style>
  <w:style w:type="character" w:styleId="titulorubrolgt" w:customStyle="1">
    <w:name w:val="titulorubrolgt"/>
    <w:basedOn w:val="Fuentedeprrafopredeter"/>
    <w:rsid w:val="00615060"/>
  </w:style>
  <w:style w:type="character" w:styleId="ctr" w:customStyle="1">
    <w:name w:val="ctr"/>
    <w:basedOn w:val="Fuentedeprrafopredeter"/>
    <w:rsid w:val="00615060"/>
  </w:style>
  <w:style w:type="paragraph" w:styleId="Textonotaalfinal">
    <w:name w:val="endnote text"/>
    <w:basedOn w:val="Normal"/>
    <w:link w:val="TextonotaalfinalCar"/>
    <w:uiPriority w:val="99"/>
    <w:semiHidden w:val="1"/>
    <w:unhideWhenUsed w:val="1"/>
    <w:rsid w:val="00D25E88"/>
    <w:rPr>
      <w:sz w:val="20"/>
      <w:szCs w:val="20"/>
    </w:rPr>
  </w:style>
  <w:style w:type="character" w:styleId="TextonotaalfinalCar" w:customStyle="1">
    <w:name w:val="Texto nota al final Car"/>
    <w:basedOn w:val="Fuentedeprrafopredeter"/>
    <w:link w:val="Textonotaalfinal"/>
    <w:uiPriority w:val="99"/>
    <w:semiHidden w:val="1"/>
    <w:rsid w:val="00D25E88"/>
    <w:rPr>
      <w:rFonts w:ascii="Times New Roman" w:cs="Times New Roman" w:eastAsia="Times New Roman" w:hAnsi="Times New Roman"/>
      <w:sz w:val="20"/>
      <w:szCs w:val="20"/>
      <w:lang w:val="es-ES"/>
    </w:rPr>
  </w:style>
  <w:style w:type="character" w:styleId="Refdenotaalfinal">
    <w:name w:val="endnote reference"/>
    <w:basedOn w:val="Fuentedeprrafopredeter"/>
    <w:uiPriority w:val="99"/>
    <w:semiHidden w:val="1"/>
    <w:unhideWhenUsed w:val="1"/>
    <w:rsid w:val="00D25E88"/>
    <w:rPr>
      <w:vertAlign w:val="superscript"/>
    </w:rPr>
  </w:style>
  <w:style w:type="character" w:styleId="A1" w:customStyle="1">
    <w:name w:val="A1"/>
    <w:uiPriority w:val="99"/>
    <w:rsid w:val="00EC4ECD"/>
    <w:rPr>
      <w:rFonts w:ascii="Myriad Pro" w:cs="Myriad Pro" w:hAnsi="Myriad Pro" w:hint="default"/>
      <w:color w:val="000000"/>
      <w:sz w:val="22"/>
      <w:szCs w:val="22"/>
    </w:rPr>
  </w:style>
  <w:style w:type="paragraph" w:styleId="Pa9" w:customStyle="1">
    <w:name w:val="Pa9"/>
    <w:basedOn w:val="Normal"/>
    <w:next w:val="Normal"/>
    <w:uiPriority w:val="99"/>
    <w:rsid w:val="00EC4ECD"/>
    <w:pPr>
      <w:autoSpaceDE w:val="0"/>
      <w:autoSpaceDN w:val="0"/>
      <w:adjustRightInd w:val="0"/>
      <w:spacing w:line="241" w:lineRule="atLeast"/>
    </w:pPr>
    <w:rPr>
      <w:rFonts w:ascii="Myriad Pro" w:hAnsi="Myriad Pro" w:cstheme="minorBidi" w:eastAsiaTheme="minorHAnsi"/>
      <w:lang w:eastAsia="en-US"/>
    </w:rPr>
  </w:style>
  <w:style w:type="paragraph" w:styleId="Pa5" w:customStyle="1">
    <w:name w:val="Pa5"/>
    <w:basedOn w:val="Normal"/>
    <w:next w:val="Normal"/>
    <w:uiPriority w:val="99"/>
    <w:rsid w:val="00EC4ECD"/>
    <w:pPr>
      <w:autoSpaceDE w:val="0"/>
      <w:autoSpaceDN w:val="0"/>
      <w:adjustRightInd w:val="0"/>
      <w:spacing w:line="201" w:lineRule="atLeast"/>
    </w:pPr>
    <w:rPr>
      <w:rFonts w:ascii="Myriad Pro" w:hAnsi="Myriad Pro" w:cstheme="minorBidi" w:eastAsiaTheme="minorHAnsi"/>
      <w:lang w:eastAsia="en-US"/>
    </w:rPr>
  </w:style>
  <w:style w:type="paragraph" w:styleId="m5127500252372250437gmail-paragraph" w:customStyle="1">
    <w:name w:val="m_5127500252372250437gmail-paragraph"/>
    <w:basedOn w:val="Normal"/>
    <w:rsid w:val="00980B7E"/>
    <w:pPr>
      <w:spacing w:after="100" w:afterAutospacing="1" w:before="100" w:beforeAutospacing="1"/>
    </w:pPr>
  </w:style>
  <w:style w:type="character" w:styleId="nombrefraccder" w:customStyle="1">
    <w:name w:val="nombrefraccder"/>
    <w:basedOn w:val="Fuentedeprrafopredeter"/>
    <w:rsid w:val="009B4A68"/>
  </w:style>
  <w:style w:type="character" w:styleId="numberfraccder" w:customStyle="1">
    <w:name w:val="numberfraccder"/>
    <w:basedOn w:val="Fuentedeprrafopredeter"/>
    <w:rsid w:val="009B4A68"/>
  </w:style>
  <w:style w:type="character" w:styleId="TextoCar" w:customStyle="1">
    <w:name w:val="Texto Car"/>
    <w:link w:val="Texto"/>
    <w:locked w:val="1"/>
    <w:rsid w:val="002B0963"/>
    <w:rPr>
      <w:rFonts w:ascii="Arial" w:cs="Arial" w:eastAsia="Times New Roman" w:hAnsi="Arial"/>
      <w:sz w:val="18"/>
      <w:szCs w:val="18"/>
      <w:lang w:val="es-MX"/>
    </w:rPr>
  </w:style>
  <w:style w:type="character" w:styleId="nfasis">
    <w:name w:val="Emphasis"/>
    <w:basedOn w:val="Fuentedeprrafopredeter"/>
    <w:uiPriority w:val="20"/>
    <w:qFormat w:val="1"/>
    <w:rsid w:val="00C536F2"/>
    <w:rPr>
      <w:i w:val="1"/>
      <w:iCs w:val="1"/>
    </w:rPr>
  </w:style>
  <w:style w:type="character" w:styleId="normaltextrun" w:customStyle="1">
    <w:name w:val="normaltextrun"/>
    <w:basedOn w:val="Fuentedeprrafopredeter"/>
    <w:rsid w:val="0011437B"/>
  </w:style>
  <w:style w:type="character" w:styleId="m5127500252372250437gmail-normaltextrun" w:customStyle="1">
    <w:name w:val="m_5127500252372250437gmail-normaltextrun"/>
    <w:basedOn w:val="Fuentedeprrafopredeter"/>
    <w:rsid w:val="0011437B"/>
  </w:style>
  <w:style w:type="paragraph" w:styleId="m-60081275284358516gmail-msolistparagraph" w:customStyle="1">
    <w:name w:val="m_-60081275284358516gmail-msolistparagraph"/>
    <w:basedOn w:val="Normal"/>
    <w:rsid w:val="00207C90"/>
    <w:pPr>
      <w:spacing w:after="100" w:afterAutospacing="1" w:before="100" w:beforeAutospacing="1"/>
    </w:pPr>
  </w:style>
  <w:style w:type="paragraph" w:styleId="ANOTACION" w:customStyle="1">
    <w:name w:val="ANOTACION"/>
    <w:basedOn w:val="Normal"/>
    <w:link w:val="ANOTACIONCar"/>
    <w:rsid w:val="001B5A73"/>
    <w:pPr>
      <w:spacing w:after="101" w:before="101" w:line="216" w:lineRule="atLeast"/>
      <w:jc w:val="center"/>
    </w:pPr>
    <w:rPr>
      <w:b w:val="1"/>
      <w:sz w:val="18"/>
      <w:szCs w:val="20"/>
      <w:lang w:val="es-ES_tradnl"/>
    </w:rPr>
  </w:style>
  <w:style w:type="character" w:styleId="ANOTACIONCar" w:customStyle="1">
    <w:name w:val="ANOTACION Car"/>
    <w:link w:val="ANOTACION"/>
    <w:locked w:val="1"/>
    <w:rsid w:val="001B5A73"/>
    <w:rPr>
      <w:rFonts w:ascii="Times New Roman" w:cs="Times New Roman" w:eastAsia="Times New Roman" w:hAnsi="Times New Roman"/>
      <w:b w:val="1"/>
      <w:sz w:val="18"/>
      <w:szCs w:val="20"/>
    </w:rPr>
  </w:style>
  <w:style w:type="paragraph" w:styleId="j" w:customStyle="1">
    <w:name w:val="j"/>
    <w:basedOn w:val="Normal"/>
    <w:rsid w:val="007B00BD"/>
    <w:pPr>
      <w:spacing w:after="100" w:afterAutospacing="1" w:before="100" w:beforeAutospacing="1"/>
    </w:pPr>
  </w:style>
  <w:style w:type="character" w:styleId="nacep" w:customStyle="1">
    <w:name w:val="n_acep"/>
    <w:basedOn w:val="Fuentedeprrafopredeter"/>
    <w:rsid w:val="007B00BD"/>
  </w:style>
  <w:style w:type="paragraph" w:styleId="k5" w:customStyle="1">
    <w:name w:val="k5"/>
    <w:basedOn w:val="Normal"/>
    <w:rsid w:val="007B00BD"/>
    <w:pPr>
      <w:spacing w:after="100" w:afterAutospacing="1" w:before="100" w:beforeAutospacing="1"/>
    </w:pPr>
  </w:style>
  <w:style w:type="paragraph" w:styleId="m" w:customStyle="1">
    <w:name w:val="m"/>
    <w:basedOn w:val="Normal"/>
    <w:rsid w:val="007B00BD"/>
    <w:pPr>
      <w:spacing w:after="100" w:afterAutospacing="1" w:before="100" w:beforeAutospacing="1"/>
    </w:pPr>
  </w:style>
  <w:style w:type="character" w:styleId="Refdecomentario">
    <w:name w:val="annotation reference"/>
    <w:basedOn w:val="Fuentedeprrafopredeter"/>
    <w:uiPriority w:val="99"/>
    <w:semiHidden w:val="1"/>
    <w:unhideWhenUsed w:val="1"/>
    <w:rsid w:val="003219FE"/>
    <w:rPr>
      <w:sz w:val="16"/>
      <w:szCs w:val="16"/>
    </w:rPr>
  </w:style>
  <w:style w:type="paragraph" w:styleId="Textocomentario">
    <w:name w:val="annotation text"/>
    <w:basedOn w:val="Normal"/>
    <w:link w:val="TextocomentarioCar"/>
    <w:uiPriority w:val="99"/>
    <w:semiHidden w:val="1"/>
    <w:unhideWhenUsed w:val="1"/>
    <w:rsid w:val="003219FE"/>
    <w:rPr>
      <w:sz w:val="20"/>
      <w:szCs w:val="20"/>
    </w:rPr>
  </w:style>
  <w:style w:type="character" w:styleId="TextocomentarioCar" w:customStyle="1">
    <w:name w:val="Texto comentario Car"/>
    <w:basedOn w:val="Fuentedeprrafopredeter"/>
    <w:link w:val="Textocomentario"/>
    <w:uiPriority w:val="99"/>
    <w:semiHidden w:val="1"/>
    <w:rsid w:val="003219FE"/>
    <w:rPr>
      <w:rFonts w:ascii="Times New Roman" w:cs="Times New Roman" w:eastAsia="Times New Roman" w:hAnsi="Times New Roman"/>
      <w:sz w:val="20"/>
      <w:szCs w:val="20"/>
      <w:lang w:val="es-ES"/>
    </w:rPr>
  </w:style>
  <w:style w:type="paragraph" w:styleId="Asuntodelcomentario">
    <w:name w:val="annotation subject"/>
    <w:basedOn w:val="Textocomentario"/>
    <w:next w:val="Textocomentario"/>
    <w:link w:val="AsuntodelcomentarioCar"/>
    <w:uiPriority w:val="99"/>
    <w:semiHidden w:val="1"/>
    <w:unhideWhenUsed w:val="1"/>
    <w:rsid w:val="003219FE"/>
    <w:rPr>
      <w:b w:val="1"/>
      <w:bCs w:val="1"/>
    </w:rPr>
  </w:style>
  <w:style w:type="character" w:styleId="AsuntodelcomentarioCar" w:customStyle="1">
    <w:name w:val="Asunto del comentario Car"/>
    <w:basedOn w:val="TextocomentarioCar"/>
    <w:link w:val="Asuntodelcomentario"/>
    <w:uiPriority w:val="99"/>
    <w:semiHidden w:val="1"/>
    <w:rsid w:val="003219FE"/>
    <w:rPr>
      <w:rFonts w:ascii="Times New Roman" w:cs="Times New Roman" w:eastAsia="Times New Roman" w:hAnsi="Times New Roman"/>
      <w:b w:val="1"/>
      <w:bCs w:val="1"/>
      <w:sz w:val="20"/>
      <w:szCs w:val="20"/>
      <w:lang w:val="es-ES"/>
    </w:rPr>
  </w:style>
  <w:style w:type="paragraph" w:styleId="FAFunotente1" w:customStyle="1">
    <w:name w:val="FA Fu?notente1"/>
    <w:basedOn w:val="Normal"/>
    <w:next w:val="Textonotapie"/>
    <w:uiPriority w:val="99"/>
    <w:unhideWhenUsed w:val="1"/>
    <w:rsid w:val="00A403D3"/>
    <w:rPr>
      <w:rFonts w:eastAsia="Cambria" w:asciiTheme="minorHAnsi" w:cstheme="minorBidi" w:hAnsiTheme="minorHAnsi"/>
      <w:sz w:val="20"/>
      <w:szCs w:val="20"/>
      <w:lang w:eastAsia="en-US"/>
    </w:rPr>
  </w:style>
  <w:style w:type="character" w:styleId="Ttulo1Car" w:customStyle="1">
    <w:name w:val="Título 1 Car"/>
    <w:basedOn w:val="Fuentedeprrafopredeter"/>
    <w:link w:val="Ttulo1"/>
    <w:uiPriority w:val="9"/>
    <w:rsid w:val="00603D72"/>
    <w:rPr>
      <w:rFonts w:asciiTheme="majorHAnsi" w:cstheme="majorBidi" w:eastAsiaTheme="majorEastAsia" w:hAnsiTheme="majorHAnsi"/>
      <w:color w:val="365f91" w:themeColor="accent1" w:themeShade="0000BF"/>
      <w:sz w:val="32"/>
      <w:szCs w:val="32"/>
      <w:lang w:val="es-ES"/>
    </w:rPr>
  </w:style>
  <w:style w:type="character" w:styleId="Ttulo2Car" w:customStyle="1">
    <w:name w:val="Título 2 Car"/>
    <w:basedOn w:val="Fuentedeprrafopredeter"/>
    <w:link w:val="Ttulo2"/>
    <w:uiPriority w:val="9"/>
    <w:rsid w:val="00603D72"/>
    <w:rPr>
      <w:rFonts w:asciiTheme="majorHAnsi" w:cstheme="majorBidi" w:eastAsiaTheme="majorEastAsia" w:hAnsiTheme="majorHAnsi"/>
      <w:color w:val="365f91" w:themeColor="accent1" w:themeShade="0000BF"/>
      <w:sz w:val="26"/>
      <w:szCs w:val="26"/>
      <w:lang w:val="es-ES"/>
    </w:rPr>
  </w:style>
  <w:style w:type="paragraph" w:styleId="Lista">
    <w:name w:val="List"/>
    <w:basedOn w:val="Normal"/>
    <w:uiPriority w:val="99"/>
    <w:unhideWhenUsed w:val="1"/>
    <w:rsid w:val="00603D72"/>
    <w:pPr>
      <w:ind w:left="283" w:hanging="283"/>
      <w:contextualSpacing w:val="1"/>
    </w:pPr>
  </w:style>
  <w:style w:type="paragraph" w:styleId="Lista2">
    <w:name w:val="List 2"/>
    <w:basedOn w:val="Normal"/>
    <w:uiPriority w:val="99"/>
    <w:unhideWhenUsed w:val="1"/>
    <w:rsid w:val="00603D72"/>
    <w:pPr>
      <w:ind w:left="566" w:hanging="283"/>
      <w:contextualSpacing w:val="1"/>
    </w:pPr>
  </w:style>
  <w:style w:type="paragraph" w:styleId="Lista3">
    <w:name w:val="List 3"/>
    <w:basedOn w:val="Normal"/>
    <w:uiPriority w:val="99"/>
    <w:unhideWhenUsed w:val="1"/>
    <w:rsid w:val="00603D72"/>
    <w:pPr>
      <w:ind w:left="849" w:hanging="283"/>
      <w:contextualSpacing w:val="1"/>
    </w:pPr>
  </w:style>
  <w:style w:type="paragraph" w:styleId="Listaconvietas3">
    <w:name w:val="List Bullet 3"/>
    <w:basedOn w:val="Normal"/>
    <w:uiPriority w:val="99"/>
    <w:unhideWhenUsed w:val="1"/>
    <w:rsid w:val="00603D72"/>
    <w:pPr>
      <w:numPr>
        <w:numId w:val="2"/>
      </w:numPr>
      <w:contextualSpacing w:val="1"/>
    </w:pPr>
  </w:style>
  <w:style w:type="paragraph" w:styleId="Continuarlista">
    <w:name w:val="List Continue"/>
    <w:basedOn w:val="Normal"/>
    <w:uiPriority w:val="99"/>
    <w:unhideWhenUsed w:val="1"/>
    <w:rsid w:val="00603D72"/>
    <w:pPr>
      <w:spacing w:after="120"/>
      <w:ind w:left="283"/>
      <w:contextualSpacing w:val="1"/>
    </w:pPr>
  </w:style>
  <w:style w:type="paragraph" w:styleId="Continuarlista2">
    <w:name w:val="List Continue 2"/>
    <w:basedOn w:val="Normal"/>
    <w:uiPriority w:val="99"/>
    <w:unhideWhenUsed w:val="1"/>
    <w:rsid w:val="00603D72"/>
    <w:pPr>
      <w:spacing w:after="120"/>
      <w:ind w:left="566"/>
      <w:contextualSpacing w:val="1"/>
    </w:pPr>
  </w:style>
  <w:style w:type="paragraph" w:styleId="Textoindependiente">
    <w:name w:val="Body Text"/>
    <w:basedOn w:val="Normal"/>
    <w:link w:val="TextoindependienteCar"/>
    <w:uiPriority w:val="99"/>
    <w:unhideWhenUsed w:val="1"/>
    <w:rsid w:val="00603D72"/>
    <w:pPr>
      <w:spacing w:after="120"/>
    </w:pPr>
  </w:style>
  <w:style w:type="character" w:styleId="TextoindependienteCar" w:customStyle="1">
    <w:name w:val="Texto independiente Car"/>
    <w:basedOn w:val="Fuentedeprrafopredeter"/>
    <w:link w:val="Textoindependiente"/>
    <w:uiPriority w:val="99"/>
    <w:rsid w:val="00603D72"/>
    <w:rPr>
      <w:rFonts w:ascii="Times New Roman" w:cs="Times New Roman" w:eastAsia="Times New Roman" w:hAnsi="Times New Roman"/>
      <w:lang w:val="es-ES"/>
    </w:rPr>
  </w:style>
  <w:style w:type="paragraph" w:styleId="Sangradetextonormal">
    <w:name w:val="Body Text Indent"/>
    <w:basedOn w:val="Normal"/>
    <w:link w:val="SangradetextonormalCar"/>
    <w:uiPriority w:val="99"/>
    <w:unhideWhenUsed w:val="1"/>
    <w:rsid w:val="00603D72"/>
    <w:pPr>
      <w:spacing w:after="120"/>
      <w:ind w:left="283"/>
    </w:pPr>
  </w:style>
  <w:style w:type="character" w:styleId="SangradetextonormalCar" w:customStyle="1">
    <w:name w:val="Sangría de texto normal Car"/>
    <w:basedOn w:val="Fuentedeprrafopredeter"/>
    <w:link w:val="Sangradetextonormal"/>
    <w:uiPriority w:val="99"/>
    <w:rsid w:val="00603D72"/>
    <w:rPr>
      <w:rFonts w:ascii="Times New Roman" w:cs="Times New Roman" w:eastAsia="Times New Roman" w:hAnsi="Times New Roman"/>
      <w:lang w:val="es-ES"/>
    </w:rPr>
  </w:style>
  <w:style w:type="paragraph" w:styleId="Textoindependienteprimerasangra2">
    <w:name w:val="Body Text First Indent 2"/>
    <w:basedOn w:val="Sangradetextonormal"/>
    <w:link w:val="Textoindependienteprimerasangra2Car"/>
    <w:uiPriority w:val="99"/>
    <w:unhideWhenUsed w:val="1"/>
    <w:rsid w:val="00603D72"/>
    <w:pPr>
      <w:spacing w:after="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603D72"/>
    <w:rPr>
      <w:rFonts w:ascii="Times New Roman" w:cs="Times New Roman" w:eastAsia="Times New Roman" w:hAnsi="Times New Roman"/>
      <w:lang w:val="es-ES"/>
    </w:rPr>
  </w:style>
  <w:style w:type="paragraph" w:styleId="paragraph" w:customStyle="1">
    <w:name w:val="paragraph"/>
    <w:basedOn w:val="Normal"/>
    <w:rsid w:val="00E34821"/>
    <w:pPr>
      <w:spacing w:after="100" w:afterAutospacing="1" w:before="100" w:beforeAutospacing="1"/>
    </w:pPr>
  </w:style>
  <w:style w:type="paragraph" w:styleId="n2" w:customStyle="1">
    <w:name w:val="n2"/>
    <w:basedOn w:val="Normal"/>
    <w:rsid w:val="009D307C"/>
    <w:pPr>
      <w:spacing w:after="100" w:afterAutospacing="1" w:before="100" w:beforeAutospacing="1"/>
    </w:pPr>
  </w:style>
  <w:style w:type="character" w:styleId="u" w:customStyle="1">
    <w:name w:val="u"/>
    <w:basedOn w:val="Fuentedeprrafopredeter"/>
    <w:rsid w:val="009D307C"/>
  </w:style>
  <w:style w:type="paragraph" w:styleId="j1" w:customStyle="1">
    <w:name w:val="j1"/>
    <w:basedOn w:val="Normal"/>
    <w:rsid w:val="009D307C"/>
    <w:pPr>
      <w:spacing w:after="100" w:afterAutospacing="1" w:before="100" w:beforeAutospacing="1"/>
    </w:pPr>
  </w:style>
  <w:style w:type="paragraph" w:styleId="j2" w:customStyle="1">
    <w:name w:val="j2"/>
    <w:basedOn w:val="Normal"/>
    <w:rsid w:val="009D307C"/>
    <w:pPr>
      <w:spacing w:after="100" w:afterAutospacing="1" w:before="100" w:before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val="1"/>
        <w:bCs w:val="1"/>
      </w:rPr>
      <w:tblPr/>
      <w:tcPr>
        <w:tcBorders>
          <w:bottom w:color="95b3d7" w:space="0" w:sz="4" w:themeColor="accent1" w:themeTint="000099" w:val="single"/>
        </w:tcBorders>
      </w:tcPr>
    </w:tblStylePr>
    <w:tblStylePr w:type="lastRow">
      <w:rPr>
        <w:b w:val="1"/>
        <w:bCs w:val="1"/>
      </w:rPr>
      <w:tblPr/>
      <w:tcPr>
        <w:tcBorders>
          <w:top w:color="95b3d7"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character" w:styleId="Mencinsinresolver1" w:customStyle="1">
    <w:name w:val="Mención sin resolver1"/>
    <w:basedOn w:val="Fuentedeprrafopredeter"/>
    <w:uiPriority w:val="99"/>
    <w:semiHidden w:val="1"/>
    <w:unhideWhenUsed w:val="1"/>
    <w:rsid w:val="00457753"/>
    <w:rPr>
      <w:color w:val="605e5c"/>
      <w:shd w:color="auto" w:fill="e1dfdd" w:val="clear"/>
    </w:rPr>
  </w:style>
  <w:style w:type="character" w:styleId="Mencinsinresolver2" w:customStyle="1">
    <w:name w:val="Mención sin resolver2"/>
    <w:basedOn w:val="Fuentedeprrafopredeter"/>
    <w:uiPriority w:val="99"/>
    <w:semiHidden w:val="1"/>
    <w:unhideWhenUsed w:val="1"/>
    <w:rsid w:val="00CE48D4"/>
    <w:rPr>
      <w:color w:val="605e5c"/>
      <w:shd w:color="auto" w:fill="e1dfdd" w:val="clear"/>
    </w:rPr>
  </w:style>
  <w:style w:type="table" w:styleId="Tabladelista1clara-nfasis11" w:customStyle="1">
    <w:name w:val="Tabla de lista 1 clara - Énfasis 11"/>
    <w:basedOn w:val="Tablanormal"/>
    <w:uiPriority w:val="46"/>
    <w:rsid w:val="008F79FD"/>
    <w:rPr>
      <w:rFonts w:eastAsia="MS Mincho"/>
    </w:rPr>
    <w:tblPr>
      <w:tblStyleRowBandSize w:val="1"/>
      <w:tblStyleColBandSize w:val="1"/>
    </w:tblPr>
    <w:tblStylePr w:type="firstRow">
      <w:rPr>
        <w:b w:val="1"/>
        <w:bCs w:val="1"/>
      </w:rPr>
      <w:tblPr/>
      <w:tcPr>
        <w:tcBorders>
          <w:bottom w:color="95b3d7" w:space="0" w:sz="4" w:val="single"/>
        </w:tcBorders>
      </w:tcPr>
    </w:tblStylePr>
    <w:tblStylePr w:type="lastRow">
      <w:rPr>
        <w:b w:val="1"/>
        <w:bCs w:val="1"/>
      </w:rPr>
      <w:tblPr/>
      <w:tcPr>
        <w:tcBorders>
          <w:top w:color="95b3d7" w:space="0" w:sz="4" w:val="single"/>
        </w:tcBorders>
      </w:tcPr>
    </w:tblStylePr>
    <w:tblStylePr w:type="firstCol">
      <w:rPr>
        <w:b w:val="1"/>
        <w:bCs w:val="1"/>
      </w:rPr>
    </w:tblStylePr>
    <w:tblStylePr w:type="lastCol">
      <w:rPr>
        <w:b w:val="1"/>
        <w:bCs w:val="1"/>
      </w:rPr>
    </w:tblStylePr>
    <w:tblStylePr w:type="band1Vert">
      <w:tblPr/>
      <w:tcPr>
        <w:shd w:color="auto" w:fill="dbe5f1" w:val="clear"/>
      </w:tcPr>
    </w:tblStylePr>
    <w:tblStylePr w:type="band1Horz">
      <w:tblPr/>
      <w:tcPr>
        <w:shd w:color="auto" w:fill="dbe5f1" w:val="clear"/>
      </w:tcPr>
    </w:tblStylePr>
  </w:style>
  <w:style w:type="character" w:styleId="Ttulo3Car" w:customStyle="1">
    <w:name w:val="Título 3 Car"/>
    <w:basedOn w:val="Fuentedeprrafopredeter"/>
    <w:link w:val="Ttulo3"/>
    <w:uiPriority w:val="9"/>
    <w:rsid w:val="003B73CD"/>
    <w:rPr>
      <w:rFonts w:asciiTheme="majorHAnsi" w:cstheme="majorBidi" w:eastAsiaTheme="majorEastAsia" w:hAnsiTheme="majorHAnsi"/>
      <w:b w:val="1"/>
      <w:bCs w:val="1"/>
      <w:sz w:val="26"/>
      <w:szCs w:val="26"/>
      <w:lang w:eastAsia="en-US" w:val="en-US"/>
    </w:rPr>
  </w:style>
  <w:style w:type="character" w:styleId="Ttulo4Car" w:customStyle="1">
    <w:name w:val="Título 4 Car"/>
    <w:basedOn w:val="Fuentedeprrafopredeter"/>
    <w:link w:val="Ttulo4"/>
    <w:uiPriority w:val="9"/>
    <w:semiHidden w:val="1"/>
    <w:rsid w:val="003B73CD"/>
    <w:rPr>
      <w:b w:val="1"/>
      <w:bCs w:val="1"/>
      <w:sz w:val="28"/>
      <w:szCs w:val="28"/>
      <w:lang w:eastAsia="en-US" w:val="en-US"/>
    </w:rPr>
  </w:style>
  <w:style w:type="character" w:styleId="Ttulo5Car" w:customStyle="1">
    <w:name w:val="Título 5 Car"/>
    <w:basedOn w:val="Fuentedeprrafopredeter"/>
    <w:link w:val="Ttulo5"/>
    <w:uiPriority w:val="9"/>
    <w:semiHidden w:val="1"/>
    <w:rsid w:val="003B73CD"/>
    <w:rPr>
      <w:b w:val="1"/>
      <w:bCs w:val="1"/>
      <w:i w:val="1"/>
      <w:iCs w:val="1"/>
      <w:sz w:val="26"/>
      <w:szCs w:val="26"/>
      <w:lang w:eastAsia="en-US" w:val="en-US"/>
    </w:rPr>
  </w:style>
  <w:style w:type="character" w:styleId="Ttulo6Car" w:customStyle="1">
    <w:name w:val="Título 6 Car"/>
    <w:basedOn w:val="Fuentedeprrafopredeter"/>
    <w:link w:val="Ttulo6"/>
    <w:semiHidden w:val="1"/>
    <w:rsid w:val="003B73CD"/>
    <w:rPr>
      <w:rFonts w:ascii="Times New Roman" w:cs="Times New Roman" w:eastAsia="Times New Roman" w:hAnsi="Times New Roman"/>
      <w:b w:val="1"/>
      <w:bCs w:val="1"/>
      <w:sz w:val="22"/>
      <w:szCs w:val="22"/>
      <w:lang w:eastAsia="en-US" w:val="en-US"/>
    </w:rPr>
  </w:style>
  <w:style w:type="character" w:styleId="Ttulo7Car" w:customStyle="1">
    <w:name w:val="Título 7 Car"/>
    <w:basedOn w:val="Fuentedeprrafopredeter"/>
    <w:link w:val="Ttulo7"/>
    <w:uiPriority w:val="9"/>
    <w:semiHidden w:val="1"/>
    <w:rsid w:val="003B73CD"/>
    <w:rPr>
      <w:lang w:eastAsia="en-US" w:val="en-US"/>
    </w:rPr>
  </w:style>
  <w:style w:type="character" w:styleId="Ttulo8Car" w:customStyle="1">
    <w:name w:val="Título 8 Car"/>
    <w:basedOn w:val="Fuentedeprrafopredeter"/>
    <w:link w:val="Ttulo8"/>
    <w:uiPriority w:val="9"/>
    <w:semiHidden w:val="1"/>
    <w:rsid w:val="003B73CD"/>
    <w:rPr>
      <w:i w:val="1"/>
      <w:iCs w:val="1"/>
      <w:lang w:eastAsia="en-US" w:val="en-US"/>
    </w:rPr>
  </w:style>
  <w:style w:type="character" w:styleId="Ttulo9Car" w:customStyle="1">
    <w:name w:val="Título 9 Car"/>
    <w:basedOn w:val="Fuentedeprrafopredeter"/>
    <w:link w:val="Ttulo9"/>
    <w:uiPriority w:val="9"/>
    <w:semiHidden w:val="1"/>
    <w:rsid w:val="003B73CD"/>
    <w:rPr>
      <w:rFonts w:asciiTheme="majorHAnsi" w:cstheme="majorBidi" w:eastAsiaTheme="majorEastAsia" w:hAnsiTheme="majorHAnsi"/>
      <w:sz w:val="22"/>
      <w:szCs w:val="22"/>
      <w:lang w:eastAsia="en-US" w:val="en-U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5" w:customStyle="1">
    <w:name w:val="5"/>
    <w:basedOn w:val="TableNormal10"/>
    <w:tblPr>
      <w:tblStyleRowBandSize w:val="1"/>
      <w:tblStyleColBandSize w:val="1"/>
      <w:tblCellMar>
        <w:left w:w="108.0" w:type="dxa"/>
        <w:right w:w="108.0" w:type="dxa"/>
      </w:tblCellMar>
    </w:tblPr>
    <w:tblStylePr w:type="firstRow">
      <w:rPr>
        <w:b w:val="1"/>
      </w:rPr>
      <w:tblPr/>
      <w:tcPr>
        <w:tcBorders>
          <w:bottom w:color="95b3d7" w:space="0" w:sz="4" w:val="single"/>
        </w:tcBorders>
      </w:tcPr>
    </w:tblStylePr>
    <w:tblStylePr w:type="lastRow">
      <w:rPr>
        <w:b w:val="1"/>
      </w:rPr>
      <w:tblPr/>
      <w:tcPr>
        <w:tcBorders>
          <w:top w:color="95b3d7"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4" w:customStyle="1">
    <w:name w:val="4"/>
    <w:basedOn w:val="TableNormal10"/>
    <w:tblPr>
      <w:tblStyleRowBandSize w:val="1"/>
      <w:tblStyleColBandSize w:val="1"/>
      <w:tblCellMar>
        <w:left w:w="115.0" w:type="dxa"/>
        <w:right w:w="115.0" w:type="dxa"/>
      </w:tblCellMar>
    </w:tblPr>
  </w:style>
  <w:style w:type="table" w:styleId="3" w:customStyle="1">
    <w:name w:val="3"/>
    <w:basedOn w:val="TableNormal10"/>
    <w:tblPr>
      <w:tblStyleRowBandSize w:val="1"/>
      <w:tblStyleColBandSize w:val="1"/>
      <w:tblCellMar>
        <w:left w:w="115.0" w:type="dxa"/>
        <w:right w:w="115.0" w:type="dxa"/>
      </w:tblCellMar>
    </w:tblPr>
  </w:style>
  <w:style w:type="character" w:styleId="Mencinsinresolver3" w:customStyle="1">
    <w:name w:val="Mención sin resolver3"/>
    <w:basedOn w:val="Fuentedeprrafopredeter"/>
    <w:uiPriority w:val="99"/>
    <w:semiHidden w:val="1"/>
    <w:unhideWhenUsed w:val="1"/>
    <w:rsid w:val="0094565C"/>
    <w:rPr>
      <w:color w:val="605e5c"/>
      <w:shd w:color="auto" w:fill="e1dfdd" w:val="clear"/>
    </w:rPr>
  </w:style>
  <w:style w:type="table" w:styleId="2" w:customStyle="1">
    <w:name w:val="2"/>
    <w:basedOn w:val="TableNormal10"/>
    <w:tblPr>
      <w:tblStyleRowBandSize w:val="1"/>
      <w:tblStyleColBandSize w:val="1"/>
      <w:tblCellMar>
        <w:left w:w="115.0" w:type="dxa"/>
        <w:right w:w="115.0" w:type="dxa"/>
      </w:tblCellMar>
    </w:tblPr>
  </w:style>
  <w:style w:type="table" w:styleId="1" w:customStyle="1">
    <w:name w:val="1"/>
    <w:basedOn w:val="TableNormal10"/>
    <w:tblPr>
      <w:tblStyleRowBandSize w:val="1"/>
      <w:tblStyleColBandSize w:val="1"/>
      <w:tblCellMar>
        <w:left w:w="115.0" w:type="dxa"/>
        <w:right w:w="115.0" w:type="dxa"/>
      </w:tblCellMar>
    </w:tblPr>
  </w:style>
  <w:style w:type="table" w:styleId="9" w:customStyle="1">
    <w:name w:val="9"/>
    <w:basedOn w:val="TableNormal20"/>
    <w:tblPr>
      <w:tblStyleRowBandSize w:val="1"/>
      <w:tblStyleColBandSize w:val="1"/>
      <w:tblCellMar>
        <w:left w:w="115.0" w:type="dxa"/>
        <w:right w:w="115.0" w:type="dxa"/>
      </w:tblCellMar>
    </w:tblPr>
  </w:style>
  <w:style w:type="table" w:styleId="8" w:customStyle="1">
    <w:name w:val="8"/>
    <w:basedOn w:val="TableNormal20"/>
    <w:tblPr>
      <w:tblStyleRowBandSize w:val="1"/>
      <w:tblStyleColBandSize w:val="1"/>
      <w:tblCellMar>
        <w:left w:w="115.0" w:type="dxa"/>
        <w:right w:w="115.0" w:type="dxa"/>
      </w:tblCellMar>
    </w:tblPr>
  </w:style>
  <w:style w:type="table" w:styleId="7" w:customStyle="1">
    <w:name w:val="7"/>
    <w:basedOn w:val="TableNormal30"/>
    <w:tblPr>
      <w:tblStyleRowBandSize w:val="1"/>
      <w:tblStyleColBandSize w:val="1"/>
      <w:tblCellMar>
        <w:left w:w="115.0" w:type="dxa"/>
        <w:right w:w="115.0" w:type="dxa"/>
      </w:tblCellMar>
    </w:tblPr>
  </w:style>
  <w:style w:type="table" w:styleId="6" w:customStyle="1">
    <w:name w:val="6"/>
    <w:basedOn w:val="TableNormal30"/>
    <w:tblPr>
      <w:tblStyleRowBandSize w:val="1"/>
      <w:tblStyleColBandSize w:val="1"/>
      <w:tblCellMar>
        <w:left w:w="115.0" w:type="dxa"/>
        <w:right w:w="115.0" w:type="dxa"/>
      </w:tblCellMar>
    </w:tblPr>
  </w:style>
  <w:style w:type="table" w:styleId="20" w:customStyle="1">
    <w:name w:val="20"/>
    <w:basedOn w:val="TableNormal40"/>
    <w:tblPr>
      <w:tblStyleRowBandSize w:val="1"/>
      <w:tblStyleColBandSize w:val="1"/>
      <w:tblCellMar>
        <w:left w:w="115.0" w:type="dxa"/>
        <w:right w:w="115.0" w:type="dxa"/>
      </w:tblCellMar>
    </w:tblPr>
  </w:style>
  <w:style w:type="table" w:styleId="19" w:customStyle="1">
    <w:name w:val="19"/>
    <w:basedOn w:val="TableNormal40"/>
    <w:tblPr>
      <w:tblStyleRowBandSize w:val="1"/>
      <w:tblStyleColBandSize w:val="1"/>
      <w:tblCellMar>
        <w:left w:w="115.0" w:type="dxa"/>
        <w:right w:w="115.0" w:type="dxa"/>
      </w:tblCellMar>
    </w:tblPr>
  </w:style>
  <w:style w:type="table" w:styleId="18" w:customStyle="1">
    <w:name w:val="18"/>
    <w:basedOn w:val="TableNormal50"/>
    <w:tblPr>
      <w:tblStyleRowBandSize w:val="1"/>
      <w:tblStyleColBandSize w:val="1"/>
      <w:tblCellMar>
        <w:left w:w="115.0" w:type="dxa"/>
        <w:right w:w="115.0" w:type="dxa"/>
      </w:tblCellMar>
    </w:tblPr>
  </w:style>
  <w:style w:type="table" w:styleId="17" w:customStyle="1">
    <w:name w:val="17"/>
    <w:basedOn w:val="TableNormal50"/>
    <w:tblPr>
      <w:tblStyleRowBandSize w:val="1"/>
      <w:tblStyleColBandSize w:val="1"/>
      <w:tblCellMar>
        <w:left w:w="115.0" w:type="dxa"/>
        <w:right w:w="115.0" w:type="dxa"/>
      </w:tblCellMar>
    </w:tblPr>
  </w:style>
  <w:style w:type="table" w:styleId="16" w:customStyle="1">
    <w:name w:val="16"/>
    <w:basedOn w:val="TableNormal6"/>
    <w:tblPr>
      <w:tblStyleRowBandSize w:val="1"/>
      <w:tblStyleColBandSize w:val="1"/>
      <w:tblCellMar>
        <w:left w:w="115.0" w:type="dxa"/>
        <w:right w:w="115.0" w:type="dxa"/>
      </w:tblCellMar>
    </w:tblPr>
  </w:style>
  <w:style w:type="table" w:styleId="15" w:customStyle="1">
    <w:name w:val="15"/>
    <w:basedOn w:val="TableNormal6"/>
    <w:tblPr>
      <w:tblStyleRowBandSize w:val="1"/>
      <w:tblStyleColBandSize w:val="1"/>
      <w:tblCellMar>
        <w:left w:w="115.0" w:type="dxa"/>
        <w:right w:w="115.0" w:type="dxa"/>
      </w:tblCellMar>
    </w:tblPr>
  </w:style>
  <w:style w:type="table" w:styleId="14" w:customStyle="1">
    <w:name w:val="14"/>
    <w:basedOn w:val="TableNormal7"/>
    <w:tblPr>
      <w:tblStyleRowBandSize w:val="1"/>
      <w:tblStyleColBandSize w:val="1"/>
      <w:tblCellMar>
        <w:left w:w="115.0" w:type="dxa"/>
        <w:right w:w="115.0" w:type="dxa"/>
      </w:tblCellMar>
    </w:tblPr>
  </w:style>
  <w:style w:type="table" w:styleId="13" w:customStyle="1">
    <w:name w:val="13"/>
    <w:basedOn w:val="TableNormal7"/>
    <w:tblPr>
      <w:tblStyleRowBandSize w:val="1"/>
      <w:tblStyleColBandSize w:val="1"/>
      <w:tblCellMar>
        <w:left w:w="115.0" w:type="dxa"/>
        <w:right w:w="115.0" w:type="dxa"/>
      </w:tblCellMar>
    </w:tblPr>
  </w:style>
  <w:style w:type="character" w:styleId="rse6dlih" w:customStyle="1">
    <w:name w:val="rse6dlih"/>
    <w:basedOn w:val="Fuentedeprrafopredeter"/>
    <w:rsid w:val="00190860"/>
  </w:style>
  <w:style w:type="table" w:styleId="12" w:customStyle="1">
    <w:name w:val="12"/>
    <w:basedOn w:val="TableNormal8"/>
    <w:tblPr>
      <w:tblStyleRowBandSize w:val="1"/>
      <w:tblStyleColBandSize w:val="1"/>
      <w:tblCellMar>
        <w:left w:w="108.0" w:type="dxa"/>
        <w:right w:w="108.0" w:type="dxa"/>
      </w:tblCellMar>
    </w:tblPr>
    <w:tblStylePr w:type="firstRow">
      <w:rPr>
        <w:b w:val="1"/>
      </w:rPr>
      <w:tblPr/>
      <w:tcPr>
        <w:tcBorders>
          <w:bottom w:color="95b3d7" w:space="0" w:sz="4" w:val="single"/>
        </w:tcBorders>
      </w:tcPr>
    </w:tblStylePr>
    <w:tblStylePr w:type="lastRow">
      <w:rPr>
        <w:b w:val="1"/>
      </w:rPr>
      <w:tblPr/>
      <w:tcPr>
        <w:tcBorders>
          <w:top w:color="95b3d7"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11" w:customStyle="1">
    <w:name w:val="11"/>
    <w:basedOn w:val="TableNormal8"/>
    <w:tblPr>
      <w:tblStyleRowBandSize w:val="1"/>
      <w:tblStyleColBandSize w:val="1"/>
      <w:tblCellMar>
        <w:left w:w="115.0" w:type="dxa"/>
        <w:right w:w="115.0" w:type="dxa"/>
      </w:tblCellMar>
    </w:tblPr>
  </w:style>
  <w:style w:type="table" w:styleId="10" w:customStyle="1">
    <w:name w:val="10"/>
    <w:basedOn w:val="TableNormal8"/>
    <w:tblPr>
      <w:tblStyleRowBandSize w:val="1"/>
      <w:tblStyleColBandSize w:val="1"/>
      <w:tblCellMar>
        <w:left w:w="115.0" w:type="dxa"/>
        <w:right w:w="115.0" w:type="dxa"/>
      </w:tblCellMar>
    </w:tblPr>
  </w:style>
  <w:style w:type="table" w:styleId="24" w:customStyle="1">
    <w:name w:val="24"/>
    <w:basedOn w:val="TableNormal9"/>
    <w:tblPr>
      <w:tblStyleRowBandSize w:val="1"/>
      <w:tblStyleColBandSize w:val="1"/>
      <w:tblCellMar>
        <w:left w:w="115.0" w:type="dxa"/>
        <w:right w:w="115.0" w:type="dxa"/>
      </w:tblCellMar>
    </w:tblPr>
  </w:style>
  <w:style w:type="table" w:styleId="23" w:customStyle="1">
    <w:name w:val="23"/>
    <w:basedOn w:val="TableNormal9"/>
    <w:tblPr>
      <w:tblStyleRowBandSize w:val="1"/>
      <w:tblStyleColBandSize w:val="1"/>
      <w:tblCellMar>
        <w:left w:w="108.0" w:type="dxa"/>
        <w:right w:w="108.0" w:type="dxa"/>
      </w:tblCellMar>
    </w:tblPr>
    <w:tblStylePr w:type="firstRow">
      <w:rPr>
        <w:b w:val="1"/>
      </w:rPr>
      <w:tblPr/>
      <w:tcPr>
        <w:tcBorders>
          <w:bottom w:color="95b3d7" w:space="0" w:sz="4" w:val="single"/>
        </w:tcBorders>
      </w:tcPr>
    </w:tblStylePr>
    <w:tblStylePr w:type="lastRow">
      <w:rPr>
        <w:b w:val="1"/>
      </w:rPr>
      <w:tblPr/>
      <w:tcPr>
        <w:tcBorders>
          <w:top w:color="95b3d7"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22" w:customStyle="1">
    <w:name w:val="22"/>
    <w:basedOn w:val="TableNormal9"/>
    <w:tblPr>
      <w:tblStyleRowBandSize w:val="1"/>
      <w:tblStyleColBandSize w:val="1"/>
      <w:tblCellMar>
        <w:left w:w="115.0" w:type="dxa"/>
        <w:right w:w="115.0" w:type="dxa"/>
      </w:tblCellMar>
    </w:tblPr>
  </w:style>
  <w:style w:type="table" w:styleId="21" w:customStyle="1">
    <w:name w:val="21"/>
    <w:basedOn w:val="TableNormal9"/>
    <w:tblPr>
      <w:tblStyleRowBandSize w:val="1"/>
      <w:tblStyleColBandSize w:val="1"/>
      <w:tblCellMar>
        <w:left w:w="115.0" w:type="dxa"/>
        <w:right w:w="115.0" w:type="dxa"/>
      </w:tblCellMar>
    </w:tblPr>
  </w:style>
  <w:style w:type="table" w:styleId="a" w:customStyle="1">
    <w:basedOn w:val="TableNormal5"/>
    <w:tblPr>
      <w:tblStyleRowBandSize w:val="1"/>
      <w:tblStyleColBandSize w:val="1"/>
      <w:tblCellMar>
        <w:left w:w="108.0" w:type="dxa"/>
        <w:right w:w="108.0" w:type="dxa"/>
      </w:tblCellMar>
    </w:tblPr>
    <w:tblStylePr w:type="firstRow">
      <w:rPr>
        <w:b w:val="1"/>
      </w:rPr>
      <w:tblPr/>
      <w:tcPr>
        <w:tcBorders>
          <w:bottom w:color="95b3d7" w:space="0" w:sz="4" w:val="single"/>
        </w:tcBorders>
      </w:tcPr>
    </w:tblStylePr>
    <w:tblStylePr w:type="lastRow">
      <w:rPr>
        <w:b w:val="1"/>
      </w:rPr>
      <w:tblPr/>
      <w:tcPr>
        <w:tcBorders>
          <w:top w:color="95b3d7"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0" w:customStyle="1">
    <w:basedOn w:val="TableNormal5"/>
    <w:tblPr>
      <w:tblStyleRowBandSize w:val="1"/>
      <w:tblStyleColBandSize w:val="1"/>
      <w:tblCellMar>
        <w:left w:w="115.0" w:type="dxa"/>
        <w:right w:w="115.0" w:type="dxa"/>
      </w:tblCellMar>
    </w:tblPr>
  </w:style>
  <w:style w:type="table" w:styleId="a2" w:customStyle="1">
    <w:basedOn w:val="TableNormal5"/>
    <w:tblPr>
      <w:tblStyleRowBandSize w:val="1"/>
      <w:tblStyleColBandSize w:val="1"/>
      <w:tblCellMar>
        <w:left w:w="115.0" w:type="dxa"/>
        <w:right w:w="115.0" w:type="dxa"/>
      </w:tblCellMar>
    </w:tblPr>
  </w:style>
  <w:style w:type="table" w:styleId="a3" w:customStyle="1">
    <w:basedOn w:val="TableNormal4"/>
    <w:tblPr>
      <w:tblStyleRowBandSize w:val="1"/>
      <w:tblStyleColBandSize w:val="1"/>
      <w:tblCellMar>
        <w:left w:w="115.0" w:type="dxa"/>
        <w:right w:w="115.0" w:type="dxa"/>
      </w:tblCellMar>
    </w:tblPr>
    <w:tblStylePr w:type="firstRow">
      <w:rPr>
        <w:b w:val="1"/>
      </w:rPr>
      <w:tblPr/>
      <w:tcPr>
        <w:tcBorders>
          <w:bottom w:color="95b3d7" w:space="0" w:sz="4" w:val="single"/>
        </w:tcBorders>
      </w:tcPr>
    </w:tblStylePr>
    <w:tblStylePr w:type="lastRow">
      <w:rPr>
        <w:b w:val="1"/>
      </w:rPr>
      <w:tblPr/>
      <w:tcPr>
        <w:tcBorders>
          <w:top w:color="95b3d7"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4" w:customStyle="1">
    <w:basedOn w:val="TableNormal4"/>
    <w:tblPr>
      <w:tblStyleRowBandSize w:val="1"/>
      <w:tblStyleColBandSize w:val="1"/>
      <w:tblCellMar>
        <w:left w:w="115.0" w:type="dxa"/>
        <w:right w:w="115.0" w:type="dxa"/>
      </w:tblCellMar>
    </w:tblPr>
  </w:style>
  <w:style w:type="table" w:styleId="a5" w:customStyle="1">
    <w:basedOn w:val="TableNormal4"/>
    <w:tblPr>
      <w:tblStyleRowBandSize w:val="1"/>
      <w:tblStyleColBandSize w:val="1"/>
      <w:tblCellMar>
        <w:left w:w="115.0" w:type="dxa"/>
        <w:right w:w="115.0" w:type="dxa"/>
      </w:tblCellMar>
    </w:tblPr>
  </w:style>
  <w:style w:type="table" w:styleId="a6" w:customStyle="1">
    <w:basedOn w:val="TableNormal3"/>
    <w:tblPr>
      <w:tblStyleRowBandSize w:val="1"/>
      <w:tblStyleColBandSize w:val="1"/>
      <w:tblCellMar>
        <w:left w:w="108.0" w:type="dxa"/>
        <w:right w:w="108.0" w:type="dxa"/>
      </w:tblCellMar>
    </w:tblPr>
    <w:tblStylePr w:type="firstRow">
      <w:rPr>
        <w:b w:val="1"/>
      </w:rPr>
      <w:tblPr/>
      <w:tcPr>
        <w:tcBorders>
          <w:bottom w:color="95b3d7" w:space="0" w:sz="4" w:val="single"/>
        </w:tcBorders>
      </w:tcPr>
    </w:tblStylePr>
    <w:tblStylePr w:type="lastRow">
      <w:rPr>
        <w:b w:val="1"/>
      </w:rPr>
      <w:tblPr/>
      <w:tcPr>
        <w:tcBorders>
          <w:top w:color="95b3d7"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7" w:customStyle="1">
    <w:basedOn w:val="TableNormal3"/>
    <w:tblPr>
      <w:tblStyleRowBandSize w:val="1"/>
      <w:tblStyleColBandSize w:val="1"/>
      <w:tblCellMar>
        <w:left w:w="115.0" w:type="dxa"/>
        <w:right w:w="115.0" w:type="dxa"/>
      </w:tblCellMar>
    </w:tblPr>
  </w:style>
  <w:style w:type="table" w:styleId="a8" w:customStyle="1">
    <w:basedOn w:val="TableNormal3"/>
    <w:tblPr>
      <w:tblStyleRowBandSize w:val="1"/>
      <w:tblStyleColBandSize w:val="1"/>
      <w:tblCellMar>
        <w:left w:w="115.0" w:type="dxa"/>
        <w:right w:w="115.0" w:type="dxa"/>
      </w:tblCellMar>
    </w:tblPr>
  </w:style>
  <w:style w:type="character" w:styleId="Mencinsinresolver4" w:customStyle="1">
    <w:name w:val="Mención sin resolver4"/>
    <w:basedOn w:val="Fuentedeprrafopredeter"/>
    <w:uiPriority w:val="99"/>
    <w:semiHidden w:val="1"/>
    <w:unhideWhenUsed w:val="1"/>
    <w:rsid w:val="00B70D09"/>
    <w:rPr>
      <w:color w:val="605e5c"/>
      <w:shd w:color="auto" w:fill="e1dfdd" w:val="clear"/>
    </w:rPr>
  </w:style>
  <w:style w:type="character" w:styleId="Mencinsinresolver5" w:customStyle="1">
    <w:name w:val="Mención sin resolver5"/>
    <w:basedOn w:val="Fuentedeprrafopredeter"/>
    <w:uiPriority w:val="99"/>
    <w:semiHidden w:val="1"/>
    <w:unhideWhenUsed w:val="1"/>
    <w:rsid w:val="00160ABB"/>
    <w:rPr>
      <w:color w:val="605e5c"/>
      <w:shd w:color="auto" w:fill="e1dfdd" w:val="clear"/>
    </w:rPr>
  </w:style>
  <w:style w:type="table" w:styleId="a9" w:customStyle="1">
    <w:basedOn w:val="TableNormal2"/>
    <w:tblPr>
      <w:tblStyleRowBandSize w:val="1"/>
      <w:tblStyleColBandSize w:val="1"/>
      <w:tblCellMar>
        <w:left w:w="108.0" w:type="dxa"/>
        <w:right w:w="108.0" w:type="dxa"/>
      </w:tblCellMar>
    </w:tblPr>
  </w:style>
  <w:style w:type="table" w:styleId="aa" w:customStyle="1">
    <w:basedOn w:val="TableNormal2"/>
    <w:tblPr>
      <w:tblStyleRowBandSize w:val="1"/>
      <w:tblStyleColBandSize w:val="1"/>
      <w:tblCellMar>
        <w:left w:w="115.0" w:type="dxa"/>
        <w:right w:w="115.0" w:type="dxa"/>
      </w:tblCellMar>
    </w:tblPr>
  </w:style>
  <w:style w:type="table" w:styleId="ab" w:customStyle="1">
    <w:basedOn w:val="TableNormal2"/>
    <w:tblPr>
      <w:tblStyleRowBandSize w:val="1"/>
      <w:tblStyleColBandSize w:val="1"/>
      <w:tblCellMar>
        <w:left w:w="115.0" w:type="dxa"/>
        <w:right w:w="115.0" w:type="dxa"/>
      </w:tblCellMar>
    </w:tblPr>
  </w:style>
  <w:style w:type="character" w:styleId="Mencinsinresolver6" w:customStyle="1">
    <w:name w:val="Mención sin resolver6"/>
    <w:basedOn w:val="Fuentedeprrafopredeter"/>
    <w:uiPriority w:val="99"/>
    <w:semiHidden w:val="1"/>
    <w:unhideWhenUsed w:val="1"/>
    <w:rsid w:val="00D20DA7"/>
    <w:rPr>
      <w:color w:val="605e5c"/>
      <w:shd w:color="auto" w:fill="e1dfdd" w:val="clear"/>
    </w:rPr>
  </w:style>
  <w:style w:type="table" w:styleId="ac" w:customStyle="1">
    <w:basedOn w:val="TableNormal1"/>
    <w:tblPr>
      <w:tblStyleRowBandSize w:val="1"/>
      <w:tblStyleColBandSize w:val="1"/>
      <w:tblCellMar>
        <w:left w:w="115.0" w:type="dxa"/>
        <w:right w:w="115.0" w:type="dxa"/>
      </w:tblCellMar>
    </w:tblPr>
  </w:style>
  <w:style w:type="table" w:styleId="ad" w:customStyle="1">
    <w:basedOn w:val="TableNormal1"/>
    <w:tblPr>
      <w:tblStyleRowBandSize w:val="1"/>
      <w:tblStyleColBandSize w:val="1"/>
      <w:tblCellMar>
        <w:left w:w="115.0" w:type="dxa"/>
        <w:right w:w="115.0" w:type="dxa"/>
      </w:tblCellMar>
    </w:tblPr>
  </w:style>
  <w:style w:type="table" w:styleId="ae" w:customStyle="1">
    <w:basedOn w:val="TableNormal0"/>
    <w:tblPr>
      <w:tblStyleRowBandSize w:val="1"/>
      <w:tblStyleColBandSize w:val="1"/>
      <w:tblCellMar>
        <w:left w:w="115.0" w:type="dxa"/>
        <w:right w:w="115.0" w:type="dxa"/>
      </w:tblCellMar>
    </w:tblPr>
  </w:style>
  <w:style w:type="table" w:styleId="af" w:customStyle="1">
    <w:basedOn w:val="TableNormal0"/>
    <w:tblPr>
      <w:tblStyleRowBandSize w:val="1"/>
      <w:tblStyleColBandSize w:val="1"/>
      <w:tblCellMar>
        <w:left w:w="115.0" w:type="dxa"/>
        <w:right w:w="115.0" w:type="dxa"/>
      </w:tblCellMar>
    </w:tblPr>
  </w:style>
  <w:style w:type="character" w:styleId="Mencinsinresolver7" w:customStyle="1">
    <w:name w:val="Mención sin resolver7"/>
    <w:basedOn w:val="Fuentedeprrafopredeter"/>
    <w:uiPriority w:val="99"/>
    <w:semiHidden w:val="1"/>
    <w:unhideWhenUsed w:val="1"/>
    <w:rsid w:val="003A4FC8"/>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zLzZgV6AWhIczJG+LyL5TaLKjQ==">CgMxLjAyCGguZ2pkZ3hzMgloLjNkeTZ2a20yCWguMzBqMHpsbDIJaC4yZXQ5MnAwMgloLjJzOGV5bzEyCWguM3JkY3JqbjIJaC4yNmluMXJnMgloLjF0M2g1c2Y4AHIhMXp4Ti1wemJTbGN1SHVfYU9zXzM3R2VaRDNyd0ZMdDZL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2024-08-27T20:51:00Z</dcterms:created>
  <dc:creator>iMac</dc:creator>
</cp:coreProperties>
</file>