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AE48" w14:textId="77777777" w:rsidR="000122E5" w:rsidRPr="00F04130" w:rsidRDefault="00DA5F44">
      <w:pPr>
        <w:spacing w:line="360" w:lineRule="auto"/>
        <w:jc w:val="both"/>
        <w:rPr>
          <w:rFonts w:ascii="Palatino Linotype" w:hAnsi="Palatino Linotype"/>
        </w:rPr>
      </w:pPr>
      <w:r w:rsidRPr="00F04130">
        <w:rPr>
          <w:rFonts w:ascii="Palatino Linotype" w:hAnsi="Palatino Linotype"/>
          <w:lang w:eastAsia="es-ES"/>
        </w:rPr>
        <w:t xml:space="preserve">Resolución del Pleno del Instituto de Transparencia, Acceso a la Información Pública y Protección de Datos Personales del Estado de México y Municipios, con domicilio en Metepec, Estado de México; de fecha </w:t>
      </w:r>
      <w:r w:rsidR="006F00E0" w:rsidRPr="00F04130">
        <w:rPr>
          <w:rFonts w:ascii="Palatino Linotype" w:hAnsi="Palatino Linotype"/>
          <w:lang w:eastAsia="es-ES"/>
        </w:rPr>
        <w:t>once (11</w:t>
      </w:r>
      <w:r w:rsidRPr="00F04130">
        <w:rPr>
          <w:rFonts w:ascii="Palatino Linotype" w:hAnsi="Palatino Linotype"/>
          <w:lang w:eastAsia="es-ES"/>
        </w:rPr>
        <w:t xml:space="preserve">) de </w:t>
      </w:r>
      <w:r w:rsidR="006F00E0" w:rsidRPr="00F04130">
        <w:rPr>
          <w:rFonts w:ascii="Palatino Linotype" w:hAnsi="Palatino Linotype"/>
          <w:lang w:eastAsia="es-ES"/>
        </w:rPr>
        <w:t>septiembre de dos mil veinticuatro</w:t>
      </w:r>
      <w:r w:rsidRPr="00F04130">
        <w:rPr>
          <w:rFonts w:ascii="Palatino Linotype" w:hAnsi="Palatino Linotype"/>
          <w:lang w:eastAsia="es-ES"/>
        </w:rPr>
        <w:t>.</w:t>
      </w:r>
    </w:p>
    <w:p w14:paraId="51B7CA69" w14:textId="77777777" w:rsidR="000122E5" w:rsidRPr="00F04130" w:rsidRDefault="000122E5">
      <w:pPr>
        <w:spacing w:line="360" w:lineRule="auto"/>
        <w:jc w:val="both"/>
        <w:rPr>
          <w:rFonts w:ascii="Palatino Linotype" w:hAnsi="Palatino Linotype"/>
        </w:rPr>
      </w:pPr>
    </w:p>
    <w:p w14:paraId="12DCF836" w14:textId="76644B21" w:rsidR="000122E5" w:rsidRPr="00F04130" w:rsidRDefault="00DA5F44">
      <w:pPr>
        <w:spacing w:line="360" w:lineRule="auto"/>
        <w:jc w:val="both"/>
        <w:rPr>
          <w:rFonts w:ascii="Palatino Linotype" w:hAnsi="Palatino Linotype"/>
        </w:rPr>
      </w:pPr>
      <w:r w:rsidRPr="00F04130">
        <w:rPr>
          <w:rFonts w:ascii="Palatino Linotype" w:hAnsi="Palatino Linotype"/>
          <w:b/>
          <w:lang w:eastAsia="es-ES"/>
        </w:rPr>
        <w:t>VISTO</w:t>
      </w:r>
      <w:r w:rsidRPr="00F04130">
        <w:rPr>
          <w:rFonts w:ascii="Palatino Linotype" w:hAnsi="Palatino Linotype"/>
          <w:lang w:eastAsia="es-ES"/>
        </w:rPr>
        <w:t xml:space="preserve"> el expediente electrónico formado con motivo del recurso de revisión número </w:t>
      </w:r>
      <w:r w:rsidRPr="00F04130">
        <w:rPr>
          <w:rFonts w:ascii="Palatino Linotype" w:hAnsi="Palatino Linotype"/>
          <w:b/>
          <w:bCs/>
          <w:lang w:eastAsia="es-ES"/>
        </w:rPr>
        <w:t xml:space="preserve">04838/INFOEM/AD/RR/2024, </w:t>
      </w:r>
      <w:r w:rsidRPr="00F04130">
        <w:rPr>
          <w:rFonts w:ascii="Palatino Linotype" w:hAnsi="Palatino Linotype"/>
          <w:lang w:eastAsia="es-ES"/>
        </w:rPr>
        <w:t xml:space="preserve">promovido por </w:t>
      </w:r>
      <w:r w:rsidR="00451B45">
        <w:rPr>
          <w:rFonts w:ascii="Palatino Linotype" w:eastAsia="Calibri" w:hAnsi="Palatino Linotype" w:cs="Tahoma"/>
          <w:sz w:val="22"/>
          <w:szCs w:val="22"/>
          <w:lang w:eastAsia="en-US"/>
        </w:rPr>
        <w:t xml:space="preserve">XXX </w:t>
      </w:r>
      <w:proofErr w:type="spellStart"/>
      <w:r w:rsidR="00451B45">
        <w:rPr>
          <w:rFonts w:ascii="Palatino Linotype" w:eastAsia="Calibri" w:hAnsi="Palatino Linotype" w:cs="Tahoma"/>
          <w:sz w:val="22"/>
          <w:szCs w:val="22"/>
          <w:lang w:eastAsia="en-US"/>
        </w:rPr>
        <w:t>XXX</w:t>
      </w:r>
      <w:proofErr w:type="spellEnd"/>
      <w:r w:rsidR="006F00E0" w:rsidRPr="00F04130">
        <w:rPr>
          <w:rFonts w:ascii="Palatino Linotype" w:eastAsia="Calibri" w:hAnsi="Palatino Linotype" w:cs="Tahoma"/>
          <w:sz w:val="22"/>
          <w:szCs w:val="22"/>
          <w:lang w:val="es-ES" w:eastAsia="en-US"/>
        </w:rPr>
        <w:t>,</w:t>
      </w:r>
      <w:r w:rsidRPr="00F04130">
        <w:rPr>
          <w:rFonts w:ascii="Palatino Linotype" w:hAnsi="Palatino Linotype"/>
          <w:lang w:eastAsia="es-ES"/>
        </w:rPr>
        <w:t xml:space="preserve"> quien en lo sucesivo será identificado como </w:t>
      </w:r>
      <w:r w:rsidRPr="00F04130">
        <w:rPr>
          <w:rFonts w:ascii="Palatino Linotype" w:hAnsi="Palatino Linotype"/>
          <w:b/>
          <w:lang w:eastAsia="es-ES"/>
        </w:rPr>
        <w:t xml:space="preserve">Recurrente, </w:t>
      </w:r>
      <w:r w:rsidRPr="00F04130">
        <w:rPr>
          <w:rFonts w:ascii="Palatino Linotype" w:hAnsi="Palatino Linotype"/>
          <w:lang w:eastAsia="es-ES"/>
        </w:rPr>
        <w:t>en contra de la respuesta del</w:t>
      </w:r>
      <w:r w:rsidRPr="00F04130">
        <w:rPr>
          <w:rFonts w:ascii="Palatino Linotype" w:hAnsi="Palatino Linotype"/>
          <w:b/>
          <w:bCs/>
          <w:lang w:eastAsia="es-ES"/>
        </w:rPr>
        <w:t xml:space="preserve"> </w:t>
      </w:r>
      <w:r w:rsidRPr="00F04130">
        <w:rPr>
          <w:rFonts w:ascii="Palatino Linotype" w:eastAsia="Calibri" w:hAnsi="Palatino Linotype" w:cs="Tahoma"/>
          <w:b/>
          <w:bCs/>
          <w:lang w:eastAsia="en-US"/>
        </w:rPr>
        <w:t>Instituto de la Función Registral del Estado de México</w:t>
      </w:r>
      <w:r w:rsidRPr="00F04130">
        <w:rPr>
          <w:rFonts w:ascii="Palatino Linotype" w:hAnsi="Palatino Linotype"/>
          <w:b/>
          <w:lang w:eastAsia="es-ES"/>
        </w:rPr>
        <w:t xml:space="preserve">, </w:t>
      </w:r>
      <w:r w:rsidRPr="00F04130">
        <w:rPr>
          <w:rFonts w:ascii="Palatino Linotype" w:hAnsi="Palatino Linotype"/>
          <w:lang w:eastAsia="es-ES"/>
        </w:rPr>
        <w:t xml:space="preserve">en lo sucesivo el </w:t>
      </w:r>
      <w:r w:rsidRPr="00F04130">
        <w:rPr>
          <w:rFonts w:ascii="Palatino Linotype" w:hAnsi="Palatino Linotype"/>
          <w:b/>
          <w:lang w:eastAsia="es-ES"/>
        </w:rPr>
        <w:t xml:space="preserve">SUJETO OBLIGADO, </w:t>
      </w:r>
      <w:r w:rsidRPr="00F04130">
        <w:rPr>
          <w:rFonts w:ascii="Palatino Linotype" w:hAnsi="Palatino Linotype"/>
          <w:lang w:eastAsia="es-ES"/>
        </w:rPr>
        <w:t xml:space="preserve">se procede a dictar la presente resolución, con base en los siguientes: </w:t>
      </w:r>
    </w:p>
    <w:p w14:paraId="422AEFD5" w14:textId="77777777" w:rsidR="000122E5" w:rsidRPr="00F04130" w:rsidRDefault="000122E5">
      <w:pPr>
        <w:spacing w:line="360" w:lineRule="auto"/>
        <w:jc w:val="both"/>
        <w:rPr>
          <w:rFonts w:ascii="Palatino Linotype" w:hAnsi="Palatino Linotype"/>
        </w:rPr>
      </w:pPr>
    </w:p>
    <w:p w14:paraId="043F8B69" w14:textId="77777777" w:rsidR="000122E5" w:rsidRPr="00F04130" w:rsidRDefault="00DA5F44">
      <w:pPr>
        <w:keepNext/>
        <w:keepLines/>
        <w:spacing w:before="240" w:line="360" w:lineRule="auto"/>
        <w:jc w:val="center"/>
        <w:outlineLvl w:val="0"/>
        <w:rPr>
          <w:rFonts w:ascii="Palatino Linotype" w:eastAsia="MS Gothic" w:hAnsi="Palatino Linotype"/>
          <w:b/>
          <w:color w:val="000000"/>
        </w:rPr>
      </w:pPr>
      <w:bookmarkStart w:id="0" w:name="_Toc29544438"/>
      <w:bookmarkStart w:id="1" w:name="_Toc494991882"/>
      <w:bookmarkStart w:id="2" w:name="_Toc473812222"/>
      <w:r w:rsidRPr="00F04130">
        <w:rPr>
          <w:rFonts w:ascii="Palatino Linotype" w:eastAsia="MS Gothic" w:hAnsi="Palatino Linotype"/>
          <w:b/>
          <w:color w:val="000000"/>
          <w:lang w:val="es-ES"/>
        </w:rPr>
        <w:t>ANTECEDENTES</w:t>
      </w:r>
      <w:bookmarkEnd w:id="0"/>
      <w:bookmarkEnd w:id="1"/>
      <w:bookmarkEnd w:id="2"/>
    </w:p>
    <w:p w14:paraId="14D3E422" w14:textId="77777777" w:rsidR="000122E5" w:rsidRPr="00F04130" w:rsidRDefault="000122E5">
      <w:pPr>
        <w:tabs>
          <w:tab w:val="left" w:pos="426"/>
        </w:tabs>
        <w:spacing w:line="360" w:lineRule="auto"/>
        <w:contextualSpacing/>
        <w:jc w:val="both"/>
        <w:rPr>
          <w:rFonts w:ascii="Palatino Linotype" w:eastAsia="Calibri" w:hAnsi="Palatino Linotype" w:cs="Arial"/>
          <w:color w:val="000000"/>
        </w:rPr>
      </w:pPr>
    </w:p>
    <w:p w14:paraId="1FE3AD8B" w14:textId="77777777" w:rsidR="000122E5" w:rsidRPr="00F04130" w:rsidRDefault="006F00E0">
      <w:pPr>
        <w:numPr>
          <w:ilvl w:val="0"/>
          <w:numId w:val="1"/>
        </w:numPr>
        <w:tabs>
          <w:tab w:val="left" w:pos="426"/>
        </w:tabs>
        <w:spacing w:line="360" w:lineRule="auto"/>
        <w:ind w:left="0" w:firstLine="0"/>
        <w:contextualSpacing/>
        <w:jc w:val="both"/>
        <w:rPr>
          <w:rFonts w:ascii="Palatino Linotype" w:eastAsia="Calibri" w:hAnsi="Palatino Linotype" w:cs="Arial"/>
          <w:color w:val="000000"/>
        </w:rPr>
      </w:pPr>
      <w:r w:rsidRPr="00F04130">
        <w:rPr>
          <w:rFonts w:ascii="Palatino Linotype" w:eastAsia="Calibri" w:hAnsi="Palatino Linotype" w:cs="Arial"/>
          <w:color w:val="000000"/>
          <w:lang w:val="es-ES" w:eastAsia="es-ES"/>
        </w:rPr>
        <w:t>El diecinueve (19</w:t>
      </w:r>
      <w:r w:rsidR="00DA5F44" w:rsidRPr="00F04130">
        <w:rPr>
          <w:rFonts w:ascii="Palatino Linotype" w:eastAsia="Calibri" w:hAnsi="Palatino Linotype" w:cs="Arial"/>
          <w:color w:val="000000"/>
          <w:lang w:val="es-ES" w:eastAsia="es-ES"/>
        </w:rPr>
        <w:t xml:space="preserve">) de </w:t>
      </w:r>
      <w:r w:rsidRPr="00F04130">
        <w:rPr>
          <w:rFonts w:ascii="Palatino Linotype" w:eastAsia="Calibri" w:hAnsi="Palatino Linotype" w:cs="Arial"/>
          <w:color w:val="000000"/>
          <w:lang w:val="es-ES" w:eastAsia="es-ES"/>
        </w:rPr>
        <w:t>junio</w:t>
      </w:r>
      <w:r w:rsidR="00DA5F44" w:rsidRPr="00F04130">
        <w:rPr>
          <w:rFonts w:ascii="Palatino Linotype" w:eastAsia="Calibri" w:hAnsi="Palatino Linotype" w:cs="Arial"/>
          <w:color w:val="000000"/>
          <w:lang w:val="es-ES" w:eastAsia="es-ES"/>
        </w:rPr>
        <w:t xml:space="preserve"> de dos mil veinticuatro, el </w:t>
      </w:r>
      <w:r w:rsidR="00DA5F44" w:rsidRPr="00F04130">
        <w:rPr>
          <w:rFonts w:ascii="Palatino Linotype" w:eastAsia="Calibri" w:hAnsi="Palatino Linotype" w:cs="Arial"/>
          <w:b/>
          <w:bCs/>
          <w:color w:val="000000"/>
          <w:lang w:val="es-ES" w:eastAsia="es-ES"/>
        </w:rPr>
        <w:t>RECURRENTE</w:t>
      </w:r>
      <w:r w:rsidR="00DA5F44" w:rsidRPr="00F04130">
        <w:rPr>
          <w:rFonts w:ascii="Palatino Linotype" w:eastAsia="Calibri" w:hAnsi="Palatino Linotype" w:cs="Arial"/>
          <w:color w:val="000000"/>
          <w:lang w:val="es-ES" w:eastAsia="es-ES"/>
        </w:rPr>
        <w:t xml:space="preserve"> presentó una solicitud de acceso a la información pública </w:t>
      </w:r>
      <w:r w:rsidR="00DA5F44" w:rsidRPr="00F04130">
        <w:rPr>
          <w:rFonts w:ascii="Palatino Linotype" w:hAnsi="Palatino Linotype" w:cs="Arial"/>
          <w:lang w:val="es-ES"/>
        </w:rPr>
        <w:t>a través de</w:t>
      </w:r>
      <w:r w:rsidRPr="00F04130">
        <w:rPr>
          <w:rFonts w:ascii="Palatino Linotype" w:hAnsi="Palatino Linotype" w:cs="Arial"/>
          <w:lang w:val="es-ES"/>
        </w:rPr>
        <w:t>l</w:t>
      </w:r>
      <w:r w:rsidR="00DA5F44" w:rsidRPr="00F04130">
        <w:rPr>
          <w:rFonts w:ascii="Palatino Linotype" w:hAnsi="Palatino Linotype" w:cs="Arial"/>
          <w:lang w:val="es-ES"/>
        </w:rPr>
        <w:t xml:space="preserve"> </w:t>
      </w:r>
      <w:r w:rsidR="00DA5F44" w:rsidRPr="00F04130">
        <w:rPr>
          <w:rFonts w:ascii="Palatino Linotype" w:eastAsia="Calibri" w:hAnsi="Palatino Linotype" w:cs="Arial"/>
          <w:color w:val="000000"/>
          <w:lang w:val="es-ES" w:eastAsia="es-ES"/>
        </w:rPr>
        <w:t>Sistema de Acceso</w:t>
      </w:r>
      <w:r w:rsidRPr="00F04130">
        <w:rPr>
          <w:rFonts w:ascii="Palatino Linotype" w:eastAsia="Calibri" w:hAnsi="Palatino Linotype" w:cs="Arial"/>
          <w:color w:val="000000"/>
          <w:lang w:val="es-ES" w:eastAsia="es-ES"/>
        </w:rPr>
        <w:t>, Rectificación, Cancelación y Oposición de Datos Personales del Estado de México</w:t>
      </w:r>
      <w:r w:rsidR="00DA5F44" w:rsidRPr="00F04130">
        <w:rPr>
          <w:rFonts w:ascii="Palatino Linotype" w:eastAsia="Calibri" w:hAnsi="Palatino Linotype" w:cs="Arial"/>
          <w:color w:val="000000"/>
          <w:lang w:val="es-ES" w:eastAsia="es-ES"/>
        </w:rPr>
        <w:t xml:space="preserve"> </w:t>
      </w:r>
      <w:r w:rsidRPr="00F04130">
        <w:rPr>
          <w:rFonts w:ascii="Palatino Linotype" w:eastAsia="Calibri" w:hAnsi="Palatino Linotype" w:cs="Arial"/>
          <w:b/>
          <w:color w:val="000000"/>
          <w:lang w:val="es-ES" w:eastAsia="es-ES"/>
        </w:rPr>
        <w:t>(SARCOEM</w:t>
      </w:r>
      <w:r w:rsidR="00DA5F44" w:rsidRPr="00F04130">
        <w:rPr>
          <w:rFonts w:ascii="Palatino Linotype" w:eastAsia="Calibri" w:hAnsi="Palatino Linotype" w:cs="Arial"/>
          <w:b/>
          <w:color w:val="000000"/>
          <w:lang w:val="es-ES" w:eastAsia="es-ES"/>
        </w:rPr>
        <w:t xml:space="preserve">) </w:t>
      </w:r>
      <w:r w:rsidR="00DA5F44" w:rsidRPr="00F04130">
        <w:rPr>
          <w:rFonts w:ascii="Palatino Linotype" w:eastAsia="Calibri" w:hAnsi="Palatino Linotype" w:cs="Arial"/>
          <w:color w:val="000000"/>
          <w:lang w:val="es-ES" w:eastAsia="es-ES"/>
        </w:rPr>
        <w:t>con el número</w:t>
      </w:r>
      <w:r w:rsidR="00DA5F44" w:rsidRPr="00F04130">
        <w:rPr>
          <w:rFonts w:ascii="Verdana" w:hAnsi="Verdana"/>
          <w:b/>
          <w:bCs/>
          <w:color w:val="FF0000"/>
        </w:rPr>
        <w:t xml:space="preserve"> </w:t>
      </w:r>
      <w:r w:rsidRPr="00F04130">
        <w:rPr>
          <w:rFonts w:ascii="Palatino Linotype" w:eastAsia="Calibri" w:hAnsi="Palatino Linotype" w:cs="Arial"/>
          <w:b/>
          <w:bCs/>
          <w:color w:val="000000"/>
          <w:lang w:eastAsia="es-ES"/>
        </w:rPr>
        <w:t>00003</w:t>
      </w:r>
      <w:r w:rsidR="00DA5F44" w:rsidRPr="00F04130">
        <w:rPr>
          <w:rFonts w:ascii="Palatino Linotype" w:eastAsia="Calibri" w:hAnsi="Palatino Linotype" w:cs="Arial"/>
          <w:b/>
          <w:bCs/>
          <w:color w:val="000000"/>
          <w:lang w:eastAsia="es-ES"/>
        </w:rPr>
        <w:t>/</w:t>
      </w:r>
      <w:r w:rsidR="005B50FC" w:rsidRPr="00F04130">
        <w:rPr>
          <w:rFonts w:ascii="Palatino Linotype" w:eastAsia="Calibri" w:hAnsi="Palatino Linotype" w:cs="Arial"/>
          <w:b/>
          <w:bCs/>
          <w:color w:val="000000"/>
          <w:lang w:eastAsia="es-ES"/>
        </w:rPr>
        <w:t>IFR</w:t>
      </w:r>
      <w:r w:rsidR="00DA5F44" w:rsidRPr="00F04130">
        <w:rPr>
          <w:rFonts w:ascii="Palatino Linotype" w:eastAsia="Calibri" w:hAnsi="Palatino Linotype" w:cs="Arial"/>
          <w:b/>
          <w:bCs/>
          <w:color w:val="000000"/>
          <w:lang w:eastAsia="es-ES"/>
        </w:rPr>
        <w:t>/AD/2024,</w:t>
      </w:r>
      <w:r w:rsidR="00DA5F44" w:rsidRPr="00F04130">
        <w:rPr>
          <w:rFonts w:ascii="Palatino Linotype" w:eastAsia="Calibri" w:hAnsi="Palatino Linotype" w:cs="Arial"/>
          <w:color w:val="000000"/>
          <w:lang w:val="es-ES" w:eastAsia="es-ES"/>
        </w:rPr>
        <w:t xml:space="preserve"> mediante la cual requirió: </w:t>
      </w:r>
    </w:p>
    <w:p w14:paraId="7C856204" w14:textId="77777777" w:rsidR="000122E5" w:rsidRPr="00F04130" w:rsidRDefault="000122E5">
      <w:pPr>
        <w:ind w:right="539"/>
        <w:jc w:val="both"/>
        <w:rPr>
          <w:rFonts w:ascii="Palatino Linotype" w:hAnsi="Palatino Linotype"/>
          <w:i/>
          <w:iCs/>
          <w:color w:val="000000"/>
          <w:sz w:val="22"/>
          <w:szCs w:val="22"/>
        </w:rPr>
      </w:pPr>
    </w:p>
    <w:p w14:paraId="240E4052" w14:textId="26DF83C3" w:rsidR="000122E5" w:rsidRPr="00F04130" w:rsidRDefault="00DA5F44">
      <w:pPr>
        <w:ind w:left="567" w:right="539"/>
        <w:jc w:val="both"/>
        <w:rPr>
          <w:rFonts w:ascii="Palatino Linotype" w:hAnsi="Palatino Linotype"/>
          <w:i/>
          <w:color w:val="000000"/>
        </w:rPr>
      </w:pPr>
      <w:r w:rsidRPr="00F04130">
        <w:rPr>
          <w:rFonts w:ascii="Palatino Linotype" w:hAnsi="Palatino Linotype"/>
          <w:i/>
          <w:color w:val="000000"/>
        </w:rPr>
        <w:t>“</w:t>
      </w:r>
      <w:r w:rsidR="00C35B83" w:rsidRPr="00F04130">
        <w:rPr>
          <w:rFonts w:ascii="Palatino Linotype" w:hAnsi="Palatino Linotype"/>
          <w:i/>
          <w:color w:val="000000"/>
        </w:rPr>
        <w:t xml:space="preserve">Solicito copia certifica de las escrituras públicas del inmueble de mi madre la Sra. </w:t>
      </w:r>
      <w:r w:rsidR="00451B45">
        <w:rPr>
          <w:rFonts w:ascii="Palatino Linotype" w:hAnsi="Palatino Linotype"/>
          <w:i/>
          <w:color w:val="000000"/>
        </w:rPr>
        <w:t xml:space="preserve">XXX </w:t>
      </w:r>
      <w:proofErr w:type="spellStart"/>
      <w:r w:rsidR="00451B45">
        <w:rPr>
          <w:rFonts w:ascii="Palatino Linotype" w:hAnsi="Palatino Linotype"/>
          <w:i/>
          <w:color w:val="000000"/>
        </w:rPr>
        <w:t>XXX</w:t>
      </w:r>
      <w:proofErr w:type="spellEnd"/>
      <w:r w:rsidR="00451B45">
        <w:rPr>
          <w:rFonts w:ascii="Palatino Linotype" w:hAnsi="Palatino Linotype"/>
          <w:i/>
          <w:color w:val="000000"/>
        </w:rPr>
        <w:t xml:space="preserve"> </w:t>
      </w:r>
      <w:proofErr w:type="spellStart"/>
      <w:r w:rsidR="00451B45">
        <w:rPr>
          <w:rFonts w:ascii="Palatino Linotype" w:hAnsi="Palatino Linotype"/>
          <w:i/>
          <w:color w:val="000000"/>
        </w:rPr>
        <w:t>XXX</w:t>
      </w:r>
      <w:proofErr w:type="spellEnd"/>
      <w:r w:rsidR="00C35B83" w:rsidRPr="00F04130">
        <w:rPr>
          <w:rFonts w:ascii="Palatino Linotype" w:hAnsi="Palatino Linotype"/>
          <w:i/>
          <w:color w:val="000000"/>
        </w:rPr>
        <w:t xml:space="preserve">, el cual </w:t>
      </w:r>
      <w:proofErr w:type="spellStart"/>
      <w:r w:rsidR="00C35B83" w:rsidRPr="00F04130">
        <w:rPr>
          <w:rFonts w:ascii="Palatino Linotype" w:hAnsi="Palatino Linotype"/>
          <w:i/>
          <w:color w:val="000000"/>
        </w:rPr>
        <w:t>esta</w:t>
      </w:r>
      <w:proofErr w:type="spellEnd"/>
      <w:r w:rsidR="00C35B83" w:rsidRPr="00F04130">
        <w:rPr>
          <w:rFonts w:ascii="Palatino Linotype" w:hAnsi="Palatino Linotype"/>
          <w:i/>
          <w:color w:val="000000"/>
        </w:rPr>
        <w:t xml:space="preserve"> ubicado en </w:t>
      </w:r>
      <w:r w:rsidR="00451B45" w:rsidRPr="00F04130">
        <w:rPr>
          <w:rFonts w:ascii="Palatino Linotype" w:hAnsi="Palatino Linotype"/>
          <w:i/>
          <w:color w:val="000000"/>
        </w:rPr>
        <w:t>c</w:t>
      </w:r>
      <w:r w:rsidR="00451B45" w:rsidRPr="00451B45">
        <w:rPr>
          <w:rFonts w:ascii="Palatino Linotype" w:hAnsi="Palatino Linotype"/>
          <w:i/>
          <w:color w:val="000000"/>
          <w:highlight w:val="yellow"/>
        </w:rPr>
        <w:t xml:space="preserve">alle </w:t>
      </w:r>
      <w:proofErr w:type="spellStart"/>
      <w:r w:rsidR="00451B45" w:rsidRPr="00451B45">
        <w:rPr>
          <w:rFonts w:ascii="Palatino Linotype" w:hAnsi="Palatino Linotype"/>
          <w:i/>
          <w:color w:val="000000"/>
          <w:highlight w:val="yellow"/>
        </w:rPr>
        <w:t>maunaloa</w:t>
      </w:r>
      <w:proofErr w:type="spellEnd"/>
      <w:r w:rsidR="00C35B83" w:rsidRPr="00451B45">
        <w:rPr>
          <w:rFonts w:ascii="Palatino Linotype" w:hAnsi="Palatino Linotype"/>
          <w:i/>
          <w:color w:val="000000"/>
          <w:highlight w:val="yellow"/>
        </w:rPr>
        <w:t xml:space="preserve"> </w:t>
      </w:r>
      <w:proofErr w:type="spellStart"/>
      <w:r w:rsidR="00C35B83" w:rsidRPr="00451B45">
        <w:rPr>
          <w:rFonts w:ascii="Palatino Linotype" w:hAnsi="Palatino Linotype"/>
          <w:i/>
          <w:color w:val="000000"/>
          <w:highlight w:val="yellow"/>
        </w:rPr>
        <w:t>numero</w:t>
      </w:r>
      <w:proofErr w:type="spellEnd"/>
      <w:r w:rsidR="00C35B83" w:rsidRPr="00451B45">
        <w:rPr>
          <w:rFonts w:ascii="Palatino Linotype" w:hAnsi="Palatino Linotype"/>
          <w:i/>
          <w:color w:val="000000"/>
          <w:highlight w:val="yellow"/>
        </w:rPr>
        <w:t xml:space="preserve"> 43. colonia ampliación Benito Juárez</w:t>
      </w:r>
      <w:r w:rsidR="00C35B83" w:rsidRPr="00F04130">
        <w:rPr>
          <w:rFonts w:ascii="Palatino Linotype" w:hAnsi="Palatino Linotype"/>
          <w:i/>
          <w:color w:val="000000"/>
        </w:rPr>
        <w:t>, en el municipio de Naucalpan de Juárez, Estado de México C.P 53790</w:t>
      </w:r>
      <w:r w:rsidRPr="00F04130">
        <w:rPr>
          <w:rFonts w:ascii="Palatino Linotype" w:hAnsi="Palatino Linotype"/>
          <w:i/>
          <w:color w:val="000000"/>
        </w:rPr>
        <w:t>” (Sic)</w:t>
      </w:r>
    </w:p>
    <w:p w14:paraId="51C64FD9" w14:textId="77777777" w:rsidR="002F18F3" w:rsidRPr="00F04130" w:rsidRDefault="002F18F3">
      <w:pPr>
        <w:ind w:left="567" w:right="539"/>
        <w:jc w:val="both"/>
        <w:rPr>
          <w:rFonts w:ascii="Palatino Linotype" w:hAnsi="Palatino Linotype"/>
          <w:i/>
          <w:color w:val="000000"/>
        </w:rPr>
      </w:pPr>
    </w:p>
    <w:p w14:paraId="3FF20B4D" w14:textId="77777777" w:rsidR="002F18F3" w:rsidRPr="00F04130" w:rsidRDefault="002F18F3" w:rsidP="002F18F3">
      <w:pPr>
        <w:ind w:right="539"/>
        <w:jc w:val="both"/>
        <w:rPr>
          <w:rFonts w:ascii="Palatino Linotype" w:hAnsi="Palatino Linotype"/>
          <w:iCs/>
          <w:sz w:val="22"/>
          <w:szCs w:val="22"/>
        </w:rPr>
      </w:pPr>
      <w:r w:rsidRPr="00F04130">
        <w:rPr>
          <w:rFonts w:ascii="Palatino Linotype" w:hAnsi="Palatino Linotype"/>
          <w:iCs/>
          <w:sz w:val="22"/>
          <w:szCs w:val="22"/>
        </w:rPr>
        <w:t xml:space="preserve">A su vez, adjuntos los archivos: </w:t>
      </w:r>
    </w:p>
    <w:p w14:paraId="43A87026" w14:textId="5D52FBEA" w:rsidR="002F18F3" w:rsidRPr="00F04130" w:rsidRDefault="002F18F3" w:rsidP="002F18F3">
      <w:pPr>
        <w:pStyle w:val="Prrafodelista"/>
        <w:numPr>
          <w:ilvl w:val="0"/>
          <w:numId w:val="6"/>
        </w:numPr>
        <w:ind w:left="567" w:right="539"/>
        <w:jc w:val="both"/>
        <w:rPr>
          <w:rFonts w:ascii="Palatino Linotype" w:hAnsi="Palatino Linotype"/>
          <w:iCs/>
          <w:sz w:val="22"/>
          <w:szCs w:val="22"/>
        </w:rPr>
      </w:pPr>
      <w:r w:rsidRPr="00F04130">
        <w:rPr>
          <w:rFonts w:ascii="Palatino Linotype" w:hAnsi="Palatino Linotype"/>
          <w:b/>
          <w:iCs/>
          <w:sz w:val="22"/>
          <w:szCs w:val="22"/>
        </w:rPr>
        <w:t>INE A_047589.pdf:</w:t>
      </w:r>
      <w:r w:rsidRPr="00F04130">
        <w:rPr>
          <w:rFonts w:ascii="Palatino Linotype" w:hAnsi="Palatino Linotype"/>
          <w:iCs/>
          <w:sz w:val="22"/>
          <w:szCs w:val="22"/>
        </w:rPr>
        <w:t xml:space="preserve"> consistente en la INE a nombre del C. </w:t>
      </w:r>
      <w:r w:rsidR="00451B45">
        <w:rPr>
          <w:rFonts w:ascii="Palatino Linotype" w:hAnsi="Palatino Linotype"/>
          <w:iCs/>
          <w:sz w:val="22"/>
          <w:szCs w:val="22"/>
        </w:rPr>
        <w:t xml:space="preserve">XXX </w:t>
      </w:r>
      <w:proofErr w:type="spellStart"/>
      <w:r w:rsidR="00451B45">
        <w:rPr>
          <w:rFonts w:ascii="Palatino Linotype" w:hAnsi="Palatino Linotype"/>
          <w:iCs/>
          <w:sz w:val="22"/>
          <w:szCs w:val="22"/>
        </w:rPr>
        <w:t>XXX</w:t>
      </w:r>
      <w:proofErr w:type="spellEnd"/>
      <w:r w:rsidR="00451B45">
        <w:rPr>
          <w:rFonts w:ascii="Palatino Linotype" w:hAnsi="Palatino Linotype"/>
          <w:iCs/>
          <w:sz w:val="22"/>
          <w:szCs w:val="22"/>
        </w:rPr>
        <w:t xml:space="preserve"> </w:t>
      </w:r>
      <w:proofErr w:type="spellStart"/>
      <w:r w:rsidR="00451B45">
        <w:rPr>
          <w:rFonts w:ascii="Palatino Linotype" w:hAnsi="Palatino Linotype"/>
          <w:iCs/>
          <w:sz w:val="22"/>
          <w:szCs w:val="22"/>
        </w:rPr>
        <w:t>XXX</w:t>
      </w:r>
      <w:proofErr w:type="spellEnd"/>
    </w:p>
    <w:p w14:paraId="2FE34037" w14:textId="77777777" w:rsidR="002F18F3" w:rsidRPr="00F04130" w:rsidRDefault="002F18F3" w:rsidP="002F18F3">
      <w:pPr>
        <w:pStyle w:val="Prrafodelista"/>
        <w:numPr>
          <w:ilvl w:val="0"/>
          <w:numId w:val="6"/>
        </w:numPr>
        <w:ind w:left="567" w:right="539"/>
        <w:jc w:val="both"/>
        <w:rPr>
          <w:rFonts w:ascii="Palatino Linotype" w:hAnsi="Palatino Linotype"/>
          <w:iCs/>
          <w:sz w:val="22"/>
          <w:szCs w:val="22"/>
        </w:rPr>
      </w:pPr>
      <w:r w:rsidRPr="00F04130">
        <w:rPr>
          <w:rFonts w:ascii="Palatino Linotype" w:hAnsi="Palatino Linotype"/>
          <w:b/>
          <w:iCs/>
          <w:sz w:val="22"/>
          <w:szCs w:val="22"/>
        </w:rPr>
        <w:t>BRWDCE994966BED_078106.pdf:</w:t>
      </w:r>
      <w:r w:rsidRPr="00F04130">
        <w:rPr>
          <w:rFonts w:ascii="Palatino Linotype" w:hAnsi="Palatino Linotype"/>
          <w:iCs/>
          <w:sz w:val="22"/>
          <w:szCs w:val="22"/>
        </w:rPr>
        <w:t xml:space="preserve"> consistente en la impresión de un recibo de pago de fecha treinta de mayo de dos mil veinticuatro</w:t>
      </w:r>
    </w:p>
    <w:p w14:paraId="3C2352BA" w14:textId="77777777" w:rsidR="000122E5" w:rsidRPr="00F04130" w:rsidRDefault="00DA5F44">
      <w:pPr>
        <w:numPr>
          <w:ilvl w:val="0"/>
          <w:numId w:val="1"/>
        </w:numPr>
        <w:tabs>
          <w:tab w:val="left" w:pos="0"/>
        </w:tabs>
        <w:spacing w:beforeAutospacing="1" w:afterAutospacing="1" w:line="360" w:lineRule="auto"/>
        <w:ind w:left="0" w:firstLine="0"/>
        <w:contextualSpacing/>
        <w:jc w:val="both"/>
        <w:rPr>
          <w:rFonts w:ascii="Palatino Linotype" w:eastAsia="MS Mincho" w:hAnsi="Palatino Linotype" w:cs="Arial"/>
          <w:color w:val="000000"/>
          <w:lang w:val="es-ES_tradnl"/>
        </w:rPr>
      </w:pPr>
      <w:r w:rsidRPr="00F04130">
        <w:rPr>
          <w:rFonts w:ascii="Palatino Linotype" w:eastAsia="MS Mincho" w:hAnsi="Palatino Linotype" w:cs="Arial"/>
          <w:lang w:val="es-ES_tradnl" w:eastAsia="es-ES"/>
        </w:rPr>
        <w:lastRenderedPageBreak/>
        <w:t xml:space="preserve">Se hace constar que </w:t>
      </w:r>
      <w:r w:rsidRPr="00F04130">
        <w:rPr>
          <w:rFonts w:ascii="Palatino Linotype" w:hAnsi="Palatino Linotype" w:cs="Arial"/>
          <w:lang w:val="es-ES" w:eastAsia="es-ES"/>
        </w:rPr>
        <w:t>se señaló como modalidad de entrega de la información</w:t>
      </w:r>
      <w:r w:rsidRPr="00F04130">
        <w:rPr>
          <w:rFonts w:ascii="Palatino Linotype" w:hAnsi="Palatino Linotype" w:cs="Arial"/>
          <w:b/>
          <w:lang w:val="es-ES" w:eastAsia="es-ES"/>
        </w:rPr>
        <w:t>:</w:t>
      </w:r>
      <w:r w:rsidR="00C35B83" w:rsidRPr="00F04130">
        <w:rPr>
          <w:rFonts w:ascii="Palatino Linotype" w:hAnsi="Palatino Linotype" w:cs="Arial"/>
          <w:lang w:val="es-ES" w:eastAsia="es-ES"/>
        </w:rPr>
        <w:t xml:space="preserve"> </w:t>
      </w:r>
      <w:r w:rsidR="00C35B83" w:rsidRPr="00F04130">
        <w:rPr>
          <w:rFonts w:ascii="Palatino Linotype" w:hAnsi="Palatino Linotype" w:cs="Arial"/>
          <w:b/>
          <w:lang w:val="es-ES" w:eastAsia="es-ES"/>
        </w:rPr>
        <w:t>Copias certificadas</w:t>
      </w:r>
    </w:p>
    <w:p w14:paraId="32296DC2" w14:textId="77777777" w:rsidR="000122E5" w:rsidRPr="00F04130" w:rsidRDefault="000122E5">
      <w:pPr>
        <w:rPr>
          <w:rFonts w:ascii="Palatino Linotype" w:eastAsia="Calibri" w:hAnsi="Palatino Linotype" w:cs="Arial"/>
          <w:lang w:val="es-AR" w:eastAsia="es-ES"/>
        </w:rPr>
      </w:pPr>
    </w:p>
    <w:p w14:paraId="7A646A30" w14:textId="77777777" w:rsidR="000122E5" w:rsidRPr="00F04130" w:rsidRDefault="00DA5F44" w:rsidP="00C35B83">
      <w:pPr>
        <w:numPr>
          <w:ilvl w:val="0"/>
          <w:numId w:val="1"/>
        </w:numPr>
        <w:tabs>
          <w:tab w:val="left" w:pos="0"/>
        </w:tabs>
        <w:spacing w:beforeAutospacing="1" w:afterAutospacing="1" w:line="360" w:lineRule="auto"/>
        <w:ind w:left="0" w:firstLine="0"/>
        <w:contextualSpacing/>
        <w:jc w:val="both"/>
        <w:rPr>
          <w:rFonts w:ascii="Palatino Linotype" w:eastAsia="MS Mincho" w:hAnsi="Palatino Linotype" w:cs="Arial"/>
          <w:iCs/>
          <w:color w:val="000000" w:themeColor="text1"/>
          <w:sz w:val="22"/>
          <w:szCs w:val="22"/>
          <w:lang w:val="es-ES_tradnl"/>
        </w:rPr>
      </w:pPr>
      <w:r w:rsidRPr="00F04130">
        <w:rPr>
          <w:rFonts w:ascii="Palatino Linotype" w:eastAsia="Calibri" w:hAnsi="Palatino Linotype" w:cs="Arial"/>
          <w:lang w:val="es-AR" w:eastAsia="es-ES"/>
        </w:rPr>
        <w:t xml:space="preserve">El </w:t>
      </w:r>
      <w:r w:rsidR="00C35B83" w:rsidRPr="00F04130">
        <w:rPr>
          <w:rFonts w:ascii="Palatino Linotype" w:eastAsia="Calibri" w:hAnsi="Palatino Linotype" w:cs="Arial"/>
          <w:bCs/>
          <w:lang w:val="es-AR" w:eastAsia="es-ES"/>
        </w:rPr>
        <w:t>veintiséis</w:t>
      </w:r>
      <w:r w:rsidRPr="00F04130">
        <w:rPr>
          <w:rFonts w:ascii="Palatino Linotype" w:eastAsia="Calibri" w:hAnsi="Palatino Linotype" w:cs="Arial"/>
          <w:bCs/>
          <w:lang w:val="es-AR" w:eastAsia="es-ES"/>
        </w:rPr>
        <w:t xml:space="preserve"> </w:t>
      </w:r>
      <w:r w:rsidR="00C35B83" w:rsidRPr="00F04130">
        <w:rPr>
          <w:rFonts w:ascii="Palatino Linotype" w:eastAsia="Calibri" w:hAnsi="Palatino Linotype" w:cs="Arial"/>
          <w:lang w:val="es-AR" w:eastAsia="es-ES"/>
        </w:rPr>
        <w:t>(26</w:t>
      </w:r>
      <w:r w:rsidRPr="00F04130">
        <w:rPr>
          <w:rFonts w:ascii="Palatino Linotype" w:eastAsia="Calibri" w:hAnsi="Palatino Linotype" w:cs="Arial"/>
          <w:lang w:val="es-AR" w:eastAsia="es-ES"/>
        </w:rPr>
        <w:t xml:space="preserve">) de </w:t>
      </w:r>
      <w:r w:rsidR="00C35B83" w:rsidRPr="00F04130">
        <w:rPr>
          <w:rFonts w:ascii="Palatino Linotype" w:eastAsia="Calibri" w:hAnsi="Palatino Linotype" w:cs="Arial"/>
          <w:lang w:val="es-AR" w:eastAsia="es-ES"/>
        </w:rPr>
        <w:t>juni</w:t>
      </w:r>
      <w:r w:rsidRPr="00F04130">
        <w:rPr>
          <w:rFonts w:ascii="Palatino Linotype" w:eastAsia="Calibri" w:hAnsi="Palatino Linotype" w:cs="Arial"/>
          <w:lang w:val="es-AR" w:eastAsia="es-ES"/>
        </w:rPr>
        <w:t>o de dos mil veintitrés</w:t>
      </w:r>
      <w:r w:rsidRPr="00F04130">
        <w:rPr>
          <w:rFonts w:ascii="Palatino Linotype" w:hAnsi="Palatino Linotype" w:cs="Arial"/>
          <w:lang w:val="es-AR" w:eastAsia="es-ES"/>
        </w:rPr>
        <w:t xml:space="preserve">, </w:t>
      </w:r>
      <w:r w:rsidRPr="00F04130">
        <w:rPr>
          <w:rFonts w:ascii="Palatino Linotype" w:eastAsia="MS Mincho" w:hAnsi="Palatino Linotype"/>
          <w:color w:val="000000"/>
          <w:lang w:val="es-ES_tradnl" w:eastAsia="es-ES"/>
        </w:rPr>
        <w:t xml:space="preserve">el </w:t>
      </w:r>
      <w:r w:rsidRPr="00F04130">
        <w:rPr>
          <w:rFonts w:ascii="Palatino Linotype" w:eastAsia="MS Mincho" w:hAnsi="Palatino Linotype"/>
          <w:b/>
          <w:color w:val="000000"/>
          <w:lang w:val="es-ES_tradnl" w:eastAsia="es-ES"/>
        </w:rPr>
        <w:t xml:space="preserve">SUJETO OBLIGADO </w:t>
      </w:r>
      <w:r w:rsidRPr="00F04130">
        <w:rPr>
          <w:rFonts w:ascii="Palatino Linotype" w:hAnsi="Palatino Linotype" w:cs="Arial"/>
          <w:lang w:val="es-ES" w:eastAsia="es-ES"/>
        </w:rPr>
        <w:t>dio respuest</w:t>
      </w:r>
      <w:r w:rsidR="00C35B83" w:rsidRPr="00F04130">
        <w:rPr>
          <w:rFonts w:ascii="Palatino Linotype" w:hAnsi="Palatino Linotype" w:cs="Arial"/>
          <w:lang w:val="es-ES" w:eastAsia="es-ES"/>
        </w:rPr>
        <w:t>a a la solicitud de información mediante el</w:t>
      </w:r>
      <w:r w:rsidR="00C35B83" w:rsidRPr="00F04130">
        <w:rPr>
          <w:rFonts w:ascii="Palatino Linotype" w:eastAsia="MS Mincho" w:hAnsi="Palatino Linotype" w:cs="Arial"/>
          <w:iCs/>
          <w:color w:val="000000" w:themeColor="text1"/>
          <w:sz w:val="22"/>
          <w:szCs w:val="22"/>
          <w:lang w:val="es-ES_tradnl"/>
        </w:rPr>
        <w:t xml:space="preserve"> </w:t>
      </w:r>
      <w:r w:rsidRPr="00F04130">
        <w:rPr>
          <w:rFonts w:ascii="Palatino Linotype" w:eastAsia="MS Mincho" w:hAnsi="Palatino Linotype" w:cs="Arial"/>
          <w:iCs/>
          <w:color w:val="000000" w:themeColor="text1"/>
          <w:sz w:val="22"/>
          <w:szCs w:val="22"/>
          <w:lang w:val="es-ES_tradnl"/>
        </w:rPr>
        <w:t xml:space="preserve">archivo electrónico denominado </w:t>
      </w:r>
      <w:r w:rsidR="00C35B83" w:rsidRPr="00F04130">
        <w:rPr>
          <w:rFonts w:ascii="Palatino Linotype" w:eastAsia="MS Mincho" w:hAnsi="Palatino Linotype" w:cs="Arial"/>
          <w:b/>
          <w:color w:val="000000"/>
          <w:sz w:val="22"/>
          <w:szCs w:val="22"/>
          <w:lang w:val="es-ES_tradnl"/>
        </w:rPr>
        <w:t>383-2024 AD 03_0001.pdf</w:t>
      </w:r>
      <w:r w:rsidRPr="00F04130">
        <w:rPr>
          <w:rFonts w:ascii="Palatino Linotype" w:hAnsi="Palatino Linotype"/>
          <w:color w:val="000000" w:themeColor="text1"/>
          <w:sz w:val="22"/>
          <w:szCs w:val="22"/>
        </w:rPr>
        <w:t>, documento de</w:t>
      </w:r>
      <w:r w:rsidR="00C35B83" w:rsidRPr="00F04130">
        <w:rPr>
          <w:rFonts w:ascii="Palatino Linotype" w:hAnsi="Palatino Linotype"/>
          <w:color w:val="000000" w:themeColor="text1"/>
          <w:sz w:val="22"/>
          <w:szCs w:val="22"/>
        </w:rPr>
        <w:t xml:space="preserve"> cuatro</w:t>
      </w:r>
      <w:r w:rsidRPr="00F04130">
        <w:rPr>
          <w:rFonts w:ascii="Palatino Linotype" w:hAnsi="Palatino Linotype"/>
          <w:color w:val="000000" w:themeColor="text1"/>
          <w:sz w:val="22"/>
          <w:szCs w:val="22"/>
        </w:rPr>
        <w:t xml:space="preserve"> fojas que consta del oficio del </w:t>
      </w:r>
      <w:r w:rsidR="00C35B83" w:rsidRPr="00F04130">
        <w:rPr>
          <w:rFonts w:ascii="Palatino Linotype" w:hAnsi="Palatino Linotype"/>
          <w:color w:val="000000" w:themeColor="text1"/>
          <w:sz w:val="22"/>
          <w:szCs w:val="22"/>
        </w:rPr>
        <w:t xml:space="preserve">26 </w:t>
      </w:r>
      <w:r w:rsidRPr="00F04130">
        <w:rPr>
          <w:rFonts w:ascii="Palatino Linotype" w:hAnsi="Palatino Linotype"/>
          <w:color w:val="000000" w:themeColor="text1"/>
          <w:sz w:val="22"/>
          <w:szCs w:val="22"/>
        </w:rPr>
        <w:t xml:space="preserve">de </w:t>
      </w:r>
      <w:r w:rsidR="00C35B83" w:rsidRPr="00F04130">
        <w:rPr>
          <w:rFonts w:ascii="Palatino Linotype" w:hAnsi="Palatino Linotype"/>
          <w:color w:val="000000" w:themeColor="text1"/>
          <w:sz w:val="22"/>
          <w:szCs w:val="22"/>
        </w:rPr>
        <w:t>junio de 2024, suscrito por el</w:t>
      </w:r>
      <w:r w:rsidRPr="00F04130">
        <w:rPr>
          <w:rFonts w:ascii="Palatino Linotype" w:hAnsi="Palatino Linotype"/>
          <w:color w:val="000000" w:themeColor="text1"/>
          <w:sz w:val="22"/>
          <w:szCs w:val="22"/>
        </w:rPr>
        <w:t xml:space="preserve"> Titular de la Unidad de Transparencia, por medio del cual, </w:t>
      </w:r>
      <w:r w:rsidR="00C35B83" w:rsidRPr="00F04130">
        <w:rPr>
          <w:rFonts w:ascii="Palatino Linotype" w:hAnsi="Palatino Linotype"/>
          <w:color w:val="000000" w:themeColor="text1"/>
          <w:sz w:val="22"/>
          <w:szCs w:val="22"/>
        </w:rPr>
        <w:t xml:space="preserve">de forma medular </w:t>
      </w:r>
      <w:proofErr w:type="spellStart"/>
      <w:r w:rsidR="00C35B83" w:rsidRPr="00F04130">
        <w:rPr>
          <w:rFonts w:ascii="Palatino Linotype" w:hAnsi="Palatino Linotype"/>
          <w:color w:val="000000" w:themeColor="text1"/>
          <w:sz w:val="22"/>
          <w:szCs w:val="22"/>
        </w:rPr>
        <w:t>manifiestó</w:t>
      </w:r>
      <w:proofErr w:type="spellEnd"/>
      <w:r w:rsidR="00C35B83" w:rsidRPr="00F04130">
        <w:rPr>
          <w:rFonts w:ascii="Palatino Linotype" w:hAnsi="Palatino Linotype"/>
          <w:color w:val="000000" w:themeColor="text1"/>
          <w:sz w:val="22"/>
          <w:szCs w:val="22"/>
        </w:rPr>
        <w:t>:</w:t>
      </w:r>
    </w:p>
    <w:p w14:paraId="794AB4E9" w14:textId="77777777" w:rsidR="00C35B83" w:rsidRPr="00F04130" w:rsidRDefault="00C35B83" w:rsidP="00A86E28">
      <w:pPr>
        <w:tabs>
          <w:tab w:val="left" w:pos="709"/>
        </w:tabs>
        <w:spacing w:beforeAutospacing="1" w:afterAutospacing="1" w:line="360" w:lineRule="auto"/>
        <w:ind w:left="709" w:right="1106"/>
        <w:contextualSpacing/>
        <w:jc w:val="both"/>
        <w:rPr>
          <w:rFonts w:ascii="Palatino Linotype" w:eastAsia="MS Mincho" w:hAnsi="Palatino Linotype" w:cs="Arial"/>
          <w:i/>
          <w:iCs/>
          <w:color w:val="000000" w:themeColor="text1"/>
          <w:sz w:val="22"/>
          <w:szCs w:val="22"/>
          <w:lang w:val="es-ES_tradnl"/>
        </w:rPr>
      </w:pPr>
      <w:r w:rsidRPr="00F04130">
        <w:rPr>
          <w:rFonts w:ascii="Palatino Linotype" w:eastAsia="MS Mincho" w:hAnsi="Palatino Linotype" w:cs="Arial"/>
          <w:i/>
          <w:iCs/>
          <w:color w:val="000000" w:themeColor="text1"/>
          <w:sz w:val="22"/>
          <w:szCs w:val="22"/>
          <w:lang w:val="es-ES_tradnl"/>
        </w:rPr>
        <w:t>…”Al respecto, me permito hacer de su conocimiento que lo anterior se adecua a un trámite que se encuentra previamente establecido, el cual se denomina "Copias Certificadas Antecedentes Registrales", mismo que tiene su fundamento en el artículo 77 inciso A) fracción V de la Ley Registral para el Estado de México, a través del cual se obtienen copias certificadas de los documentos y constancias relacionadas con algún asiento registral y que se</w:t>
      </w:r>
      <w:r w:rsidR="00A86E28" w:rsidRPr="00F04130">
        <w:rPr>
          <w:rFonts w:ascii="Palatino Linotype" w:eastAsia="MS Mincho" w:hAnsi="Palatino Linotype" w:cs="Arial"/>
          <w:i/>
          <w:iCs/>
          <w:color w:val="000000" w:themeColor="text1"/>
          <w:sz w:val="22"/>
          <w:szCs w:val="22"/>
          <w:lang w:val="es-ES_tradnl"/>
        </w:rPr>
        <w:t xml:space="preserve"> </w:t>
      </w:r>
      <w:r w:rsidRPr="00F04130">
        <w:rPr>
          <w:rFonts w:ascii="Palatino Linotype" w:eastAsia="MS Mincho" w:hAnsi="Palatino Linotype" w:cs="Arial"/>
          <w:i/>
          <w:iCs/>
          <w:color w:val="000000" w:themeColor="text1"/>
          <w:sz w:val="22"/>
          <w:szCs w:val="22"/>
          <w:lang w:val="es-ES_tradnl"/>
        </w:rPr>
        <w:t>conserven en el apéndice.</w:t>
      </w:r>
    </w:p>
    <w:p w14:paraId="420B4A0D" w14:textId="77777777" w:rsidR="00C35B83" w:rsidRPr="00F04130" w:rsidRDefault="00C35B83" w:rsidP="00C35B83">
      <w:pPr>
        <w:tabs>
          <w:tab w:val="left" w:pos="709"/>
        </w:tabs>
        <w:spacing w:beforeAutospacing="1" w:afterAutospacing="1" w:line="360" w:lineRule="auto"/>
        <w:ind w:left="709" w:right="1106"/>
        <w:contextualSpacing/>
        <w:jc w:val="both"/>
        <w:rPr>
          <w:rFonts w:ascii="Palatino Linotype" w:eastAsia="MS Mincho" w:hAnsi="Palatino Linotype" w:cs="Arial"/>
          <w:i/>
          <w:iCs/>
          <w:color w:val="000000" w:themeColor="text1"/>
          <w:sz w:val="22"/>
          <w:szCs w:val="22"/>
          <w:lang w:val="es-ES_tradnl"/>
        </w:rPr>
      </w:pPr>
      <w:r w:rsidRPr="00F04130">
        <w:rPr>
          <w:rFonts w:ascii="Palatino Linotype" w:eastAsia="MS Mincho" w:hAnsi="Palatino Linotype" w:cs="Arial"/>
          <w:i/>
          <w:iCs/>
          <w:color w:val="000000" w:themeColor="text1"/>
          <w:sz w:val="22"/>
          <w:szCs w:val="22"/>
          <w:lang w:val="es-ES_tradnl"/>
        </w:rPr>
        <w:t>Cabe hacer mención que el trámite de referencia se realiza de forma presencial, por ello es necesario acudir a las instalaciones de la Oficina Registral de Naucalpan, la cual se ubica en Paseo de los Mexicas número 63, Centro de Servicios Administrativos "Ignacio Allende", colonia Santa Cruz Acatlán, C.P. 53150, Naucalpan, Estado de México, en un horario de atención de 09:00 a 15:00 horas de lunes a viernes.</w:t>
      </w:r>
    </w:p>
    <w:p w14:paraId="4624B4DB" w14:textId="77777777" w:rsidR="00C35B83" w:rsidRPr="00F04130" w:rsidRDefault="00C35B83" w:rsidP="00C35B83">
      <w:pPr>
        <w:tabs>
          <w:tab w:val="left" w:pos="709"/>
        </w:tabs>
        <w:spacing w:beforeAutospacing="1" w:afterAutospacing="1" w:line="360" w:lineRule="auto"/>
        <w:ind w:left="709" w:right="1106"/>
        <w:contextualSpacing/>
        <w:jc w:val="both"/>
        <w:rPr>
          <w:rFonts w:ascii="Palatino Linotype" w:eastAsia="MS Mincho" w:hAnsi="Palatino Linotype" w:cs="Arial"/>
          <w:i/>
          <w:iCs/>
          <w:color w:val="000000" w:themeColor="text1"/>
          <w:sz w:val="22"/>
          <w:szCs w:val="22"/>
          <w:lang w:val="es-ES_tradnl"/>
        </w:rPr>
      </w:pPr>
      <w:r w:rsidRPr="00F04130">
        <w:rPr>
          <w:rFonts w:ascii="Palatino Linotype" w:eastAsia="MS Mincho" w:hAnsi="Palatino Linotype" w:cs="Arial"/>
          <w:i/>
          <w:iCs/>
          <w:color w:val="000000" w:themeColor="text1"/>
          <w:sz w:val="22"/>
          <w:szCs w:val="22"/>
          <w:lang w:val="es-ES_tradnl"/>
        </w:rPr>
        <w:t>Una vez que el interesado se encuentre situado en las instalaciones, deberá contar con la solicitud debidamente requisitada, misma que se encuentra a su entera disposición en la Oficina Registral o bien a través de la siguiente liga: http://ifrem.edomex.gob.mx/descarga_formatos, la cual contiene los requisitos que establece el artículo 117 del Reglamento de la Ley Registral del Estado de México…</w:t>
      </w:r>
      <w:r w:rsidR="00A86E28" w:rsidRPr="00F04130">
        <w:rPr>
          <w:rFonts w:ascii="Palatino Linotype" w:eastAsia="MS Mincho" w:hAnsi="Palatino Linotype" w:cs="Arial"/>
          <w:i/>
          <w:iCs/>
          <w:color w:val="000000" w:themeColor="text1"/>
          <w:sz w:val="22"/>
          <w:szCs w:val="22"/>
          <w:lang w:val="es-ES_tradnl"/>
        </w:rPr>
        <w:t>” (sic)</w:t>
      </w:r>
    </w:p>
    <w:p w14:paraId="093B1120" w14:textId="77777777" w:rsidR="00C35B83" w:rsidRPr="00F04130" w:rsidRDefault="00C35B83" w:rsidP="009B61E8">
      <w:pPr>
        <w:rPr>
          <w:rFonts w:ascii="Palatino Linotype" w:eastAsia="MS Mincho" w:hAnsi="Palatino Linotype" w:cs="Arial"/>
          <w:iCs/>
          <w:color w:val="000000" w:themeColor="text1"/>
          <w:sz w:val="22"/>
          <w:szCs w:val="22"/>
          <w:lang w:val="es-ES_tradnl"/>
        </w:rPr>
      </w:pPr>
    </w:p>
    <w:p w14:paraId="3A0CAAC1" w14:textId="77777777" w:rsidR="00C35B83" w:rsidRPr="00F04130" w:rsidRDefault="00C35B83" w:rsidP="00C35B83">
      <w:pPr>
        <w:tabs>
          <w:tab w:val="left" w:pos="0"/>
        </w:tabs>
        <w:spacing w:beforeAutospacing="1" w:afterAutospacing="1" w:line="360" w:lineRule="auto"/>
        <w:contextualSpacing/>
        <w:jc w:val="both"/>
        <w:rPr>
          <w:rFonts w:ascii="Palatino Linotype" w:eastAsia="MS Mincho" w:hAnsi="Palatino Linotype" w:cs="Arial"/>
          <w:iCs/>
          <w:color w:val="000000" w:themeColor="text1"/>
          <w:sz w:val="22"/>
          <w:szCs w:val="22"/>
          <w:lang w:val="es-ES_tradnl"/>
        </w:rPr>
      </w:pPr>
    </w:p>
    <w:p w14:paraId="12FF7573" w14:textId="77777777" w:rsidR="000122E5" w:rsidRPr="00F04130" w:rsidRDefault="000122E5">
      <w:pPr>
        <w:jc w:val="both"/>
        <w:rPr>
          <w:rFonts w:ascii="Palatino Linotype" w:hAnsi="Palatino Linotype"/>
          <w:color w:val="000000" w:themeColor="text1"/>
          <w:sz w:val="22"/>
          <w:szCs w:val="22"/>
          <w:lang w:val="es-ES_tradnl"/>
        </w:rPr>
      </w:pPr>
    </w:p>
    <w:p w14:paraId="6D496D41" w14:textId="77777777" w:rsidR="009B61E8" w:rsidRPr="00F04130" w:rsidRDefault="009B61E8">
      <w:pPr>
        <w:numPr>
          <w:ilvl w:val="0"/>
          <w:numId w:val="1"/>
        </w:numPr>
        <w:tabs>
          <w:tab w:val="left" w:pos="426"/>
        </w:tabs>
        <w:spacing w:beforeAutospacing="1" w:afterAutospacing="1" w:line="360" w:lineRule="auto"/>
        <w:ind w:left="0" w:firstLine="0"/>
        <w:contextualSpacing/>
        <w:jc w:val="both"/>
        <w:rPr>
          <w:rFonts w:ascii="Palatino Linotype" w:eastAsia="MS Mincho" w:hAnsi="Palatino Linotype" w:cs="Arial"/>
          <w:color w:val="000000"/>
          <w:lang w:val="es-ES_tradnl"/>
        </w:rPr>
      </w:pPr>
      <w:r w:rsidRPr="00F04130">
        <w:rPr>
          <w:rFonts w:ascii="Palatino Linotype" w:eastAsia="MS Mincho" w:hAnsi="Palatino Linotype" w:cs="Arial"/>
          <w:color w:val="000000"/>
          <w:lang w:val="es-ES_tradnl"/>
        </w:rPr>
        <w:t xml:space="preserve">El dieciocho (18) de julio de dos mil veinticuatro, se tuvo por concluida la solicitud. </w:t>
      </w:r>
    </w:p>
    <w:p w14:paraId="34F14476" w14:textId="77777777" w:rsidR="000122E5" w:rsidRPr="00F04130" w:rsidRDefault="00DA5F44">
      <w:pPr>
        <w:numPr>
          <w:ilvl w:val="0"/>
          <w:numId w:val="1"/>
        </w:numPr>
        <w:tabs>
          <w:tab w:val="left" w:pos="426"/>
        </w:tabs>
        <w:spacing w:beforeAutospacing="1" w:afterAutospacing="1" w:line="360" w:lineRule="auto"/>
        <w:ind w:left="0" w:firstLine="0"/>
        <w:contextualSpacing/>
        <w:jc w:val="both"/>
        <w:rPr>
          <w:rFonts w:ascii="Palatino Linotype" w:eastAsia="MS Mincho" w:hAnsi="Palatino Linotype" w:cs="Arial"/>
          <w:color w:val="000000"/>
          <w:lang w:val="es-ES_tradnl"/>
        </w:rPr>
      </w:pPr>
      <w:r w:rsidRPr="00F04130">
        <w:rPr>
          <w:rFonts w:ascii="Palatino Linotype" w:eastAsia="MS Mincho" w:hAnsi="Palatino Linotype" w:cs="Arial"/>
          <w:color w:val="000000"/>
          <w:lang w:val="es-ES_tradnl" w:eastAsia="es-ES"/>
        </w:rPr>
        <w:t xml:space="preserve">El catorce (14) de agosto de dos mil veinticuatro, se interpuso el recurso de revisión, en contra de la respuesta, señalando como: </w:t>
      </w:r>
    </w:p>
    <w:p w14:paraId="26DC216F" w14:textId="77777777" w:rsidR="000122E5" w:rsidRPr="00F04130" w:rsidRDefault="000122E5">
      <w:pPr>
        <w:tabs>
          <w:tab w:val="left" w:pos="426"/>
        </w:tabs>
        <w:spacing w:beforeAutospacing="1" w:afterAutospacing="1" w:line="360" w:lineRule="auto"/>
        <w:contextualSpacing/>
        <w:jc w:val="both"/>
        <w:rPr>
          <w:rFonts w:ascii="Palatino Linotype" w:eastAsia="MS Mincho" w:hAnsi="Palatino Linotype" w:cs="Arial"/>
          <w:color w:val="000000"/>
          <w:lang w:val="es-ES_tradnl"/>
        </w:rPr>
      </w:pPr>
    </w:p>
    <w:p w14:paraId="65FB6C80" w14:textId="64272BB2" w:rsidR="000122E5" w:rsidRPr="00F04130" w:rsidRDefault="00DA5F44" w:rsidP="00A86E28">
      <w:pPr>
        <w:ind w:left="567" w:right="539"/>
        <w:jc w:val="both"/>
        <w:rPr>
          <w:rFonts w:ascii="Palatino Linotype" w:eastAsia="MS Gothic" w:hAnsi="Palatino Linotype"/>
          <w:b/>
          <w:sz w:val="22"/>
          <w:szCs w:val="22"/>
          <w:lang w:val="es-ES"/>
        </w:rPr>
      </w:pPr>
      <w:r w:rsidRPr="00F04130">
        <w:rPr>
          <w:rFonts w:ascii="Palatino Linotype" w:eastAsia="MS Gothic" w:hAnsi="Palatino Linotype"/>
          <w:b/>
          <w:sz w:val="22"/>
          <w:szCs w:val="22"/>
          <w:lang w:val="es-ES"/>
        </w:rPr>
        <w:t xml:space="preserve">Acto </w:t>
      </w:r>
      <w:proofErr w:type="gramStart"/>
      <w:r w:rsidRPr="00F04130">
        <w:rPr>
          <w:rFonts w:ascii="Palatino Linotype" w:eastAsia="MS Gothic" w:hAnsi="Palatino Linotype"/>
          <w:b/>
          <w:sz w:val="22"/>
          <w:szCs w:val="22"/>
          <w:lang w:val="es-ES"/>
        </w:rPr>
        <w:t>impugnado:</w:t>
      </w:r>
      <w:r w:rsidRPr="00F04130">
        <w:rPr>
          <w:rFonts w:ascii="Palatino Linotype" w:eastAsia="Calibri" w:hAnsi="Palatino Linotype" w:cs="Arial"/>
          <w:i/>
          <w:lang w:val="es-ES" w:eastAsia="es-ES"/>
        </w:rPr>
        <w:t>“</w:t>
      </w:r>
      <w:proofErr w:type="spellStart"/>
      <w:proofErr w:type="gramEnd"/>
      <w:r w:rsidRPr="00F04130">
        <w:rPr>
          <w:rFonts w:ascii="Palatino Linotype" w:eastAsia="Calibri" w:hAnsi="Palatino Linotype" w:cs="Arial"/>
          <w:i/>
          <w:iCs/>
          <w:color w:val="000000"/>
          <w:lang w:val="es-ES" w:eastAsia="es-ES"/>
        </w:rPr>
        <w:t>por que</w:t>
      </w:r>
      <w:proofErr w:type="spellEnd"/>
      <w:r w:rsidRPr="00F04130">
        <w:rPr>
          <w:rFonts w:ascii="Palatino Linotype" w:eastAsia="Calibri" w:hAnsi="Palatino Linotype" w:cs="Arial"/>
          <w:i/>
          <w:iCs/>
          <w:color w:val="000000"/>
          <w:lang w:val="es-ES" w:eastAsia="es-ES"/>
        </w:rPr>
        <w:t xml:space="preserve"> page las copias certificadas del </w:t>
      </w:r>
      <w:proofErr w:type="spellStart"/>
      <w:r w:rsidRPr="00F04130">
        <w:rPr>
          <w:rFonts w:ascii="Palatino Linotype" w:eastAsia="Calibri" w:hAnsi="Palatino Linotype" w:cs="Arial"/>
          <w:i/>
          <w:iCs/>
          <w:color w:val="000000"/>
          <w:lang w:val="es-ES" w:eastAsia="es-ES"/>
        </w:rPr>
        <w:t>tramite</w:t>
      </w:r>
      <w:proofErr w:type="spellEnd"/>
      <w:r w:rsidRPr="00F04130">
        <w:rPr>
          <w:rFonts w:ascii="Palatino Linotype" w:eastAsia="Calibri" w:hAnsi="Palatino Linotype" w:cs="Arial"/>
          <w:i/>
          <w:iCs/>
          <w:color w:val="000000"/>
          <w:lang w:val="es-ES" w:eastAsia="es-ES"/>
        </w:rPr>
        <w:t xml:space="preserve"> 636274 el día 14 de agosto de la presente anualidad, y yo solicito con fundamento en el </w:t>
      </w:r>
      <w:proofErr w:type="spellStart"/>
      <w:r w:rsidRPr="00F04130">
        <w:rPr>
          <w:rFonts w:ascii="Palatino Linotype" w:eastAsia="Calibri" w:hAnsi="Palatino Linotype" w:cs="Arial"/>
          <w:i/>
          <w:iCs/>
          <w:color w:val="000000"/>
          <w:lang w:val="es-ES" w:eastAsia="es-ES"/>
        </w:rPr>
        <w:t>articulo</w:t>
      </w:r>
      <w:proofErr w:type="spellEnd"/>
      <w:r w:rsidRPr="00F04130">
        <w:rPr>
          <w:rFonts w:ascii="Palatino Linotype" w:eastAsia="Calibri" w:hAnsi="Palatino Linotype" w:cs="Arial"/>
          <w:i/>
          <w:iCs/>
          <w:color w:val="000000"/>
          <w:lang w:val="es-ES" w:eastAsia="es-ES"/>
        </w:rPr>
        <w:t xml:space="preserve"> 6 y 16 de la constitución política y la ley de protección de datos personales se haga la corrección de los datos personales consistente en el nombre de la C. </w:t>
      </w:r>
      <w:r w:rsidR="00451B45">
        <w:rPr>
          <w:rFonts w:ascii="Palatino Linotype" w:eastAsia="Calibri" w:hAnsi="Palatino Linotype" w:cs="Arial"/>
          <w:i/>
          <w:iCs/>
          <w:color w:val="000000"/>
          <w:lang w:val="es-ES" w:eastAsia="es-ES"/>
        </w:rPr>
        <w:t xml:space="preserve">XXX </w:t>
      </w:r>
      <w:proofErr w:type="spellStart"/>
      <w:r w:rsidR="00451B45">
        <w:rPr>
          <w:rFonts w:ascii="Palatino Linotype" w:eastAsia="Calibri" w:hAnsi="Palatino Linotype" w:cs="Arial"/>
          <w:i/>
          <w:iCs/>
          <w:color w:val="000000"/>
          <w:lang w:val="es-ES" w:eastAsia="es-ES"/>
        </w:rPr>
        <w:t>XXX</w:t>
      </w:r>
      <w:proofErr w:type="spellEnd"/>
      <w:r w:rsidR="00451B45">
        <w:rPr>
          <w:rFonts w:ascii="Palatino Linotype" w:eastAsia="Calibri" w:hAnsi="Palatino Linotype" w:cs="Arial"/>
          <w:i/>
          <w:iCs/>
          <w:color w:val="000000"/>
          <w:lang w:val="es-ES" w:eastAsia="es-ES"/>
        </w:rPr>
        <w:t xml:space="preserve"> </w:t>
      </w:r>
      <w:proofErr w:type="spellStart"/>
      <w:r w:rsidR="00451B45">
        <w:rPr>
          <w:rFonts w:ascii="Palatino Linotype" w:eastAsia="Calibri" w:hAnsi="Palatino Linotype" w:cs="Arial"/>
          <w:i/>
          <w:iCs/>
          <w:color w:val="000000"/>
          <w:lang w:val="es-ES" w:eastAsia="es-ES"/>
        </w:rPr>
        <w:t>XXX</w:t>
      </w:r>
      <w:proofErr w:type="spellEnd"/>
      <w:r w:rsidRPr="00F04130">
        <w:rPr>
          <w:rFonts w:ascii="Palatino Linotype" w:eastAsia="Calibri" w:hAnsi="Palatino Linotype" w:cs="Arial"/>
          <w:i/>
          <w:iCs/>
          <w:color w:val="000000"/>
          <w:lang w:val="es-ES" w:eastAsia="es-ES"/>
        </w:rPr>
        <w:t xml:space="preserve"> ya que en los documentos de escrituras públicas aparece </w:t>
      </w:r>
      <w:r w:rsidR="00451B45">
        <w:rPr>
          <w:rFonts w:ascii="Palatino Linotype" w:eastAsia="Calibri" w:hAnsi="Palatino Linotype" w:cs="Arial"/>
          <w:i/>
          <w:iCs/>
          <w:color w:val="000000"/>
          <w:lang w:val="es-ES" w:eastAsia="es-ES"/>
        </w:rPr>
        <w:t xml:space="preserve">XXX </w:t>
      </w:r>
      <w:proofErr w:type="spellStart"/>
      <w:r w:rsidR="00451B45">
        <w:rPr>
          <w:rFonts w:ascii="Palatino Linotype" w:eastAsia="Calibri" w:hAnsi="Palatino Linotype" w:cs="Arial"/>
          <w:i/>
          <w:iCs/>
          <w:color w:val="000000"/>
          <w:lang w:val="es-ES" w:eastAsia="es-ES"/>
        </w:rPr>
        <w:t>XXX</w:t>
      </w:r>
      <w:proofErr w:type="spellEnd"/>
      <w:r w:rsidR="00451B45">
        <w:rPr>
          <w:rFonts w:ascii="Palatino Linotype" w:eastAsia="Calibri" w:hAnsi="Palatino Linotype" w:cs="Arial"/>
          <w:i/>
          <w:iCs/>
          <w:color w:val="000000"/>
          <w:lang w:val="es-ES" w:eastAsia="es-ES"/>
        </w:rPr>
        <w:t xml:space="preserve"> </w:t>
      </w:r>
      <w:proofErr w:type="spellStart"/>
      <w:r w:rsidR="00451B45">
        <w:rPr>
          <w:rFonts w:ascii="Palatino Linotype" w:eastAsia="Calibri" w:hAnsi="Palatino Linotype" w:cs="Arial"/>
          <w:i/>
          <w:iCs/>
          <w:color w:val="000000"/>
          <w:lang w:val="es-ES" w:eastAsia="es-ES"/>
        </w:rPr>
        <w:t>XXX</w:t>
      </w:r>
      <w:proofErr w:type="spellEnd"/>
      <w:r w:rsidRPr="00F04130">
        <w:rPr>
          <w:rFonts w:ascii="Palatino Linotype" w:eastAsia="Calibri" w:hAnsi="Palatino Linotype" w:cs="Arial"/>
          <w:i/>
          <w:iCs/>
          <w:color w:val="000000"/>
          <w:lang w:val="es-ES" w:eastAsia="es-ES"/>
        </w:rPr>
        <w:t xml:space="preserve"> </w:t>
      </w:r>
      <w:r w:rsidRPr="00F04130">
        <w:rPr>
          <w:rFonts w:ascii="Palatino Linotype" w:hAnsi="Palatino Linotype"/>
          <w:i/>
          <w:iCs/>
          <w:color w:val="000000"/>
        </w:rPr>
        <w:t>” (Sic)</w:t>
      </w:r>
    </w:p>
    <w:p w14:paraId="797E47C8" w14:textId="77777777" w:rsidR="000122E5" w:rsidRPr="00F04130" w:rsidRDefault="000122E5">
      <w:pPr>
        <w:ind w:left="567" w:right="539"/>
        <w:jc w:val="both"/>
        <w:rPr>
          <w:rFonts w:ascii="Palatino Linotype" w:eastAsia="Calibri" w:hAnsi="Palatino Linotype" w:cs="Arial"/>
          <w:i/>
          <w:sz w:val="22"/>
          <w:szCs w:val="22"/>
          <w:lang w:val="es-ES" w:eastAsia="es-ES"/>
        </w:rPr>
      </w:pPr>
    </w:p>
    <w:p w14:paraId="7C94C953" w14:textId="417FDF78" w:rsidR="000122E5" w:rsidRPr="00F04130" w:rsidRDefault="00DA5F44">
      <w:pPr>
        <w:ind w:left="567" w:right="539"/>
        <w:jc w:val="both"/>
        <w:rPr>
          <w:rFonts w:ascii="Palatino Linotype" w:eastAsia="Calibri" w:hAnsi="Palatino Linotype" w:cs="Arial"/>
          <w:b/>
          <w:bCs/>
          <w:iCs/>
          <w:sz w:val="22"/>
          <w:szCs w:val="22"/>
          <w:lang w:val="es-ES" w:eastAsia="es-ES"/>
        </w:rPr>
      </w:pPr>
      <w:r w:rsidRPr="00F04130">
        <w:rPr>
          <w:rFonts w:ascii="Palatino Linotype" w:eastAsia="Calibri" w:hAnsi="Palatino Linotype" w:cs="Arial"/>
          <w:b/>
          <w:bCs/>
          <w:iCs/>
          <w:sz w:val="22"/>
          <w:szCs w:val="22"/>
          <w:lang w:val="es-ES" w:eastAsia="es-ES"/>
        </w:rPr>
        <w:t>Razones o motivos de inconformidad:</w:t>
      </w:r>
      <w:r w:rsidR="00A86E28" w:rsidRPr="00F04130">
        <w:rPr>
          <w:rFonts w:ascii="Palatino Linotype" w:eastAsia="Calibri" w:hAnsi="Palatino Linotype" w:cs="Arial"/>
          <w:b/>
          <w:bCs/>
          <w:iCs/>
          <w:sz w:val="22"/>
          <w:szCs w:val="22"/>
          <w:lang w:val="es-ES" w:eastAsia="es-ES"/>
        </w:rPr>
        <w:t xml:space="preserve"> </w:t>
      </w:r>
      <w:proofErr w:type="spellStart"/>
      <w:r w:rsidR="00A86E28" w:rsidRPr="00F04130">
        <w:rPr>
          <w:rFonts w:ascii="Palatino Linotype" w:hAnsi="Palatino Linotype"/>
          <w:i/>
          <w:color w:val="000000"/>
          <w:sz w:val="22"/>
          <w:szCs w:val="22"/>
        </w:rPr>
        <w:t>por que</w:t>
      </w:r>
      <w:proofErr w:type="spellEnd"/>
      <w:r w:rsidR="00A86E28" w:rsidRPr="00F04130">
        <w:rPr>
          <w:rFonts w:ascii="Palatino Linotype" w:hAnsi="Palatino Linotype"/>
          <w:i/>
          <w:color w:val="000000"/>
          <w:sz w:val="22"/>
          <w:szCs w:val="22"/>
        </w:rPr>
        <w:t xml:space="preserve"> page las copias certificadas del </w:t>
      </w:r>
      <w:proofErr w:type="spellStart"/>
      <w:r w:rsidR="00A86E28" w:rsidRPr="00F04130">
        <w:rPr>
          <w:rFonts w:ascii="Palatino Linotype" w:hAnsi="Palatino Linotype"/>
          <w:i/>
          <w:color w:val="000000"/>
          <w:sz w:val="22"/>
          <w:szCs w:val="22"/>
        </w:rPr>
        <w:t>tramite</w:t>
      </w:r>
      <w:proofErr w:type="spellEnd"/>
      <w:r w:rsidR="00A86E28" w:rsidRPr="00F04130">
        <w:rPr>
          <w:rFonts w:ascii="Palatino Linotype" w:hAnsi="Palatino Linotype"/>
          <w:i/>
          <w:color w:val="000000"/>
          <w:sz w:val="22"/>
          <w:szCs w:val="22"/>
        </w:rPr>
        <w:t xml:space="preserve"> 636274 el día 14 de agosto de la presente anualidad, y yo solicito con fundamento en el </w:t>
      </w:r>
      <w:proofErr w:type="spellStart"/>
      <w:r w:rsidR="00A86E28" w:rsidRPr="00F04130">
        <w:rPr>
          <w:rFonts w:ascii="Palatino Linotype" w:hAnsi="Palatino Linotype"/>
          <w:i/>
          <w:color w:val="000000"/>
          <w:sz w:val="22"/>
          <w:szCs w:val="22"/>
        </w:rPr>
        <w:t>articulo</w:t>
      </w:r>
      <w:proofErr w:type="spellEnd"/>
      <w:r w:rsidR="00A86E28" w:rsidRPr="00F04130">
        <w:rPr>
          <w:rFonts w:ascii="Palatino Linotype" w:hAnsi="Palatino Linotype"/>
          <w:i/>
          <w:color w:val="000000"/>
          <w:sz w:val="22"/>
          <w:szCs w:val="22"/>
        </w:rPr>
        <w:t xml:space="preserve"> 6 y 16 de la constitución política y la ley de protección de datos personales se haga la corrección de los datos personales consistente en el nombre de la C. </w:t>
      </w:r>
      <w:r w:rsidR="00451B45">
        <w:rPr>
          <w:rFonts w:ascii="Palatino Linotype" w:hAnsi="Palatino Linotype"/>
          <w:i/>
          <w:color w:val="000000"/>
          <w:sz w:val="22"/>
          <w:szCs w:val="22"/>
        </w:rPr>
        <w:t xml:space="preserve">XXX </w:t>
      </w:r>
      <w:proofErr w:type="spellStart"/>
      <w:r w:rsidR="00451B45">
        <w:rPr>
          <w:rFonts w:ascii="Palatino Linotype" w:hAnsi="Palatino Linotype"/>
          <w:i/>
          <w:color w:val="000000"/>
          <w:sz w:val="22"/>
          <w:szCs w:val="22"/>
        </w:rPr>
        <w:t>XXX</w:t>
      </w:r>
      <w:proofErr w:type="spellEnd"/>
      <w:r w:rsidR="00451B45">
        <w:rPr>
          <w:rFonts w:ascii="Palatino Linotype" w:hAnsi="Palatino Linotype"/>
          <w:i/>
          <w:color w:val="000000"/>
          <w:sz w:val="22"/>
          <w:szCs w:val="22"/>
        </w:rPr>
        <w:t xml:space="preserve"> </w:t>
      </w:r>
      <w:proofErr w:type="spellStart"/>
      <w:r w:rsidR="00451B45">
        <w:rPr>
          <w:rFonts w:ascii="Palatino Linotype" w:hAnsi="Palatino Linotype"/>
          <w:i/>
          <w:color w:val="000000"/>
          <w:sz w:val="22"/>
          <w:szCs w:val="22"/>
        </w:rPr>
        <w:t>XXX</w:t>
      </w:r>
      <w:proofErr w:type="spellEnd"/>
      <w:r w:rsidR="00A86E28" w:rsidRPr="00F04130">
        <w:rPr>
          <w:rFonts w:ascii="Palatino Linotype" w:hAnsi="Palatino Linotype"/>
          <w:i/>
          <w:color w:val="000000"/>
          <w:sz w:val="22"/>
          <w:szCs w:val="22"/>
        </w:rPr>
        <w:t xml:space="preserve"> ya que en los documentos de escrituras públicas aparece </w:t>
      </w:r>
      <w:r w:rsidR="00451B45">
        <w:rPr>
          <w:rFonts w:ascii="Palatino Linotype" w:hAnsi="Palatino Linotype"/>
          <w:i/>
          <w:color w:val="000000"/>
          <w:sz w:val="22"/>
          <w:szCs w:val="22"/>
        </w:rPr>
        <w:t xml:space="preserve">XXX </w:t>
      </w:r>
      <w:proofErr w:type="spellStart"/>
      <w:r w:rsidR="00451B45">
        <w:rPr>
          <w:rFonts w:ascii="Palatino Linotype" w:hAnsi="Palatino Linotype"/>
          <w:i/>
          <w:color w:val="000000"/>
          <w:sz w:val="22"/>
          <w:szCs w:val="22"/>
        </w:rPr>
        <w:t>XXX</w:t>
      </w:r>
      <w:proofErr w:type="spellEnd"/>
      <w:r w:rsidR="00451B45">
        <w:rPr>
          <w:rFonts w:ascii="Palatino Linotype" w:hAnsi="Palatino Linotype"/>
          <w:i/>
          <w:color w:val="000000"/>
          <w:sz w:val="22"/>
          <w:szCs w:val="22"/>
        </w:rPr>
        <w:t xml:space="preserve"> </w:t>
      </w:r>
      <w:proofErr w:type="spellStart"/>
      <w:r w:rsidR="00451B45">
        <w:rPr>
          <w:rFonts w:ascii="Palatino Linotype" w:hAnsi="Palatino Linotype"/>
          <w:i/>
          <w:color w:val="000000"/>
          <w:sz w:val="22"/>
          <w:szCs w:val="22"/>
        </w:rPr>
        <w:t>XXX</w:t>
      </w:r>
      <w:proofErr w:type="spellEnd"/>
    </w:p>
    <w:p w14:paraId="72FC7726" w14:textId="77777777" w:rsidR="000122E5" w:rsidRPr="00F04130" w:rsidRDefault="000122E5">
      <w:pPr>
        <w:ind w:right="539"/>
        <w:jc w:val="both"/>
        <w:rPr>
          <w:rFonts w:ascii="Palatino Linotype" w:eastAsia="Calibri" w:hAnsi="Palatino Linotype" w:cs="Arial"/>
          <w:bCs/>
          <w:iCs/>
          <w:sz w:val="22"/>
          <w:szCs w:val="22"/>
          <w:lang w:val="es-ES" w:eastAsia="es-ES"/>
        </w:rPr>
      </w:pPr>
    </w:p>
    <w:p w14:paraId="5A73F2B3" w14:textId="08A5B18C" w:rsidR="00A86E28" w:rsidRPr="00F04130" w:rsidRDefault="00A86E28" w:rsidP="00A86E28">
      <w:pPr>
        <w:ind w:right="539"/>
        <w:jc w:val="both"/>
        <w:rPr>
          <w:rStyle w:val="selectable-text"/>
          <w:rFonts w:ascii="Palatino Linotype" w:hAnsi="Palatino Linotype"/>
        </w:rPr>
      </w:pPr>
      <w:r w:rsidRPr="00F04130">
        <w:rPr>
          <w:rFonts w:ascii="Palatino Linotype" w:eastAsia="Calibri" w:hAnsi="Palatino Linotype" w:cs="Arial"/>
          <w:bCs/>
          <w:iCs/>
          <w:color w:val="000000" w:themeColor="text1"/>
          <w:lang w:val="es-ES" w:eastAsia="es-ES"/>
        </w:rPr>
        <w:t>Se adjuntaron los</w:t>
      </w:r>
      <w:r w:rsidR="00DA5F44" w:rsidRPr="00F04130">
        <w:rPr>
          <w:rFonts w:ascii="Palatino Linotype" w:eastAsia="Calibri" w:hAnsi="Palatino Linotype" w:cs="Arial"/>
          <w:bCs/>
          <w:iCs/>
          <w:color w:val="000000" w:themeColor="text1"/>
          <w:lang w:val="es-ES" w:eastAsia="es-ES"/>
        </w:rPr>
        <w:t xml:space="preserve"> archivo</w:t>
      </w:r>
      <w:r w:rsidRPr="00F04130">
        <w:rPr>
          <w:rFonts w:ascii="Palatino Linotype" w:eastAsia="Calibri" w:hAnsi="Palatino Linotype" w:cs="Arial"/>
          <w:bCs/>
          <w:iCs/>
          <w:color w:val="000000" w:themeColor="text1"/>
          <w:lang w:val="es-ES" w:eastAsia="es-ES"/>
        </w:rPr>
        <w:t>s</w:t>
      </w:r>
      <w:r w:rsidR="00DA5F44" w:rsidRPr="00F04130">
        <w:rPr>
          <w:rFonts w:ascii="Palatino Linotype" w:eastAsia="Calibri" w:hAnsi="Palatino Linotype" w:cs="Arial"/>
          <w:bCs/>
          <w:iCs/>
          <w:color w:val="000000" w:themeColor="text1"/>
          <w:lang w:val="es-ES" w:eastAsia="es-ES"/>
        </w:rPr>
        <w:t xml:space="preserve"> electrónico</w:t>
      </w:r>
      <w:r w:rsidRPr="00F04130">
        <w:rPr>
          <w:rFonts w:ascii="Palatino Linotype" w:eastAsia="Calibri" w:hAnsi="Palatino Linotype" w:cs="Arial"/>
          <w:bCs/>
          <w:iCs/>
          <w:color w:val="000000" w:themeColor="text1"/>
          <w:lang w:val="es-ES" w:eastAsia="es-ES"/>
        </w:rPr>
        <w:t>s</w:t>
      </w:r>
      <w:r w:rsidR="00DA5F44" w:rsidRPr="00F04130">
        <w:rPr>
          <w:rFonts w:ascii="Palatino Linotype" w:eastAsia="Calibri" w:hAnsi="Palatino Linotype" w:cs="Arial"/>
          <w:bCs/>
          <w:iCs/>
          <w:color w:val="000000" w:themeColor="text1"/>
          <w:lang w:val="es-ES" w:eastAsia="es-ES"/>
        </w:rPr>
        <w:t xml:space="preserve"> denominado</w:t>
      </w:r>
      <w:r w:rsidRPr="00F04130">
        <w:rPr>
          <w:rFonts w:ascii="Palatino Linotype" w:eastAsia="Calibri" w:hAnsi="Palatino Linotype" w:cs="Arial"/>
          <w:bCs/>
          <w:iCs/>
          <w:color w:val="000000" w:themeColor="text1"/>
          <w:lang w:val="es-ES" w:eastAsia="es-ES"/>
        </w:rPr>
        <w:t>s</w:t>
      </w:r>
      <w:r w:rsidR="00DA5F44" w:rsidRPr="00F04130">
        <w:rPr>
          <w:rFonts w:ascii="Palatino Linotype" w:eastAsia="Calibri" w:hAnsi="Palatino Linotype" w:cs="Arial"/>
          <w:bCs/>
          <w:iCs/>
          <w:color w:val="000000" w:themeColor="text1"/>
          <w:lang w:val="es-ES" w:eastAsia="es-ES"/>
        </w:rPr>
        <w:t xml:space="preserve"> </w:t>
      </w:r>
      <w:hyperlink r:id="rId7" w:tgtFrame="_blank">
        <w:r w:rsidRPr="00F04130">
          <w:rPr>
            <w:rStyle w:val="Hipervnculo"/>
            <w:rFonts w:ascii="Palatino Linotype" w:hAnsi="Palatino Linotype" w:cs="Arial"/>
            <w:b/>
            <w:bCs/>
            <w:color w:val="000000" w:themeColor="text1"/>
            <w:u w:val="none"/>
          </w:rPr>
          <w:t>BRWDCE994966BED_080965</w:t>
        </w:r>
      </w:hyperlink>
      <w:r w:rsidRPr="00F04130">
        <w:rPr>
          <w:rStyle w:val="Hipervnculo"/>
          <w:rFonts w:ascii="Palatino Linotype" w:hAnsi="Palatino Linotype" w:cs="Arial"/>
          <w:b/>
          <w:bCs/>
          <w:color w:val="000000" w:themeColor="text1"/>
          <w:u w:val="none"/>
        </w:rPr>
        <w:t xml:space="preserve">.pdf, </w:t>
      </w:r>
      <w:r w:rsidRPr="00F04130">
        <w:rPr>
          <w:rStyle w:val="selectable-text"/>
          <w:rFonts w:ascii="Palatino Linotype" w:hAnsi="Palatino Linotype"/>
        </w:rPr>
        <w:t>BRWDCE994966BED_080966.pdf</w:t>
      </w:r>
      <w:r w:rsidRPr="00F04130">
        <w:rPr>
          <w:rStyle w:val="Hipervnculo"/>
          <w:rFonts w:ascii="Palatino Linotype" w:hAnsi="Palatino Linotype" w:cs="Arial"/>
          <w:b/>
          <w:bCs/>
          <w:color w:val="000000" w:themeColor="text1"/>
          <w:u w:val="none"/>
        </w:rPr>
        <w:t xml:space="preserve">, </w:t>
      </w:r>
      <w:r w:rsidRPr="00F04130">
        <w:rPr>
          <w:rStyle w:val="selectable-text"/>
          <w:rFonts w:ascii="Palatino Linotype" w:hAnsi="Palatino Linotype"/>
        </w:rPr>
        <w:t xml:space="preserve">BRWDCE994966BED_080959.pdf, BRWDCE994966BED_080956.pdf, BRWDCE994966BED_080958.pdf, BRWDCE994966BED_080963.pdf, BRWDCE994966BED_080968.pdf, BRWDCE994966BED_080961.pdf, BRWDCE994966BED_080962.pdf, BRWDCE994966BED_080967.pdf, BRWDCE994966BED_080964.pdf, BRWDCE994966BED_080960.pdf, los cuales contienen, Carta de no antecedentes penales de la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Pr="00F04130">
        <w:rPr>
          <w:rStyle w:val="selectable-text"/>
          <w:rFonts w:ascii="Palatino Linotype" w:hAnsi="Palatino Linotype"/>
        </w:rPr>
        <w:t xml:space="preserve">, Recibo de Pago Predial a nombre de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Pr="00F04130">
        <w:rPr>
          <w:rStyle w:val="selectable-text"/>
          <w:rFonts w:ascii="Palatino Linotype" w:hAnsi="Palatino Linotype"/>
        </w:rPr>
        <w:t xml:space="preserve">, Acta de reconocimiento a nombre de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Pr="00F04130">
        <w:rPr>
          <w:rStyle w:val="selectable-text"/>
          <w:rFonts w:ascii="Palatino Linotype" w:hAnsi="Palatino Linotype"/>
        </w:rPr>
        <w:t xml:space="preserve">, </w:t>
      </w:r>
      <w:r w:rsidR="00CB5FB2" w:rsidRPr="00F04130">
        <w:rPr>
          <w:rStyle w:val="selectable-text"/>
          <w:rFonts w:ascii="Palatino Linotype" w:hAnsi="Palatino Linotype"/>
        </w:rPr>
        <w:t xml:space="preserve">Acta de Matrimonio del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y la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recibo de pago de terceros de fecha 14 de agosto de dos mil veinticuatro, acta de defunción de la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INE del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acta de nacimiento de la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línea de captura para pago en ventanilla por concepto de copias certificadas, acta de </w:t>
      </w:r>
      <w:r w:rsidR="00CB5FB2" w:rsidRPr="00F04130">
        <w:rPr>
          <w:rStyle w:val="selectable-text"/>
          <w:rFonts w:ascii="Palatino Linotype" w:hAnsi="Palatino Linotype"/>
        </w:rPr>
        <w:lastRenderedPageBreak/>
        <w:t xml:space="preserve">defunción de la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y formato de clave CURP del C.  </w:t>
      </w:r>
      <w:r w:rsidR="00451B45">
        <w:rPr>
          <w:rStyle w:val="selectable-text"/>
          <w:rFonts w:ascii="Palatino Linotype" w:hAnsi="Palatino Linotype"/>
        </w:rPr>
        <w:t xml:space="preserve">XXX </w:t>
      </w:r>
      <w:proofErr w:type="spellStart"/>
      <w:r w:rsidR="00451B45">
        <w:rPr>
          <w:rStyle w:val="selectable-text"/>
          <w:rFonts w:ascii="Palatino Linotype" w:hAnsi="Palatino Linotype"/>
        </w:rPr>
        <w:t>XXX</w:t>
      </w:r>
      <w:proofErr w:type="spellEnd"/>
      <w:r w:rsidR="00451B45">
        <w:rPr>
          <w:rStyle w:val="selectable-text"/>
          <w:rFonts w:ascii="Palatino Linotype" w:hAnsi="Palatino Linotype"/>
        </w:rPr>
        <w:t xml:space="preserve"> </w:t>
      </w:r>
      <w:proofErr w:type="spellStart"/>
      <w:r w:rsidR="00451B45">
        <w:rPr>
          <w:rStyle w:val="selectable-text"/>
          <w:rFonts w:ascii="Palatino Linotype" w:hAnsi="Palatino Linotype"/>
        </w:rPr>
        <w:t>XXX</w:t>
      </w:r>
      <w:proofErr w:type="spellEnd"/>
      <w:r w:rsidR="00CB5FB2" w:rsidRPr="00F04130">
        <w:rPr>
          <w:rStyle w:val="selectable-text"/>
          <w:rFonts w:ascii="Palatino Linotype" w:hAnsi="Palatino Linotype"/>
        </w:rPr>
        <w:t xml:space="preserve">. </w:t>
      </w:r>
      <w:r w:rsidRPr="00F04130">
        <w:rPr>
          <w:rStyle w:val="selectable-text"/>
          <w:rFonts w:ascii="Palatino Linotype" w:hAnsi="Palatino Linotype"/>
        </w:rPr>
        <w:t xml:space="preserve"> </w:t>
      </w:r>
    </w:p>
    <w:p w14:paraId="2D32ADA5" w14:textId="77777777" w:rsidR="009B61E8" w:rsidRPr="00F04130" w:rsidRDefault="009B61E8" w:rsidP="00A86E28">
      <w:pPr>
        <w:ind w:right="539"/>
        <w:jc w:val="both"/>
        <w:rPr>
          <w:rFonts w:ascii="Palatino Linotype" w:hAnsi="Palatino Linotype"/>
          <w:i/>
          <w:iCs/>
          <w:sz w:val="22"/>
          <w:szCs w:val="22"/>
          <w:lang w:val="es-ES"/>
        </w:rPr>
      </w:pPr>
    </w:p>
    <w:p w14:paraId="0C3C6D02" w14:textId="77777777" w:rsidR="000122E5" w:rsidRPr="00F04130" w:rsidRDefault="00DA5F44">
      <w:pPr>
        <w:numPr>
          <w:ilvl w:val="0"/>
          <w:numId w:val="1"/>
        </w:numPr>
        <w:spacing w:before="240" w:after="240" w:line="360" w:lineRule="auto"/>
        <w:ind w:left="0" w:firstLine="0"/>
        <w:contextualSpacing/>
        <w:jc w:val="both"/>
        <w:rPr>
          <w:rFonts w:ascii="Palatino Linotype" w:hAnsi="Palatino Linotype" w:cs="Arial"/>
          <w:i/>
          <w:lang w:val="es-ES_tradnl"/>
        </w:rPr>
      </w:pPr>
      <w:r w:rsidRPr="00F04130">
        <w:rPr>
          <w:rFonts w:ascii="Palatino Linotype" w:hAnsi="Palatino Linotype" w:cs="Arial"/>
          <w:lang w:val="es-ES" w:eastAsia="es-ES"/>
        </w:rPr>
        <w:t xml:space="preserve">Se registró el recurso de revisión bajo el número de expediente al rubro indicado, </w:t>
      </w:r>
      <w:r w:rsidRPr="00F04130">
        <w:rPr>
          <w:rFonts w:ascii="Palatino Linotype" w:eastAsia="MS Mincho" w:hAnsi="Palatino Linotype" w:cs="Arial"/>
          <w:bCs/>
          <w:lang w:val="es-ES_tradnl" w:eastAsia="es-ES"/>
        </w:rPr>
        <w:t xml:space="preserve">con fundamento en lo dispuesto por el </w:t>
      </w:r>
      <w:r w:rsidRPr="00F04130">
        <w:rPr>
          <w:rFonts w:ascii="Palatino Linotype" w:eastAsia="Calibri" w:hAnsi="Palatino Linotype" w:cs="Arial"/>
          <w:lang w:val="es-ES" w:eastAsia="es-ES"/>
        </w:rPr>
        <w:t xml:space="preserve">artículo 185 fracción I de la </w:t>
      </w:r>
      <w:r w:rsidRPr="00F04130">
        <w:rPr>
          <w:rFonts w:ascii="Palatino Linotype" w:eastAsia="Calibri" w:hAnsi="Palatino Linotype" w:cs="Arial"/>
          <w:b/>
          <w:lang w:val="es-ES" w:eastAsia="es-ES"/>
        </w:rPr>
        <w:t xml:space="preserve">Ley de Transparencia y Acceso a la Información Pública del Estado de México y Municipios </w:t>
      </w:r>
      <w:r w:rsidRPr="00F04130">
        <w:rPr>
          <w:rFonts w:ascii="Palatino Linotype" w:hAnsi="Palatino Linotype" w:cs="Arial"/>
          <w:lang w:val="es-ES" w:eastAsia="es-ES"/>
        </w:rPr>
        <w:t xml:space="preserve">se turnó a la </w:t>
      </w:r>
      <w:r w:rsidRPr="00F04130">
        <w:rPr>
          <w:rFonts w:ascii="Palatino Linotype" w:hAnsi="Palatino Linotype" w:cs="Arial"/>
          <w:b/>
          <w:lang w:val="es-ES" w:eastAsia="es-ES"/>
        </w:rPr>
        <w:t xml:space="preserve">Comisionada María del Rosario Mejía Ayala, </w:t>
      </w:r>
      <w:r w:rsidRPr="00F04130">
        <w:rPr>
          <w:rFonts w:ascii="Palatino Linotype" w:hAnsi="Palatino Linotype" w:cs="Arial"/>
          <w:lang w:val="es-ES" w:eastAsia="es-ES"/>
        </w:rPr>
        <w:t xml:space="preserve">con el objeto de </w:t>
      </w:r>
      <w:r w:rsidRPr="00F04130">
        <w:rPr>
          <w:rFonts w:ascii="Palatino Linotype" w:hAnsi="Palatino Linotype" w:cs="Arial"/>
          <w:lang w:eastAsia="es-ES"/>
        </w:rPr>
        <w:t xml:space="preserve">su análisis. </w:t>
      </w:r>
    </w:p>
    <w:p w14:paraId="052EA5F2" w14:textId="77777777" w:rsidR="000122E5" w:rsidRPr="00F04130" w:rsidRDefault="000122E5">
      <w:pPr>
        <w:spacing w:before="240" w:after="240" w:line="360" w:lineRule="auto"/>
        <w:contextualSpacing/>
        <w:jc w:val="both"/>
        <w:rPr>
          <w:rFonts w:ascii="Palatino Linotype" w:hAnsi="Palatino Linotype" w:cs="Arial"/>
          <w:i/>
          <w:lang w:val="es-ES_tradnl"/>
        </w:rPr>
      </w:pPr>
    </w:p>
    <w:p w14:paraId="69A0DB93" w14:textId="77777777" w:rsidR="000122E5" w:rsidRPr="00F04130" w:rsidRDefault="00DA5F44">
      <w:pPr>
        <w:numPr>
          <w:ilvl w:val="0"/>
          <w:numId w:val="1"/>
        </w:numPr>
        <w:spacing w:line="360" w:lineRule="auto"/>
        <w:ind w:left="0" w:firstLine="0"/>
        <w:contextualSpacing/>
        <w:jc w:val="both"/>
        <w:rPr>
          <w:rFonts w:ascii="Palatino Linotype" w:eastAsia="Calibri" w:hAnsi="Palatino Linotype" w:cs="Arial"/>
        </w:rPr>
      </w:pPr>
      <w:r w:rsidRPr="00F04130">
        <w:rPr>
          <w:rFonts w:ascii="Palatino Linotype" w:eastAsia="Calibri" w:hAnsi="Palatino Linotype" w:cs="Arial"/>
          <w:lang w:val="es-ES" w:eastAsia="es-ES"/>
        </w:rPr>
        <w:t xml:space="preserve">La Comisionada Ponente con fundamento en lo dispuesto por el artículo 185 fracción II de la ley de la materia, </w:t>
      </w:r>
      <w:r w:rsidR="009B61E8" w:rsidRPr="00F04130">
        <w:rPr>
          <w:rFonts w:ascii="Palatino Linotype" w:eastAsia="Calibri" w:hAnsi="Palatino Linotype" w:cs="Arial"/>
          <w:lang w:val="es-ES" w:eastAsia="es-ES"/>
        </w:rPr>
        <w:t>en</w:t>
      </w:r>
      <w:r w:rsidRPr="00F04130">
        <w:rPr>
          <w:rFonts w:ascii="Palatino Linotype" w:eastAsia="Calibri" w:hAnsi="Palatino Linotype" w:cs="Arial"/>
          <w:lang w:val="es-ES" w:eastAsia="es-ES"/>
        </w:rPr>
        <w:t xml:space="preserve"> fecha </w:t>
      </w:r>
      <w:r w:rsidR="009B61E8" w:rsidRPr="00F04130">
        <w:rPr>
          <w:rFonts w:ascii="Palatino Linotype" w:eastAsia="Calibri" w:hAnsi="Palatino Linotype" w:cs="Arial"/>
          <w:lang w:val="es-ES" w:eastAsia="es-ES"/>
        </w:rPr>
        <w:t>quince (1</w:t>
      </w:r>
      <w:r w:rsidRPr="00F04130">
        <w:rPr>
          <w:rFonts w:ascii="Palatino Linotype" w:eastAsia="Calibri" w:hAnsi="Palatino Linotype" w:cs="Arial"/>
          <w:lang w:val="es-ES" w:eastAsia="es-ES"/>
        </w:rPr>
        <w:t xml:space="preserve">5) de </w:t>
      </w:r>
      <w:r w:rsidR="009B61E8" w:rsidRPr="00F04130">
        <w:rPr>
          <w:rFonts w:ascii="Palatino Linotype" w:eastAsia="Calibri" w:hAnsi="Palatino Linotype" w:cs="Arial"/>
          <w:lang w:val="es-ES" w:eastAsia="es-ES"/>
        </w:rPr>
        <w:t>agosto</w:t>
      </w:r>
      <w:r w:rsidRPr="00F04130">
        <w:rPr>
          <w:rFonts w:ascii="Palatino Linotype" w:eastAsia="Calibri" w:hAnsi="Palatino Linotype" w:cs="Arial"/>
          <w:lang w:val="es-ES" w:eastAsia="es-ES"/>
        </w:rPr>
        <w:t xml:space="preserve"> de dos mil veintitrés,</w:t>
      </w:r>
      <w:r w:rsidR="009B61E8" w:rsidRPr="00F04130">
        <w:rPr>
          <w:rFonts w:ascii="Palatino Linotype" w:eastAsia="Calibri" w:hAnsi="Palatino Linotype" w:cs="Arial"/>
          <w:lang w:val="es-ES" w:eastAsia="es-ES"/>
        </w:rPr>
        <w:t xml:space="preserve"> admitió y</w:t>
      </w:r>
      <w:r w:rsidRPr="00F04130">
        <w:rPr>
          <w:rFonts w:ascii="Palatino Linotype" w:eastAsia="Calibri" w:hAnsi="Palatino Linotype" w:cs="Arial"/>
          <w:lang w:val="es-ES" w:eastAsia="es-ES"/>
        </w:rPr>
        <w:t xml:space="preserve"> puso a disposición de las partes el expediente electrónico </w:t>
      </w:r>
      <w:r w:rsidRPr="00F04130">
        <w:rPr>
          <w:rFonts w:ascii="Palatino Linotype" w:eastAsia="Calibri" w:hAnsi="Palatino Linotype" w:cs="Arial"/>
          <w:lang w:val="es-ES_tradnl" w:eastAsia="es-ES"/>
        </w:rPr>
        <w:t xml:space="preserve">vía </w:t>
      </w:r>
      <w:r w:rsidR="009B61E8" w:rsidRPr="00F04130">
        <w:rPr>
          <w:rFonts w:ascii="Palatino Linotype" w:eastAsia="Calibri" w:hAnsi="Palatino Linotype" w:cs="Arial"/>
          <w:color w:val="000000"/>
          <w:lang w:val="es-ES" w:eastAsia="es-ES"/>
        </w:rPr>
        <w:t xml:space="preserve">Sistema de Acceso, Rectificación, Cancelación y Oposición de Datos Personales del Estado de México </w:t>
      </w:r>
      <w:r w:rsidR="009B61E8" w:rsidRPr="00F04130">
        <w:rPr>
          <w:rFonts w:ascii="Palatino Linotype" w:eastAsia="Calibri" w:hAnsi="Palatino Linotype" w:cs="Arial"/>
          <w:b/>
          <w:color w:val="000000"/>
          <w:lang w:val="es-ES" w:eastAsia="es-ES"/>
        </w:rPr>
        <w:t>(SARCOEM)</w:t>
      </w:r>
      <w:r w:rsidRPr="00F04130">
        <w:rPr>
          <w:rFonts w:ascii="Palatino Linotype" w:eastAsia="Calibri" w:hAnsi="Palatino Linotype" w:cs="Arial"/>
          <w:b/>
          <w:lang w:val="es-ES" w:eastAsia="es-ES"/>
        </w:rPr>
        <w:t xml:space="preserve"> </w:t>
      </w:r>
      <w:r w:rsidRPr="00F04130">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F04130">
        <w:rPr>
          <w:rFonts w:ascii="Palatino Linotype" w:eastAsia="Calibri" w:hAnsi="Palatino Linotype" w:cs="Arial"/>
          <w:b/>
          <w:lang w:val="es-ES" w:eastAsia="es-ES"/>
        </w:rPr>
        <w:t>SUJETO OBLIGADO</w:t>
      </w:r>
      <w:r w:rsidRPr="00F04130">
        <w:rPr>
          <w:rFonts w:ascii="Palatino Linotype" w:eastAsia="Calibri" w:hAnsi="Palatino Linotype" w:cs="Arial"/>
          <w:lang w:val="es-ES" w:eastAsia="es-ES"/>
        </w:rPr>
        <w:t xml:space="preserve"> presentará el Informe Justificado procedente.</w:t>
      </w:r>
    </w:p>
    <w:p w14:paraId="5B148C1D" w14:textId="77777777" w:rsidR="000122E5" w:rsidRPr="00F04130" w:rsidRDefault="000122E5">
      <w:pPr>
        <w:rPr>
          <w:rFonts w:ascii="Palatino Linotype" w:eastAsia="Calibri" w:hAnsi="Palatino Linotype" w:cs="Arial"/>
        </w:rPr>
      </w:pPr>
    </w:p>
    <w:p w14:paraId="3E501C16" w14:textId="77777777" w:rsidR="000122E5" w:rsidRPr="00F04130" w:rsidRDefault="00DA5F44" w:rsidP="00B9440C">
      <w:pPr>
        <w:numPr>
          <w:ilvl w:val="0"/>
          <w:numId w:val="1"/>
        </w:numPr>
        <w:spacing w:line="360" w:lineRule="auto"/>
        <w:ind w:left="0" w:firstLine="0"/>
        <w:contextualSpacing/>
        <w:jc w:val="both"/>
        <w:rPr>
          <w:rFonts w:ascii="Palatino Linotype" w:eastAsia="Calibri" w:hAnsi="Palatino Linotype" w:cs="Arial"/>
          <w:b/>
        </w:rPr>
      </w:pPr>
      <w:r w:rsidRPr="00F04130">
        <w:rPr>
          <w:rFonts w:ascii="Palatino Linotype" w:eastAsia="Calibri" w:hAnsi="Palatino Linotype" w:cs="Arial"/>
        </w:rPr>
        <w:t>E</w:t>
      </w:r>
      <w:r w:rsidRPr="00F04130">
        <w:rPr>
          <w:rFonts w:ascii="Palatino Linotype" w:hAnsi="Palatino Linotype"/>
          <w:color w:val="000000"/>
        </w:rPr>
        <w:t xml:space="preserve">l </w:t>
      </w:r>
      <w:r w:rsidRPr="00F04130">
        <w:rPr>
          <w:rFonts w:ascii="Palatino Linotype" w:hAnsi="Palatino Linotype"/>
          <w:b/>
          <w:bCs/>
          <w:color w:val="000000"/>
        </w:rPr>
        <w:t xml:space="preserve">SUJETO OBLIGADO </w:t>
      </w:r>
      <w:r w:rsidR="00A911A3" w:rsidRPr="00F04130">
        <w:rPr>
          <w:rFonts w:ascii="Palatino Linotype" w:hAnsi="Palatino Linotype"/>
          <w:color w:val="000000"/>
        </w:rPr>
        <w:t>rindió su</w:t>
      </w:r>
      <w:r w:rsidRPr="00F04130">
        <w:rPr>
          <w:rFonts w:ascii="Palatino Linotype" w:hAnsi="Palatino Linotype"/>
          <w:color w:val="000000"/>
        </w:rPr>
        <w:t xml:space="preserve"> informe justificado correspondiente</w:t>
      </w:r>
      <w:r w:rsidR="00A911A3" w:rsidRPr="00F04130">
        <w:rPr>
          <w:rFonts w:ascii="Palatino Linotype" w:hAnsi="Palatino Linotype"/>
          <w:color w:val="000000"/>
        </w:rPr>
        <w:t xml:space="preserve"> en fecha veintiséis de agosto de dos mil veinticuatro, en el que de forma medular ratifica su respuesta y solicita el sobreseimiento por tratarse de un recurso de revisión extemporáneo</w:t>
      </w:r>
      <w:r w:rsidR="00B9440C" w:rsidRPr="00F04130">
        <w:rPr>
          <w:rFonts w:ascii="Palatino Linotype" w:hAnsi="Palatino Linotype"/>
          <w:color w:val="000000"/>
        </w:rPr>
        <w:t>, el cual fue puesto a la vista del recurrente mediante acuerdo del cinco de septiembre de dos mil veinticuatro</w:t>
      </w:r>
      <w:r w:rsidRPr="00F04130">
        <w:rPr>
          <w:rFonts w:ascii="Palatino Linotype" w:hAnsi="Palatino Linotype"/>
          <w:color w:val="000000"/>
        </w:rPr>
        <w:t xml:space="preserve">; por su parte, el </w:t>
      </w:r>
      <w:r w:rsidRPr="00F04130">
        <w:rPr>
          <w:rFonts w:ascii="Palatino Linotype" w:hAnsi="Palatino Linotype"/>
          <w:b/>
          <w:bCs/>
          <w:color w:val="000000"/>
        </w:rPr>
        <w:t xml:space="preserve">Recurrente </w:t>
      </w:r>
      <w:r w:rsidR="0004036A" w:rsidRPr="00F04130">
        <w:rPr>
          <w:rFonts w:ascii="Palatino Linotype" w:hAnsi="Palatino Linotype"/>
          <w:color w:val="000000"/>
        </w:rPr>
        <w:t>adjuntó</w:t>
      </w:r>
      <w:r w:rsidR="00A911A3" w:rsidRPr="00F04130">
        <w:rPr>
          <w:rFonts w:ascii="Palatino Linotype" w:hAnsi="Palatino Linotype"/>
          <w:color w:val="000000"/>
        </w:rPr>
        <w:t xml:space="preserve"> tres archivos electrónicos denominados, COMPROBANTE.pdf, CARTA.pdf y FORMATO DE RECURSO DE REVISIÓN.pdf, los cuales constan de un recibo de pago predial, la constancia de interposición del presente recurso de revisión mediante el sistema </w:t>
      </w:r>
      <w:r w:rsidR="00A911A3" w:rsidRPr="00F04130">
        <w:rPr>
          <w:rFonts w:ascii="Palatino Linotype" w:hAnsi="Palatino Linotype"/>
          <w:color w:val="000000"/>
        </w:rPr>
        <w:lastRenderedPageBreak/>
        <w:t xml:space="preserve">SAROCEM </w:t>
      </w:r>
      <w:r w:rsidR="00B9440C" w:rsidRPr="00F04130">
        <w:rPr>
          <w:rFonts w:ascii="Palatino Linotype" w:hAnsi="Palatino Linotype"/>
          <w:color w:val="000000"/>
        </w:rPr>
        <w:t>y</w:t>
      </w:r>
      <w:r w:rsidR="00A911A3" w:rsidRPr="00F04130">
        <w:rPr>
          <w:rFonts w:ascii="Palatino Linotype" w:hAnsi="Palatino Linotype"/>
          <w:color w:val="000000"/>
        </w:rPr>
        <w:t xml:space="preserve"> </w:t>
      </w:r>
      <w:r w:rsidR="00B9440C" w:rsidRPr="00F04130">
        <w:rPr>
          <w:rFonts w:ascii="Palatino Linotype" w:hAnsi="Palatino Linotype"/>
          <w:color w:val="000000"/>
        </w:rPr>
        <w:t>u</w:t>
      </w:r>
      <w:r w:rsidR="00A911A3" w:rsidRPr="00F04130">
        <w:rPr>
          <w:rFonts w:ascii="Palatino Linotype" w:hAnsi="Palatino Linotype"/>
          <w:color w:val="000000"/>
        </w:rPr>
        <w:t>n escrito libre mediante el cual</w:t>
      </w:r>
      <w:r w:rsidR="00B9440C" w:rsidRPr="00F04130">
        <w:rPr>
          <w:rFonts w:ascii="Palatino Linotype" w:hAnsi="Palatino Linotype"/>
          <w:color w:val="000000"/>
        </w:rPr>
        <w:t xml:space="preserve"> el recurrente solicita la corrección del nombre que aparece en las escrituras requeridas, </w:t>
      </w:r>
      <w:r w:rsidRPr="00F04130">
        <w:rPr>
          <w:rFonts w:ascii="Palatino Linotype" w:hAnsi="Palatino Linotype"/>
          <w:color w:val="000000"/>
        </w:rPr>
        <w:t xml:space="preserve">según consta en el Sistema de Acceso a la Información Mexiquense </w:t>
      </w:r>
      <w:r w:rsidRPr="00F04130">
        <w:rPr>
          <w:rFonts w:ascii="Palatino Linotype" w:hAnsi="Palatino Linotype"/>
          <w:b/>
          <w:color w:val="000000"/>
        </w:rPr>
        <w:t>SAIMEX.</w:t>
      </w:r>
    </w:p>
    <w:p w14:paraId="225252E2" w14:textId="77777777" w:rsidR="000122E5" w:rsidRPr="00F04130" w:rsidRDefault="000122E5">
      <w:pPr>
        <w:rPr>
          <w:rFonts w:ascii="Palatino Linotype" w:hAnsi="Palatino Linotype"/>
          <w:lang w:eastAsia="es-ES"/>
        </w:rPr>
      </w:pPr>
    </w:p>
    <w:p w14:paraId="4B42683D" w14:textId="77777777" w:rsidR="000122E5" w:rsidRPr="00F04130" w:rsidRDefault="00DA5F44">
      <w:pPr>
        <w:numPr>
          <w:ilvl w:val="0"/>
          <w:numId w:val="1"/>
        </w:numPr>
        <w:spacing w:before="240" w:after="240" w:line="360" w:lineRule="auto"/>
        <w:ind w:left="0" w:firstLine="0"/>
        <w:contextualSpacing/>
        <w:jc w:val="both"/>
        <w:rPr>
          <w:rFonts w:ascii="Palatino Linotype" w:hAnsi="Palatino Linotype" w:cs="Arial"/>
        </w:rPr>
      </w:pPr>
      <w:r w:rsidRPr="00F04130">
        <w:rPr>
          <w:rFonts w:ascii="Palatino Linotype" w:hAnsi="Palatino Linotype"/>
          <w:lang w:eastAsia="es-ES"/>
        </w:rPr>
        <w:t>El Comisionado Ponente decretó el cierre de instrucción</w:t>
      </w:r>
      <w:r w:rsidRPr="00F04130">
        <w:rPr>
          <w:rFonts w:ascii="Palatino Linotype" w:hAnsi="Palatino Linotype" w:cs="Arial"/>
          <w:lang w:eastAsia="es-ES"/>
        </w:rPr>
        <w:t xml:space="preserve"> </w:t>
      </w:r>
      <w:r w:rsidRPr="00F04130">
        <w:rPr>
          <w:rFonts w:ascii="Palatino Linotype" w:hAnsi="Palatino Linotype"/>
          <w:lang w:eastAsia="es-ES"/>
        </w:rPr>
        <w:t xml:space="preserve">mediante acuerdo del </w:t>
      </w:r>
      <w:r w:rsidR="00D66F21" w:rsidRPr="00F04130">
        <w:rPr>
          <w:rFonts w:ascii="Palatino Linotype" w:hAnsi="Palatino Linotype"/>
          <w:lang w:eastAsia="es-ES"/>
        </w:rPr>
        <w:t>cinco (05</w:t>
      </w:r>
      <w:r w:rsidRPr="00F04130">
        <w:rPr>
          <w:rFonts w:ascii="Palatino Linotype" w:hAnsi="Palatino Linotype"/>
          <w:lang w:eastAsia="es-ES"/>
        </w:rPr>
        <w:t xml:space="preserve">) de </w:t>
      </w:r>
      <w:r w:rsidR="00D66F21" w:rsidRPr="00F04130">
        <w:rPr>
          <w:rFonts w:ascii="Palatino Linotype" w:hAnsi="Palatino Linotype"/>
          <w:lang w:eastAsia="es-ES"/>
        </w:rPr>
        <w:t>septiembre de dos mil veinticuatro</w:t>
      </w:r>
      <w:r w:rsidRPr="00F04130">
        <w:rPr>
          <w:rFonts w:ascii="Palatino Linotype" w:hAnsi="Palatino Linotype"/>
          <w:lang w:eastAsia="es-ES"/>
        </w:rPr>
        <w:t xml:space="preserve">; </w:t>
      </w:r>
      <w:r w:rsidRPr="00F04130">
        <w:rPr>
          <w:rFonts w:ascii="Palatino Linotype" w:hAnsi="Palatino Linotype" w:cs="Arial"/>
          <w:lang w:eastAsia="es-ES"/>
        </w:rPr>
        <w:t>posterior a ello, se ordenó turnar el expediente a resolución.---------------------------------------------------------------------------------</w:t>
      </w:r>
    </w:p>
    <w:p w14:paraId="4DA5D895" w14:textId="77777777" w:rsidR="000122E5" w:rsidRPr="00F04130" w:rsidRDefault="000122E5">
      <w:pPr>
        <w:spacing w:before="240" w:after="240" w:line="360" w:lineRule="auto"/>
        <w:contextualSpacing/>
        <w:jc w:val="both"/>
        <w:rPr>
          <w:rFonts w:ascii="Palatino Linotype" w:hAnsi="Palatino Linotype" w:cs="Arial"/>
        </w:rPr>
      </w:pPr>
    </w:p>
    <w:p w14:paraId="6E729F99" w14:textId="77777777" w:rsidR="000122E5" w:rsidRPr="00F04130" w:rsidRDefault="00DA5F44">
      <w:pPr>
        <w:spacing w:before="240" w:after="240" w:line="360" w:lineRule="auto"/>
        <w:ind w:left="360"/>
        <w:contextualSpacing/>
        <w:jc w:val="center"/>
        <w:outlineLvl w:val="0"/>
        <w:rPr>
          <w:rFonts w:ascii="Palatino Linotype" w:hAnsi="Palatino Linotype" w:cs="Arial"/>
          <w:b/>
        </w:rPr>
      </w:pPr>
      <w:bookmarkStart w:id="3" w:name="_Toc29544439"/>
      <w:r w:rsidRPr="00F04130">
        <w:rPr>
          <w:rFonts w:ascii="Palatino Linotype" w:hAnsi="Palatino Linotype" w:cs="Arial"/>
          <w:b/>
          <w:lang w:eastAsia="es-ES"/>
        </w:rPr>
        <w:t>CONSIDERANDO</w:t>
      </w:r>
      <w:bookmarkEnd w:id="3"/>
    </w:p>
    <w:p w14:paraId="3E6197C2" w14:textId="77777777" w:rsidR="000122E5" w:rsidRPr="00F04130" w:rsidRDefault="00DA5F44">
      <w:pPr>
        <w:keepNext/>
        <w:keepLines/>
        <w:spacing w:before="240" w:line="360" w:lineRule="auto"/>
        <w:outlineLvl w:val="0"/>
        <w:rPr>
          <w:rFonts w:ascii="Palatino Linotype" w:eastAsia="MS Gothic" w:hAnsi="Palatino Linotype" w:cs="Arial"/>
          <w:b/>
          <w:color w:val="000000"/>
          <w:lang w:val="es-ES" w:eastAsia="es-ES"/>
        </w:rPr>
      </w:pPr>
      <w:bookmarkStart w:id="4" w:name="_Toc29544440"/>
      <w:r w:rsidRPr="00F04130">
        <w:rPr>
          <w:rFonts w:ascii="Palatino Linotype" w:eastAsia="MS Gothic" w:hAnsi="Palatino Linotype" w:cs="Arial"/>
          <w:b/>
          <w:color w:val="000000"/>
          <w:lang w:val="es-ES" w:eastAsia="es-ES"/>
        </w:rPr>
        <w:t>PRIMERO. De la competencia.</w:t>
      </w:r>
      <w:bookmarkEnd w:id="4"/>
      <w:r w:rsidRPr="00F04130">
        <w:rPr>
          <w:rFonts w:ascii="Palatino Linotype" w:eastAsia="MS Gothic" w:hAnsi="Palatino Linotype" w:cs="Arial"/>
          <w:b/>
          <w:color w:val="000000"/>
          <w:lang w:val="es-ES" w:eastAsia="es-ES"/>
        </w:rPr>
        <w:t xml:space="preserve"> </w:t>
      </w:r>
    </w:p>
    <w:p w14:paraId="4107CBF6" w14:textId="77777777" w:rsidR="00695627" w:rsidRPr="00F04130" w:rsidRDefault="00695627" w:rsidP="00695627">
      <w:pPr>
        <w:keepNext/>
        <w:keepLines/>
        <w:spacing w:before="240" w:line="360" w:lineRule="auto"/>
        <w:jc w:val="both"/>
        <w:outlineLvl w:val="0"/>
        <w:rPr>
          <w:rFonts w:ascii="Palatino Linotype" w:eastAsia="MS Gothic" w:hAnsi="Palatino Linotype"/>
          <w:b/>
          <w:color w:val="000000"/>
          <w:lang w:val="es-ES" w:eastAsia="es-ES"/>
        </w:rPr>
      </w:pPr>
      <w:bookmarkStart w:id="5" w:name="_Toc29544441"/>
      <w:r w:rsidRPr="00F04130">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1, 3 fracción I, 82, 97, 98, 119, 123, 124, 127, 128 y 133 Ley de Protección de Datos Personales en Posesión de Sujetos Obligados del Estado de México y Municipios; y 7, 9 fracciones I y XXIV, y 11 del Reglamento Interior del Instituto de Transparencia, Acceso a la Información Pública y Protección de Datos Personales del Estado de México y Municipios</w:t>
      </w:r>
      <w:r w:rsidRPr="00F04130">
        <w:rPr>
          <w:rFonts w:ascii="Palatino Linotype" w:eastAsia="MS Gothic" w:hAnsi="Palatino Linotype"/>
          <w:b/>
          <w:color w:val="000000"/>
          <w:lang w:val="es-ES" w:eastAsia="es-ES"/>
        </w:rPr>
        <w:t xml:space="preserve"> </w:t>
      </w:r>
    </w:p>
    <w:p w14:paraId="63287814" w14:textId="77777777" w:rsidR="000122E5" w:rsidRPr="00F04130" w:rsidRDefault="00DA5F44">
      <w:pPr>
        <w:keepNext/>
        <w:keepLines/>
        <w:spacing w:before="240" w:line="360" w:lineRule="auto"/>
        <w:outlineLvl w:val="0"/>
        <w:rPr>
          <w:rFonts w:ascii="Palatino Linotype" w:eastAsia="MS Gothic" w:hAnsi="Palatino Linotype"/>
          <w:b/>
          <w:color w:val="000000"/>
        </w:rPr>
      </w:pPr>
      <w:r w:rsidRPr="00F04130">
        <w:rPr>
          <w:rFonts w:ascii="Palatino Linotype" w:eastAsia="MS Gothic" w:hAnsi="Palatino Linotype"/>
          <w:b/>
          <w:color w:val="000000"/>
          <w:lang w:val="es-ES" w:eastAsia="es-ES"/>
        </w:rPr>
        <w:t>SEGUNDO. De la oportunidad y procedencia</w:t>
      </w:r>
      <w:bookmarkEnd w:id="5"/>
    </w:p>
    <w:p w14:paraId="22937DB2" w14:textId="77777777" w:rsidR="000122E5" w:rsidRPr="00F04130" w:rsidRDefault="00DA5F44">
      <w:pPr>
        <w:numPr>
          <w:ilvl w:val="0"/>
          <w:numId w:val="1"/>
        </w:numPr>
        <w:tabs>
          <w:tab w:val="left" w:pos="0"/>
        </w:tabs>
        <w:spacing w:before="240" w:after="240" w:line="360" w:lineRule="auto"/>
        <w:ind w:left="0" w:firstLine="0"/>
        <w:jc w:val="both"/>
        <w:rPr>
          <w:rFonts w:ascii="Palatino Linotype" w:hAnsi="Palatino Linotype"/>
          <w:color w:val="000000"/>
        </w:rPr>
      </w:pPr>
      <w:r w:rsidRPr="00F04130">
        <w:rPr>
          <w:rFonts w:ascii="Palatino Linotype" w:hAnsi="Palatino Linotype"/>
          <w:color w:val="000000"/>
          <w:lang w:eastAsia="es-ES"/>
        </w:rPr>
        <w:t xml:space="preserve">El medio de impugnación fue presentado a través de </w:t>
      </w:r>
      <w:r w:rsidR="001C28E1" w:rsidRPr="00F04130">
        <w:rPr>
          <w:rFonts w:ascii="Palatino Linotype" w:hAnsi="Palatino Linotype"/>
          <w:b/>
          <w:color w:val="000000"/>
          <w:lang w:eastAsia="es-ES"/>
        </w:rPr>
        <w:t>SARCOEM</w:t>
      </w:r>
      <w:r w:rsidRPr="00F04130">
        <w:rPr>
          <w:rFonts w:ascii="Palatino Linotype" w:hAnsi="Palatino Linotype"/>
          <w:b/>
          <w:color w:val="000000"/>
          <w:lang w:eastAsia="es-ES"/>
        </w:rPr>
        <w:t>,</w:t>
      </w:r>
      <w:r w:rsidRPr="00F04130">
        <w:rPr>
          <w:rFonts w:ascii="Palatino Linotype" w:hAnsi="Palatino Linotype"/>
          <w:color w:val="000000"/>
          <w:lang w:eastAsia="es-ES"/>
        </w:rPr>
        <w:t xml:space="preserve"> en el formato previamente aprobado para tal efecto, s</w:t>
      </w:r>
      <w:r w:rsidRPr="00F04130">
        <w:rPr>
          <w:rFonts w:ascii="Palatino Linotype" w:hAnsi="Palatino Linotype" w:cs="Arial"/>
          <w:lang w:eastAsia="es-ES"/>
        </w:rPr>
        <w:t xml:space="preserve">in embargo por cuanto hace al </w:t>
      </w:r>
      <w:r w:rsidRPr="00F04130">
        <w:rPr>
          <w:rFonts w:ascii="Palatino Linotype" w:hAnsi="Palatino Linotype" w:cs="Arial"/>
          <w:lang w:eastAsia="es-ES"/>
        </w:rPr>
        <w:lastRenderedPageBreak/>
        <w:t xml:space="preserve">requisito de oportunidad que debe reunir el recurso de revisión interpuesto, se advierte que el recurso de revisión fue interpuesto </w:t>
      </w:r>
      <w:r w:rsidRPr="00F04130">
        <w:rPr>
          <w:rFonts w:ascii="Palatino Linotype" w:hAnsi="Palatino Linotype" w:cs="Arial"/>
          <w:u w:val="single"/>
          <w:lang w:eastAsia="es-ES"/>
        </w:rPr>
        <w:t>fuera del plazo</w:t>
      </w:r>
      <w:r w:rsidRPr="00F04130">
        <w:rPr>
          <w:rFonts w:ascii="Palatino Linotype" w:hAnsi="Palatino Linotype" w:cs="Arial"/>
          <w:lang w:eastAsia="es-ES"/>
        </w:rPr>
        <w:t xml:space="preserve"> de quince días hábiles </w:t>
      </w:r>
      <w:r w:rsidRPr="00F04130">
        <w:rPr>
          <w:rFonts w:ascii="Palatino Linotype" w:hAnsi="Palatino Linotype"/>
          <w:lang w:eastAsia="es-ES"/>
        </w:rPr>
        <w:t>contados</w:t>
      </w:r>
      <w:r w:rsidRPr="00F04130">
        <w:rPr>
          <w:rFonts w:ascii="Palatino Linotype" w:hAnsi="Palatino Linotype" w:cs="Arial"/>
          <w:lang w:eastAsia="es-ES"/>
        </w:rPr>
        <w:t xml:space="preserve"> a partir del día siguiente al que </w:t>
      </w:r>
      <w:r w:rsidRPr="00F04130">
        <w:rPr>
          <w:rFonts w:ascii="Palatino Linotype" w:hAnsi="Palatino Linotype" w:cs="Arial"/>
          <w:bCs/>
          <w:lang w:eastAsia="es-ES"/>
        </w:rPr>
        <w:t>el</w:t>
      </w:r>
      <w:r w:rsidRPr="00F04130">
        <w:rPr>
          <w:rFonts w:ascii="Palatino Linotype" w:hAnsi="Palatino Linotype" w:cs="Arial"/>
          <w:b/>
          <w:bCs/>
          <w:lang w:eastAsia="es-ES"/>
        </w:rPr>
        <w:t xml:space="preserve"> Recurrente </w:t>
      </w:r>
      <w:r w:rsidRPr="00F04130">
        <w:rPr>
          <w:rFonts w:ascii="Palatino Linotype" w:hAnsi="Palatino Linotype" w:cs="Arial"/>
          <w:lang w:eastAsia="es-ES"/>
        </w:rPr>
        <w:t xml:space="preserve">tuvo conocimiento de la respuesta impugnada, tal y como lo prevé el artículo </w:t>
      </w:r>
      <w:r w:rsidR="001C28E1" w:rsidRPr="00F04130">
        <w:rPr>
          <w:rFonts w:ascii="Palatino Linotype" w:hAnsi="Palatino Linotype" w:cs="Arial"/>
          <w:lang w:eastAsia="es-ES"/>
        </w:rPr>
        <w:t xml:space="preserve">128 </w:t>
      </w:r>
      <w:r w:rsidRPr="00F04130">
        <w:rPr>
          <w:rFonts w:ascii="Palatino Linotype" w:hAnsi="Palatino Linotype" w:cs="Arial"/>
          <w:lang w:eastAsia="es-ES"/>
        </w:rPr>
        <w:t xml:space="preserve">de la Ley de </w:t>
      </w:r>
      <w:r w:rsidR="001C28E1" w:rsidRPr="00F04130">
        <w:rPr>
          <w:rFonts w:ascii="Palatino Linotype" w:hAnsi="Palatino Linotype" w:cs="Arial"/>
          <w:lang w:eastAsia="es-ES"/>
        </w:rPr>
        <w:t>Protección de Datos Personales en Posesión de Sujetos Obligados del Estado de México y Municipios</w:t>
      </w:r>
      <w:r w:rsidRPr="00F04130">
        <w:rPr>
          <w:rFonts w:ascii="Palatino Linotype" w:hAnsi="Palatino Linotype" w:cs="Arial"/>
          <w:lang w:eastAsia="es-ES"/>
        </w:rPr>
        <w:t>, que establece:</w:t>
      </w:r>
    </w:p>
    <w:p w14:paraId="0F49D4C2" w14:textId="77777777" w:rsidR="000122E5" w:rsidRPr="00F04130" w:rsidRDefault="00DA5F44" w:rsidP="001C28E1">
      <w:pPr>
        <w:spacing w:before="240" w:after="240"/>
        <w:ind w:left="567" w:right="539"/>
        <w:jc w:val="both"/>
        <w:rPr>
          <w:rFonts w:ascii="Palatino Linotype" w:hAnsi="Palatino Linotype" w:cs="Arial"/>
          <w:i/>
          <w:sz w:val="22"/>
          <w:szCs w:val="22"/>
          <w:lang w:eastAsia="es-ES"/>
        </w:rPr>
      </w:pPr>
      <w:r w:rsidRPr="00F04130">
        <w:rPr>
          <w:rFonts w:ascii="Palatino Linotype" w:hAnsi="Palatino Linotype" w:cs="Arial"/>
          <w:i/>
          <w:sz w:val="22"/>
          <w:szCs w:val="22"/>
          <w:lang w:eastAsia="es-ES"/>
        </w:rPr>
        <w:t>“</w:t>
      </w:r>
      <w:r w:rsidR="001C28E1" w:rsidRPr="00F04130">
        <w:rPr>
          <w:rFonts w:ascii="Palatino Linotype" w:hAnsi="Palatino Linotype"/>
          <w:b/>
          <w:i/>
        </w:rPr>
        <w:t>Artículo 128.</w:t>
      </w:r>
      <w:r w:rsidR="001C28E1" w:rsidRPr="00F04130">
        <w:rPr>
          <w:rFonts w:ascii="Palatino Linotype" w:hAnsi="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w:t>
      </w:r>
      <w:r w:rsidR="001C28E1" w:rsidRPr="00F04130">
        <w:rPr>
          <w:rFonts w:ascii="Palatino Linotype" w:hAnsi="Palatino Linotype"/>
          <w:b/>
          <w:i/>
        </w:rPr>
        <w:t>dentro de un plazo que no podrá exceder de quince días</w:t>
      </w:r>
      <w:r w:rsidR="001C28E1" w:rsidRPr="00F04130">
        <w:rPr>
          <w:rFonts w:ascii="Palatino Linotype" w:hAnsi="Palatino Linotype"/>
          <w:i/>
        </w:rPr>
        <w:t xml:space="preserve"> contados a partir del siguiente a la fecha de la notificación de la </w:t>
      </w:r>
      <w:proofErr w:type="gramStart"/>
      <w:r w:rsidR="001C28E1" w:rsidRPr="00F04130">
        <w:rPr>
          <w:rFonts w:ascii="Palatino Linotype" w:hAnsi="Palatino Linotype"/>
          <w:i/>
        </w:rPr>
        <w:t>respuesta.</w:t>
      </w:r>
      <w:r w:rsidRPr="00F04130">
        <w:rPr>
          <w:rFonts w:ascii="Palatino Linotype" w:hAnsi="Palatino Linotype" w:cs="Arial"/>
          <w:i/>
          <w:sz w:val="22"/>
          <w:szCs w:val="22"/>
          <w:lang w:eastAsia="es-ES"/>
        </w:rPr>
        <w:t>.</w:t>
      </w:r>
      <w:proofErr w:type="gramEnd"/>
      <w:r w:rsidRPr="00F04130">
        <w:rPr>
          <w:rFonts w:ascii="Palatino Linotype" w:hAnsi="Palatino Linotype" w:cs="Arial"/>
          <w:i/>
          <w:sz w:val="22"/>
          <w:szCs w:val="22"/>
          <w:lang w:eastAsia="es-ES"/>
        </w:rPr>
        <w:t>”</w:t>
      </w:r>
    </w:p>
    <w:p w14:paraId="1E73C7B5" w14:textId="77777777" w:rsidR="000122E5" w:rsidRPr="00F04130" w:rsidRDefault="00DA5F44">
      <w:pPr>
        <w:spacing w:before="120" w:after="120"/>
        <w:ind w:left="567" w:right="539"/>
        <w:jc w:val="both"/>
        <w:rPr>
          <w:rFonts w:ascii="Palatino Linotype" w:hAnsi="Palatino Linotype" w:cs="Arial"/>
          <w:b/>
          <w:bCs/>
          <w:i/>
          <w:sz w:val="22"/>
          <w:szCs w:val="22"/>
          <w:lang w:eastAsia="es-ES"/>
        </w:rPr>
      </w:pPr>
      <w:r w:rsidRPr="00F04130">
        <w:rPr>
          <w:rFonts w:ascii="Palatino Linotype" w:hAnsi="Palatino Linotype" w:cs="Arial"/>
          <w:b/>
          <w:bCs/>
          <w:i/>
          <w:sz w:val="22"/>
          <w:szCs w:val="22"/>
          <w:lang w:eastAsia="es-ES"/>
        </w:rPr>
        <w:t>(Énfasis añadido)</w:t>
      </w:r>
    </w:p>
    <w:p w14:paraId="5AC12B31" w14:textId="77777777" w:rsidR="000122E5" w:rsidRPr="00F04130" w:rsidRDefault="000122E5">
      <w:pPr>
        <w:spacing w:before="120" w:after="120"/>
        <w:ind w:right="709"/>
        <w:jc w:val="both"/>
        <w:rPr>
          <w:rFonts w:ascii="Palatino Linotype" w:hAnsi="Palatino Linotype" w:cs="Arial"/>
          <w:b/>
          <w:bCs/>
          <w:i/>
          <w:sz w:val="22"/>
          <w:szCs w:val="22"/>
          <w:lang w:eastAsia="es-ES"/>
        </w:rPr>
      </w:pPr>
    </w:p>
    <w:p w14:paraId="3FA2D8BB"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hAnsi="Palatino Linotype" w:cs="Arial"/>
          <w:lang w:eastAsia="es-ES"/>
        </w:rPr>
        <w:t xml:space="preserve">En esa tesitura, atendiendo que </w:t>
      </w:r>
      <w:r w:rsidRPr="00F04130">
        <w:rPr>
          <w:rFonts w:ascii="Palatino Linotype" w:hAnsi="Palatino Linotype" w:cs="Arial"/>
          <w:b/>
          <w:lang w:eastAsia="es-ES"/>
        </w:rPr>
        <w:t>el SUJETO OBLIGADO</w:t>
      </w:r>
      <w:r w:rsidRPr="00F04130">
        <w:rPr>
          <w:rFonts w:ascii="Palatino Linotype" w:hAnsi="Palatino Linotype" w:cs="Arial"/>
          <w:lang w:eastAsia="es-ES"/>
        </w:rPr>
        <w:t xml:space="preserve"> notificó la respuesta a la solicitud de información pública el </w:t>
      </w:r>
      <w:r w:rsidR="001C28E1" w:rsidRPr="00F04130">
        <w:rPr>
          <w:rFonts w:ascii="Palatino Linotype" w:hAnsi="Palatino Linotype" w:cs="Arial"/>
          <w:b/>
          <w:lang w:eastAsia="es-ES"/>
        </w:rPr>
        <w:t>veintiséis (26</w:t>
      </w:r>
      <w:r w:rsidRPr="00F04130">
        <w:rPr>
          <w:rFonts w:ascii="Palatino Linotype" w:hAnsi="Palatino Linotype" w:cs="Arial"/>
          <w:b/>
          <w:lang w:eastAsia="es-ES"/>
        </w:rPr>
        <w:t xml:space="preserve">) de </w:t>
      </w:r>
      <w:r w:rsidR="001C28E1" w:rsidRPr="00F04130">
        <w:rPr>
          <w:rFonts w:ascii="Palatino Linotype" w:hAnsi="Palatino Linotype" w:cs="Arial"/>
          <w:b/>
          <w:lang w:eastAsia="es-ES"/>
        </w:rPr>
        <w:t>junio de dos mil veinticuatro</w:t>
      </w:r>
      <w:r w:rsidRPr="00F04130">
        <w:rPr>
          <w:rFonts w:ascii="Palatino Linotype" w:hAnsi="Palatino Linotype" w:cs="Arial"/>
          <w:lang w:eastAsia="es-ES"/>
        </w:rPr>
        <w:t>, el plazo de quince días hábiles que el artículo 1</w:t>
      </w:r>
      <w:r w:rsidR="001C28E1" w:rsidRPr="00F04130">
        <w:rPr>
          <w:rFonts w:ascii="Palatino Linotype" w:hAnsi="Palatino Linotype" w:cs="Arial"/>
          <w:lang w:eastAsia="es-ES"/>
        </w:rPr>
        <w:t>28</w:t>
      </w:r>
      <w:r w:rsidRPr="00F04130">
        <w:rPr>
          <w:rFonts w:ascii="Palatino Linotype" w:hAnsi="Palatino Linotype" w:cs="Arial"/>
          <w:lang w:eastAsia="es-ES"/>
        </w:rPr>
        <w:t xml:space="preserve"> de la Ley de la materia otorga al </w:t>
      </w:r>
      <w:r w:rsidRPr="00F04130">
        <w:rPr>
          <w:rFonts w:ascii="Palatino Linotype" w:hAnsi="Palatino Linotype" w:cs="Arial"/>
          <w:b/>
          <w:bCs/>
          <w:lang w:eastAsia="es-ES"/>
        </w:rPr>
        <w:t>Recurrente</w:t>
      </w:r>
      <w:r w:rsidRPr="00F04130">
        <w:rPr>
          <w:rFonts w:ascii="Palatino Linotype" w:hAnsi="Palatino Linotype" w:cs="Arial"/>
          <w:lang w:eastAsia="es-ES"/>
        </w:rPr>
        <w:t xml:space="preserve"> para presentar el recurso de revisión, transcurrió del </w:t>
      </w:r>
      <w:r w:rsidR="001C28E1" w:rsidRPr="00F04130">
        <w:rPr>
          <w:rFonts w:ascii="Palatino Linotype" w:hAnsi="Palatino Linotype" w:cs="Arial"/>
          <w:b/>
          <w:lang w:eastAsia="es-ES"/>
        </w:rPr>
        <w:t>veintisiete (27</w:t>
      </w:r>
      <w:r w:rsidRPr="00F04130">
        <w:rPr>
          <w:rFonts w:ascii="Palatino Linotype" w:hAnsi="Palatino Linotype" w:cs="Arial"/>
          <w:b/>
          <w:lang w:eastAsia="es-ES"/>
        </w:rPr>
        <w:t xml:space="preserve">) de </w:t>
      </w:r>
      <w:r w:rsidR="001C28E1" w:rsidRPr="00F04130">
        <w:rPr>
          <w:rFonts w:ascii="Palatino Linotype" w:hAnsi="Palatino Linotype" w:cs="Arial"/>
          <w:b/>
          <w:lang w:eastAsia="es-ES"/>
        </w:rPr>
        <w:t>junio</w:t>
      </w:r>
      <w:r w:rsidRPr="00F04130">
        <w:rPr>
          <w:rFonts w:ascii="Palatino Linotype" w:hAnsi="Palatino Linotype" w:cs="Arial"/>
          <w:b/>
          <w:lang w:eastAsia="es-ES"/>
        </w:rPr>
        <w:t xml:space="preserve"> </w:t>
      </w:r>
      <w:r w:rsidRPr="00F04130">
        <w:rPr>
          <w:rFonts w:ascii="Palatino Linotype" w:hAnsi="Palatino Linotype" w:cs="Arial"/>
          <w:bCs/>
          <w:lang w:eastAsia="es-ES"/>
        </w:rPr>
        <w:t>al</w:t>
      </w:r>
      <w:r w:rsidR="001C28E1" w:rsidRPr="00F04130">
        <w:rPr>
          <w:rFonts w:ascii="Palatino Linotype" w:hAnsi="Palatino Linotype" w:cs="Arial"/>
          <w:b/>
          <w:lang w:eastAsia="es-ES"/>
        </w:rPr>
        <w:t xml:space="preserve"> diecisiete (17) de julio de dos mil veinticuatro</w:t>
      </w:r>
      <w:r w:rsidRPr="00F04130">
        <w:rPr>
          <w:rFonts w:ascii="Palatino Linotype" w:hAnsi="Palatino Linotype" w:cs="Arial"/>
          <w:b/>
          <w:lang w:eastAsia="es-ES"/>
        </w:rPr>
        <w:t>.</w:t>
      </w:r>
    </w:p>
    <w:p w14:paraId="65616748" w14:textId="77777777" w:rsidR="000122E5" w:rsidRPr="00F04130" w:rsidRDefault="000122E5">
      <w:pPr>
        <w:spacing w:before="240" w:after="240" w:line="360" w:lineRule="auto"/>
        <w:contextualSpacing/>
        <w:jc w:val="both"/>
        <w:rPr>
          <w:rFonts w:ascii="Palatino Linotype" w:hAnsi="Palatino Linotype"/>
          <w:color w:val="000000"/>
        </w:rPr>
      </w:pPr>
    </w:p>
    <w:p w14:paraId="64C41DD4"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hAnsi="Palatino Linotype" w:cs="Arial"/>
          <w:lang w:eastAsia="es-ES"/>
        </w:rPr>
        <w:t>En ese tenor, si el recurso de revisión que nos ocupa, se interpuso el día</w:t>
      </w:r>
      <w:r w:rsidRPr="00F04130">
        <w:rPr>
          <w:rFonts w:ascii="Palatino Linotype" w:hAnsi="Palatino Linotype" w:cs="Arial"/>
          <w:b/>
          <w:lang w:eastAsia="es-ES"/>
        </w:rPr>
        <w:t xml:space="preserve"> catorce (14) de agosto de dos mil veinticuatro</w:t>
      </w:r>
      <w:r w:rsidRPr="00F04130">
        <w:rPr>
          <w:rFonts w:ascii="Palatino Linotype" w:hAnsi="Palatino Linotype" w:cs="Arial"/>
          <w:lang w:eastAsia="es-ES"/>
        </w:rPr>
        <w:t xml:space="preserve">, se encuentra </w:t>
      </w:r>
      <w:r w:rsidRPr="00F04130">
        <w:rPr>
          <w:rFonts w:ascii="Palatino Linotype" w:hAnsi="Palatino Linotype" w:cs="Arial"/>
          <w:b/>
          <w:u w:val="single"/>
          <w:lang w:eastAsia="es-ES"/>
        </w:rPr>
        <w:t>fuera</w:t>
      </w:r>
      <w:r w:rsidRPr="00F04130">
        <w:rPr>
          <w:rFonts w:ascii="Palatino Linotype" w:hAnsi="Palatino Linotype" w:cs="Arial"/>
          <w:lang w:eastAsia="es-ES"/>
        </w:rPr>
        <w:t xml:space="preserve"> de los márgenes temporales previstos en el precepto legal señalado en el artículo </w:t>
      </w:r>
      <w:r w:rsidR="00CD6F37" w:rsidRPr="00F04130">
        <w:rPr>
          <w:rFonts w:ascii="Palatino Linotype" w:hAnsi="Palatino Linotype" w:cs="Arial"/>
          <w:lang w:eastAsia="es-ES"/>
        </w:rPr>
        <w:t>128 de la Ley de Protección de Datos Personales en Posesión de Sujetos Obligados del Estado de México y Municipios, y</w:t>
      </w:r>
      <w:r w:rsidRPr="00F04130">
        <w:rPr>
          <w:rFonts w:ascii="Palatino Linotype" w:hAnsi="Palatino Linotype" w:cs="Arial"/>
          <w:lang w:eastAsia="es-ES"/>
        </w:rPr>
        <w:t xml:space="preserve"> por tanto, su interposición </w:t>
      </w:r>
      <w:r w:rsidRPr="00F04130">
        <w:rPr>
          <w:rFonts w:ascii="Palatino Linotype" w:hAnsi="Palatino Linotype" w:cs="Arial"/>
          <w:b/>
          <w:lang w:eastAsia="es-ES"/>
        </w:rPr>
        <w:t>no se considera oportuna</w:t>
      </w:r>
      <w:r w:rsidRPr="00F04130">
        <w:rPr>
          <w:rFonts w:ascii="Palatino Linotype" w:hAnsi="Palatino Linotype" w:cs="Arial"/>
          <w:lang w:eastAsia="es-ES"/>
        </w:rPr>
        <w:t xml:space="preserve">. </w:t>
      </w:r>
    </w:p>
    <w:p w14:paraId="52B944B4" w14:textId="77777777" w:rsidR="000122E5" w:rsidRPr="00F04130" w:rsidRDefault="000122E5">
      <w:pPr>
        <w:tabs>
          <w:tab w:val="left" w:pos="0"/>
        </w:tabs>
        <w:spacing w:before="240" w:after="240" w:line="360" w:lineRule="auto"/>
        <w:contextualSpacing/>
        <w:jc w:val="both"/>
        <w:rPr>
          <w:rFonts w:ascii="Palatino Linotype" w:hAnsi="Palatino Linotype"/>
          <w:color w:val="000000"/>
        </w:rPr>
      </w:pPr>
    </w:p>
    <w:p w14:paraId="288D7C71"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hAnsi="Palatino Linotype" w:cs="Arial"/>
          <w:lang w:val="es-ES_tradnl" w:eastAsia="es-ES"/>
        </w:rPr>
        <w:lastRenderedPageBreak/>
        <w:t>En atención a las consideraciones anteriores, esta Ponencia Resolutoria</w:t>
      </w:r>
      <w:r w:rsidRPr="00F04130">
        <w:rPr>
          <w:rFonts w:ascii="Palatino Linotype" w:hAnsi="Palatino Linotype"/>
          <w:color w:val="000000"/>
          <w:lang w:eastAsia="es-ES"/>
        </w:rPr>
        <w:t xml:space="preserve"> advierte que, en el presente caso, se actualiza la hipótesis prevista en </w:t>
      </w:r>
      <w:r w:rsidRPr="00F04130">
        <w:rPr>
          <w:rFonts w:ascii="Palatino Linotype" w:hAnsi="Palatino Linotype" w:cs="Arial"/>
          <w:lang w:val="es-ES_tradnl" w:eastAsia="es-ES"/>
        </w:rPr>
        <w:t xml:space="preserve">el </w:t>
      </w:r>
      <w:r w:rsidRPr="00F04130">
        <w:rPr>
          <w:rFonts w:ascii="Palatino Linotype" w:hAnsi="Palatino Linotype"/>
          <w:color w:val="000000"/>
          <w:lang w:eastAsia="es-ES"/>
        </w:rPr>
        <w:t xml:space="preserve">artículo </w:t>
      </w:r>
      <w:r w:rsidR="00CD6F37" w:rsidRPr="00F04130">
        <w:rPr>
          <w:rFonts w:ascii="Palatino Linotype" w:hAnsi="Palatino Linotype"/>
          <w:color w:val="000000"/>
          <w:lang w:eastAsia="es-ES"/>
        </w:rPr>
        <w:t>138</w:t>
      </w:r>
      <w:r w:rsidRPr="00F04130">
        <w:rPr>
          <w:rFonts w:ascii="Palatino Linotype" w:hAnsi="Palatino Linotype"/>
          <w:color w:val="000000"/>
          <w:lang w:eastAsia="es-ES"/>
        </w:rPr>
        <w:t xml:space="preserve"> fracción I de</w:t>
      </w:r>
      <w:r w:rsidRPr="00F04130">
        <w:rPr>
          <w:rFonts w:ascii="Palatino Linotype" w:hAnsi="Palatino Linotype" w:cs="Arial"/>
          <w:lang w:val="es-ES_tradnl" w:eastAsia="es-ES"/>
        </w:rPr>
        <w:t xml:space="preserve"> la </w:t>
      </w:r>
      <w:r w:rsidR="00CD6F37" w:rsidRPr="00F04130">
        <w:rPr>
          <w:rFonts w:ascii="Palatino Linotype" w:hAnsi="Palatino Linotype" w:cs="Arial"/>
          <w:lang w:eastAsia="es-ES"/>
        </w:rPr>
        <w:t>Ley de Protección de Datos Personales en Posesión de Sujetos Obligados del Estado de México y Municipios</w:t>
      </w:r>
      <w:r w:rsidRPr="00F04130">
        <w:rPr>
          <w:rFonts w:ascii="Palatino Linotype" w:hAnsi="Palatino Linotype"/>
          <w:lang w:eastAsia="es-ES"/>
        </w:rPr>
        <w:t xml:space="preserve">, </w:t>
      </w:r>
      <w:r w:rsidRPr="00F04130">
        <w:rPr>
          <w:rFonts w:ascii="Palatino Linotype" w:hAnsi="Palatino Linotype"/>
          <w:color w:val="000000"/>
          <w:lang w:eastAsia="es-ES"/>
        </w:rPr>
        <w:t xml:space="preserve">que dispone lo siguiente: </w:t>
      </w:r>
    </w:p>
    <w:p w14:paraId="56EBC6BA" w14:textId="77777777" w:rsidR="000122E5" w:rsidRPr="00F04130" w:rsidRDefault="000122E5">
      <w:pPr>
        <w:tabs>
          <w:tab w:val="left" w:pos="426"/>
        </w:tabs>
        <w:spacing w:before="240" w:after="240" w:line="360" w:lineRule="auto"/>
        <w:contextualSpacing/>
        <w:jc w:val="both"/>
        <w:rPr>
          <w:rFonts w:ascii="Palatino Linotype" w:hAnsi="Palatino Linotype"/>
          <w:color w:val="000000"/>
        </w:rPr>
      </w:pPr>
    </w:p>
    <w:p w14:paraId="2E33B8F2" w14:textId="77777777" w:rsidR="000122E5" w:rsidRPr="00F04130" w:rsidRDefault="00DA5F44">
      <w:pPr>
        <w:spacing w:before="120"/>
        <w:ind w:left="567" w:right="539"/>
        <w:jc w:val="both"/>
        <w:rPr>
          <w:rFonts w:ascii="Palatino Linotype" w:hAnsi="Palatino Linotype" w:cs="Arial"/>
          <w:i/>
          <w:sz w:val="22"/>
          <w:szCs w:val="22"/>
        </w:rPr>
      </w:pPr>
      <w:r w:rsidRPr="00F04130">
        <w:rPr>
          <w:rFonts w:ascii="Palatino Linotype" w:hAnsi="Palatino Linotype" w:cs="Arial"/>
          <w:i/>
          <w:sz w:val="22"/>
          <w:szCs w:val="22"/>
          <w:lang w:eastAsia="es-ES"/>
        </w:rPr>
        <w:t>“</w:t>
      </w:r>
      <w:r w:rsidR="00CD6F37" w:rsidRPr="00F04130">
        <w:rPr>
          <w:rFonts w:ascii="Palatino Linotype" w:hAnsi="Palatino Linotype" w:cs="Arial"/>
          <w:b/>
          <w:i/>
          <w:sz w:val="22"/>
          <w:szCs w:val="22"/>
          <w:lang w:eastAsia="es-ES"/>
        </w:rPr>
        <w:t>Artículo 138</w:t>
      </w:r>
      <w:r w:rsidRPr="00F04130">
        <w:rPr>
          <w:rFonts w:ascii="Palatino Linotype" w:hAnsi="Palatino Linotype" w:cs="Arial"/>
          <w:i/>
          <w:sz w:val="22"/>
          <w:szCs w:val="22"/>
          <w:lang w:eastAsia="es-ES"/>
        </w:rPr>
        <w:t xml:space="preserve">. El recurso </w:t>
      </w:r>
      <w:r w:rsidR="00CD6F37" w:rsidRPr="00F04130">
        <w:rPr>
          <w:rFonts w:ascii="Palatino Linotype" w:hAnsi="Palatino Linotype" w:cs="Arial"/>
          <w:i/>
          <w:sz w:val="22"/>
          <w:szCs w:val="22"/>
          <w:lang w:eastAsia="es-ES"/>
        </w:rPr>
        <w:t>de revisión podrá ser</w:t>
      </w:r>
      <w:r w:rsidRPr="00F04130">
        <w:rPr>
          <w:rFonts w:ascii="Palatino Linotype" w:hAnsi="Palatino Linotype" w:cs="Arial"/>
          <w:i/>
          <w:sz w:val="22"/>
          <w:szCs w:val="22"/>
          <w:lang w:eastAsia="es-ES"/>
        </w:rPr>
        <w:t xml:space="preserve"> desechado por improcedente cuando: </w:t>
      </w:r>
    </w:p>
    <w:p w14:paraId="114ADA8F" w14:textId="77777777" w:rsidR="000122E5" w:rsidRPr="00F04130" w:rsidRDefault="00DA5F44">
      <w:pPr>
        <w:spacing w:before="120"/>
        <w:ind w:left="567" w:right="539"/>
        <w:jc w:val="both"/>
        <w:rPr>
          <w:rFonts w:ascii="Palatino Linotype" w:hAnsi="Palatino Linotype" w:cs="Arial"/>
          <w:i/>
          <w:sz w:val="22"/>
          <w:szCs w:val="22"/>
          <w:lang w:eastAsia="es-ES"/>
        </w:rPr>
      </w:pPr>
      <w:r w:rsidRPr="00F04130">
        <w:rPr>
          <w:rFonts w:ascii="Palatino Linotype" w:hAnsi="Palatino Linotype" w:cs="Arial"/>
          <w:i/>
          <w:sz w:val="22"/>
          <w:szCs w:val="22"/>
          <w:lang w:eastAsia="es-ES"/>
        </w:rPr>
        <w:t xml:space="preserve">I. Sea extemporáneo por haber transcurrido el plazo establecido </w:t>
      </w:r>
      <w:r w:rsidR="00CD6F37" w:rsidRPr="00F04130">
        <w:rPr>
          <w:rFonts w:ascii="Palatino Linotype" w:hAnsi="Palatino Linotype" w:cs="Arial"/>
          <w:i/>
          <w:sz w:val="22"/>
          <w:szCs w:val="22"/>
          <w:lang w:eastAsia="es-ES"/>
        </w:rPr>
        <w:t>en el artículo 128 de la presente Ley</w:t>
      </w:r>
      <w:r w:rsidRPr="00F04130">
        <w:rPr>
          <w:rFonts w:ascii="Palatino Linotype" w:hAnsi="Palatino Linotype" w:cs="Arial"/>
          <w:i/>
          <w:sz w:val="22"/>
          <w:szCs w:val="22"/>
          <w:lang w:eastAsia="es-ES"/>
        </w:rPr>
        <w:t>;</w:t>
      </w:r>
    </w:p>
    <w:p w14:paraId="7FAF4DBA" w14:textId="77777777" w:rsidR="000122E5" w:rsidRPr="00F04130" w:rsidRDefault="00DA5F44">
      <w:pPr>
        <w:spacing w:before="120"/>
        <w:ind w:left="567" w:right="539"/>
        <w:jc w:val="both"/>
        <w:rPr>
          <w:rFonts w:ascii="Palatino Linotype" w:hAnsi="Palatino Linotype" w:cs="Arial"/>
          <w:i/>
          <w:sz w:val="22"/>
          <w:szCs w:val="22"/>
          <w:lang w:eastAsia="es-ES"/>
        </w:rPr>
      </w:pPr>
      <w:r w:rsidRPr="00F04130">
        <w:rPr>
          <w:rFonts w:ascii="Palatino Linotype" w:hAnsi="Palatino Linotype" w:cs="Arial"/>
          <w:i/>
          <w:sz w:val="22"/>
          <w:szCs w:val="22"/>
          <w:lang w:eastAsia="es-ES"/>
        </w:rPr>
        <w:t>(…)”</w:t>
      </w:r>
    </w:p>
    <w:p w14:paraId="0345D81A" w14:textId="77777777" w:rsidR="000122E5" w:rsidRPr="00F04130" w:rsidRDefault="000122E5">
      <w:pPr>
        <w:spacing w:before="120" w:line="360" w:lineRule="auto"/>
        <w:ind w:right="709"/>
        <w:jc w:val="both"/>
        <w:rPr>
          <w:rFonts w:ascii="Palatino Linotype" w:hAnsi="Palatino Linotype" w:cs="Arial"/>
        </w:rPr>
      </w:pPr>
    </w:p>
    <w:p w14:paraId="298016EB"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eastAsia="Calibri" w:hAnsi="Palatino Linotype" w:cs="Arial"/>
          <w:lang w:eastAsia="es-ES"/>
        </w:rPr>
        <w:t xml:space="preserve">Derivado de lo anterior, se obvia el análisis de fondo en el presente recurso de revisión, respecto de las razones o motivos de inconformidad expresados por el </w:t>
      </w:r>
      <w:r w:rsidRPr="00F04130">
        <w:rPr>
          <w:rFonts w:ascii="Palatino Linotype" w:eastAsia="Calibri" w:hAnsi="Palatino Linotype" w:cs="Arial"/>
          <w:b/>
          <w:lang w:eastAsia="es-ES"/>
        </w:rPr>
        <w:t>Recurrente</w:t>
      </w:r>
      <w:r w:rsidRPr="00F04130">
        <w:rPr>
          <w:rFonts w:ascii="Palatino Linotype" w:eastAsia="Calibri" w:hAnsi="Palatino Linotype" w:cs="Arial"/>
          <w:lang w:eastAsia="es-ES"/>
        </w:rPr>
        <w:t xml:space="preserve">, pues aunque éstas resultaren fundadas, en nada abonaría llegar a dicha conclusión, pues el recurso de revisión debe desecharse por ser notoriamente improcedente al haberse interpuesto de manera extemporánea. </w:t>
      </w:r>
      <w:r w:rsidRPr="00F04130">
        <w:rPr>
          <w:rFonts w:ascii="Palatino Linotype" w:hAnsi="Palatino Linotype" w:cs="Arial"/>
          <w:lang w:eastAsia="es-ES"/>
        </w:rPr>
        <w:t xml:space="preserve">Sirve de apoyo a lo anterior, por analogía la Tesis Jurisprudencial </w:t>
      </w:r>
      <w:r w:rsidRPr="00F04130">
        <w:rPr>
          <w:rFonts w:ascii="Palatino Linotype" w:hAnsi="Palatino Linotype" w:cs="Arial"/>
          <w:bCs/>
          <w:lang w:eastAsia="es-ES"/>
        </w:rPr>
        <w:t xml:space="preserve">con número de registro 2011170 de la </w:t>
      </w:r>
      <w:r w:rsidRPr="00F04130">
        <w:rPr>
          <w:rFonts w:ascii="Palatino Linotype" w:eastAsia="Calibri" w:hAnsi="Palatino Linotype" w:cs="Arial"/>
          <w:lang w:eastAsia="es-ES"/>
        </w:rPr>
        <w:t xml:space="preserve">Décima </w:t>
      </w:r>
      <w:r w:rsidRPr="00F04130">
        <w:rPr>
          <w:rFonts w:ascii="Palatino Linotype" w:hAnsi="Palatino Linotype" w:cs="Arial"/>
          <w:bCs/>
          <w:lang w:eastAsia="es-ES"/>
        </w:rPr>
        <w:t xml:space="preserve">Época de la Primera Sala de la Suprema Corte de Justicia de la Nación, publicada en la página 966 del </w:t>
      </w:r>
      <w:r w:rsidRPr="00F04130">
        <w:rPr>
          <w:rFonts w:ascii="Palatino Linotype" w:eastAsia="Calibri" w:hAnsi="Palatino Linotype" w:cs="Arial"/>
          <w:lang w:eastAsia="es-ES"/>
        </w:rPr>
        <w:t>Libro 28, Tomo I</w:t>
      </w:r>
      <w:r w:rsidRPr="00F04130">
        <w:rPr>
          <w:rFonts w:ascii="Palatino Linotype" w:hAnsi="Palatino Linotype" w:cs="Arial"/>
          <w:bCs/>
          <w:lang w:eastAsia="es-ES"/>
        </w:rPr>
        <w:t xml:space="preserve">, de </w:t>
      </w:r>
      <w:r w:rsidRPr="00F04130">
        <w:rPr>
          <w:rFonts w:ascii="Palatino Linotype" w:eastAsia="Calibri" w:hAnsi="Palatino Linotype" w:cs="Arial"/>
          <w:lang w:eastAsia="es-ES"/>
        </w:rPr>
        <w:t>marzo de 2016</w:t>
      </w:r>
      <w:r w:rsidRPr="00F04130">
        <w:rPr>
          <w:rFonts w:ascii="Palatino Linotype" w:hAnsi="Palatino Linotype" w:cs="Arial"/>
        </w:rPr>
        <w:t>, del Semanario Judicial de la Federación y su Gaceta, misma que es del tenor</w:t>
      </w:r>
      <w:r w:rsidRPr="00F04130">
        <w:rPr>
          <w:rFonts w:ascii="Palatino Linotype" w:hAnsi="Palatino Linotype" w:cs="Arial"/>
          <w:bCs/>
          <w:lang w:eastAsia="es-ES"/>
        </w:rPr>
        <w:t xml:space="preserve"> literal siguiente:</w:t>
      </w:r>
    </w:p>
    <w:p w14:paraId="31FBF510" w14:textId="77777777" w:rsidR="000122E5" w:rsidRPr="00F04130" w:rsidRDefault="000122E5">
      <w:pPr>
        <w:spacing w:before="240" w:after="240" w:line="360" w:lineRule="auto"/>
        <w:contextualSpacing/>
        <w:jc w:val="both"/>
        <w:rPr>
          <w:rFonts w:ascii="Palatino Linotype" w:hAnsi="Palatino Linotype"/>
          <w:color w:val="000000"/>
        </w:rPr>
      </w:pPr>
    </w:p>
    <w:p w14:paraId="29F5406E" w14:textId="77777777" w:rsidR="000122E5" w:rsidRPr="00F04130" w:rsidRDefault="00DA5F44">
      <w:pPr>
        <w:ind w:left="567" w:right="539"/>
        <w:jc w:val="both"/>
        <w:rPr>
          <w:rFonts w:ascii="Palatino Linotype" w:hAnsi="Palatino Linotype" w:cs="Arial"/>
          <w:b/>
          <w:i/>
          <w:sz w:val="22"/>
        </w:rPr>
      </w:pPr>
      <w:r w:rsidRPr="00F04130">
        <w:rPr>
          <w:rFonts w:ascii="Palatino Linotype" w:hAnsi="Palatino Linotype" w:cs="Arial"/>
          <w:b/>
          <w:i/>
          <w:sz w:val="22"/>
          <w:lang w:eastAsia="es-ES"/>
        </w:rPr>
        <w:t>REVISIÓN EN AMPARO DIRECTO. ES EXTEMPORÁNEO CUANDO SU ADMISIÓN SE BASA EN EL SUPUESTO DE "PRESUNCIÓN DE OPORTUNIDAD", POR LO QUE DEBE PROCEDER SU DESECHAMIENTO POR IMPROCEDENTE.</w:t>
      </w:r>
    </w:p>
    <w:p w14:paraId="40B578BA" w14:textId="77777777" w:rsidR="000122E5" w:rsidRPr="00F04130" w:rsidRDefault="000122E5">
      <w:pPr>
        <w:ind w:left="567" w:right="539"/>
        <w:rPr>
          <w:rFonts w:ascii="Palatino Linotype" w:hAnsi="Palatino Linotype" w:cs="Arial"/>
          <w:i/>
          <w:sz w:val="22"/>
        </w:rPr>
      </w:pPr>
    </w:p>
    <w:p w14:paraId="0CE55D54" w14:textId="77777777" w:rsidR="000122E5" w:rsidRPr="00F04130" w:rsidRDefault="00DA5F44">
      <w:pPr>
        <w:ind w:left="567" w:right="539"/>
        <w:jc w:val="both"/>
        <w:rPr>
          <w:rFonts w:ascii="Palatino Linotype" w:hAnsi="Palatino Linotype" w:cs="Arial"/>
          <w:i/>
          <w:sz w:val="22"/>
          <w:lang w:eastAsia="es-ES"/>
        </w:rPr>
      </w:pPr>
      <w:r w:rsidRPr="00F04130">
        <w:rPr>
          <w:rFonts w:ascii="Palatino Linotype" w:hAnsi="Palatino Linotype" w:cs="Arial"/>
          <w:i/>
          <w:sz w:val="22"/>
          <w:lang w:eastAsia="es-ES"/>
        </w:rPr>
        <w:t>Es extemporánea la interposición del recurso de revisión en amparo directo, cuando el escrito de agravios se presenta fuera del plazo de diez días previsto en el artículo </w:t>
      </w:r>
      <w:hyperlink r:id="rId8">
        <w:r w:rsidRPr="00F04130">
          <w:rPr>
            <w:rFonts w:ascii="Palatino Linotype" w:hAnsi="Palatino Linotype" w:cs="Arial"/>
            <w:i/>
            <w:sz w:val="22"/>
            <w:lang w:eastAsia="es-ES"/>
          </w:rPr>
          <w:t>86, párrafo primero, de la Ley de Amparo</w:t>
        </w:r>
      </w:hyperlink>
      <w:r w:rsidRPr="00F04130">
        <w:rPr>
          <w:rFonts w:ascii="Palatino Linotype" w:hAnsi="Palatino Linotype" w:cs="Arial"/>
          <w:i/>
          <w:sz w:val="22"/>
          <w:lang w:eastAsia="es-ES"/>
        </w:rPr>
        <w:t xml:space="preserve">, contados a partir del siguiente al en que </w:t>
      </w:r>
      <w:r w:rsidRPr="00F04130">
        <w:rPr>
          <w:rFonts w:ascii="Palatino Linotype" w:hAnsi="Palatino Linotype" w:cs="Arial"/>
          <w:i/>
          <w:sz w:val="22"/>
          <w:lang w:eastAsia="es-ES"/>
        </w:rPr>
        <w:lastRenderedPageBreak/>
        <w:t>hubiera surtido efectos la notificación de la resolución recurrida, a fin de estimar acreditado el requisito de oportunidad. Ello, con independencia de la forma en que se llevó a cabo la notificación y cómo se ordenó su realización. En ese sentido, si en el acuerdo de presidencia se admite el recurso de revisión bajo el supuesto de "presunción de oportunidad", al considerarse que fue incorrecto que se notificara la sentencia recurrida por medio de lista, por advertir de la demanda de amparo una solicitud de interpretación constitucional, lo cual daba lugar a considerar la oportunidad del medio de impugnación, dicha circunstancia es incorrecta, en razón de que el recurso de revisión en amparo directo no es la vía idónea para tener por subsanada, incluso de oficio, la incorrecta notificación de la sentencia constitucional realizada a las partes, sino el incidente de nulidad de notificación previsto en el artículo </w:t>
      </w:r>
      <w:hyperlink r:id="rId9">
        <w:r w:rsidRPr="00F04130">
          <w:rPr>
            <w:rFonts w:ascii="Palatino Linotype" w:hAnsi="Palatino Linotype" w:cs="Arial"/>
            <w:i/>
            <w:sz w:val="22"/>
            <w:lang w:eastAsia="es-ES"/>
          </w:rPr>
          <w:t>68 de la Ley de Amparo</w:t>
        </w:r>
      </w:hyperlink>
      <w:r w:rsidRPr="00F04130">
        <w:rPr>
          <w:rFonts w:ascii="Palatino Linotype" w:hAnsi="Palatino Linotype" w:cs="Arial"/>
          <w:i/>
          <w:sz w:val="22"/>
          <w:lang w:eastAsia="es-ES"/>
        </w:rPr>
        <w:t xml:space="preserve">, por lo que si al </w:t>
      </w:r>
      <w:r w:rsidRPr="00F04130">
        <w:rPr>
          <w:rFonts w:ascii="Palatino Linotype" w:hAnsi="Palatino Linotype" w:cs="Arial"/>
          <w:b/>
          <w:i/>
          <w:sz w:val="22"/>
          <w:lang w:eastAsia="es-ES"/>
        </w:rPr>
        <w:t xml:space="preserve">reexaminar la temporalidad de la interposición del recurso se advierte que se hizo valer de forma extemporánea, debe proceder su </w:t>
      </w:r>
      <w:proofErr w:type="spellStart"/>
      <w:r w:rsidRPr="00F04130">
        <w:rPr>
          <w:rFonts w:ascii="Palatino Linotype" w:hAnsi="Palatino Linotype" w:cs="Arial"/>
          <w:b/>
          <w:i/>
          <w:sz w:val="22"/>
          <w:lang w:eastAsia="es-ES"/>
        </w:rPr>
        <w:t>desechamiento</w:t>
      </w:r>
      <w:proofErr w:type="spellEnd"/>
      <w:r w:rsidRPr="00F04130">
        <w:rPr>
          <w:rFonts w:ascii="Palatino Linotype" w:hAnsi="Palatino Linotype" w:cs="Arial"/>
          <w:b/>
          <w:i/>
          <w:sz w:val="22"/>
          <w:lang w:eastAsia="es-ES"/>
        </w:rPr>
        <w:t xml:space="preserve"> por improcedente</w:t>
      </w:r>
      <w:r w:rsidRPr="00F04130">
        <w:rPr>
          <w:rFonts w:ascii="Palatino Linotype" w:hAnsi="Palatino Linotype" w:cs="Arial"/>
          <w:i/>
          <w:sz w:val="22"/>
          <w:lang w:eastAsia="es-ES"/>
        </w:rPr>
        <w:t>.</w:t>
      </w:r>
    </w:p>
    <w:p w14:paraId="563A0641" w14:textId="77777777" w:rsidR="000122E5" w:rsidRPr="00F04130" w:rsidRDefault="000122E5">
      <w:pPr>
        <w:tabs>
          <w:tab w:val="left" w:pos="426"/>
        </w:tabs>
        <w:spacing w:before="240" w:after="240" w:line="360" w:lineRule="auto"/>
        <w:contextualSpacing/>
        <w:jc w:val="both"/>
        <w:rPr>
          <w:rFonts w:ascii="Palatino Linotype" w:hAnsi="Palatino Linotype"/>
          <w:color w:val="000000"/>
        </w:rPr>
      </w:pPr>
    </w:p>
    <w:p w14:paraId="0B0EC1EF"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hAnsi="Palatino Linotype"/>
          <w:color w:val="000000"/>
        </w:rPr>
        <w:t xml:space="preserve">Es por ello, que la Ley en la materia contempla que en los casos en que el recurso de revisión </w:t>
      </w:r>
      <w:r w:rsidRPr="00F04130">
        <w:rPr>
          <w:rFonts w:ascii="Palatino Linotype" w:hAnsi="Palatino Linotype" w:cs="Arial"/>
          <w:lang w:val="es-ES_tradnl" w:eastAsia="es-ES"/>
        </w:rPr>
        <w:t xml:space="preserve">al ser interpuesto de manera extemporánea respecto del plazo otorgado </w:t>
      </w:r>
      <w:r w:rsidRPr="00F04130">
        <w:rPr>
          <w:rFonts w:ascii="Palatino Linotype" w:hAnsi="Palatino Linotype" w:cs="Arial"/>
          <w:lang w:eastAsia="es-ES"/>
        </w:rPr>
        <w:t>para tales efectos</w:t>
      </w:r>
      <w:r w:rsidRPr="00F04130">
        <w:rPr>
          <w:rFonts w:ascii="Palatino Linotype" w:hAnsi="Palatino Linotype"/>
          <w:lang w:eastAsia="es-ES_tradnl"/>
        </w:rPr>
        <w:t xml:space="preserve">, deberá ser desechado de conformidad con lo señalado en el </w:t>
      </w:r>
      <w:r w:rsidR="00CD6F37" w:rsidRPr="00F04130">
        <w:rPr>
          <w:rFonts w:ascii="Palatino Linotype" w:hAnsi="Palatino Linotype" w:cs="Arial"/>
          <w:lang w:val="es-ES_tradnl" w:eastAsia="es-ES"/>
        </w:rPr>
        <w:t>artículo 138</w:t>
      </w:r>
      <w:r w:rsidRPr="00F04130">
        <w:rPr>
          <w:rFonts w:ascii="Palatino Linotype" w:hAnsi="Palatino Linotype" w:cs="Arial"/>
          <w:lang w:val="es-ES_tradnl" w:eastAsia="es-ES"/>
        </w:rPr>
        <w:t xml:space="preserve"> fracción I de la </w:t>
      </w:r>
      <w:r w:rsidR="00CD6F37" w:rsidRPr="00F04130">
        <w:rPr>
          <w:rFonts w:ascii="Palatino Linotype" w:hAnsi="Palatino Linotype" w:cs="Arial"/>
          <w:lang w:eastAsia="es-ES"/>
        </w:rPr>
        <w:t>Ley de Protección de Datos Personales en Posesión de Sujetos Obligados del Estado de México y Municipios</w:t>
      </w:r>
      <w:r w:rsidRPr="00F04130">
        <w:rPr>
          <w:rFonts w:ascii="Palatino Linotype" w:eastAsia="Calibri" w:hAnsi="Palatino Linotype" w:cs="Arial"/>
          <w:lang w:eastAsia="es-ES"/>
        </w:rPr>
        <w:t>, mismos que se transcriben a continuación:</w:t>
      </w:r>
    </w:p>
    <w:p w14:paraId="5032AAE4" w14:textId="77777777" w:rsidR="000122E5" w:rsidRPr="00F04130" w:rsidRDefault="000122E5">
      <w:pPr>
        <w:tabs>
          <w:tab w:val="left" w:pos="426"/>
        </w:tabs>
        <w:spacing w:before="240" w:after="240" w:line="360" w:lineRule="auto"/>
        <w:contextualSpacing/>
        <w:jc w:val="both"/>
        <w:rPr>
          <w:rFonts w:ascii="Palatino Linotype" w:hAnsi="Palatino Linotype"/>
          <w:color w:val="000000"/>
        </w:rPr>
      </w:pPr>
    </w:p>
    <w:p w14:paraId="42D2C817" w14:textId="77777777" w:rsidR="00CD6F37" w:rsidRPr="00F04130" w:rsidRDefault="00CD6F37" w:rsidP="00CD6F37">
      <w:pPr>
        <w:spacing w:before="120"/>
        <w:ind w:left="567" w:right="539"/>
        <w:jc w:val="both"/>
        <w:rPr>
          <w:rFonts w:ascii="Palatino Linotype" w:hAnsi="Palatino Linotype" w:cs="Arial"/>
          <w:i/>
          <w:sz w:val="22"/>
          <w:szCs w:val="22"/>
        </w:rPr>
      </w:pPr>
      <w:r w:rsidRPr="00F04130">
        <w:rPr>
          <w:rFonts w:ascii="Palatino Linotype" w:hAnsi="Palatino Linotype" w:cs="Arial"/>
          <w:i/>
          <w:sz w:val="22"/>
          <w:szCs w:val="22"/>
          <w:lang w:eastAsia="es-ES"/>
        </w:rPr>
        <w:t>“</w:t>
      </w:r>
      <w:r w:rsidRPr="00F04130">
        <w:rPr>
          <w:rFonts w:ascii="Palatino Linotype" w:hAnsi="Palatino Linotype" w:cs="Arial"/>
          <w:b/>
          <w:i/>
          <w:sz w:val="22"/>
          <w:szCs w:val="22"/>
          <w:lang w:eastAsia="es-ES"/>
        </w:rPr>
        <w:t>Artículo 138</w:t>
      </w:r>
      <w:r w:rsidRPr="00F04130">
        <w:rPr>
          <w:rFonts w:ascii="Palatino Linotype" w:hAnsi="Palatino Linotype" w:cs="Arial"/>
          <w:i/>
          <w:sz w:val="22"/>
          <w:szCs w:val="22"/>
          <w:lang w:eastAsia="es-ES"/>
        </w:rPr>
        <w:t xml:space="preserve">. El recurso de revisión podrá ser desechado por improcedente cuando: </w:t>
      </w:r>
    </w:p>
    <w:p w14:paraId="2B52FD56" w14:textId="77777777" w:rsidR="00CD6F37" w:rsidRPr="00F04130" w:rsidRDefault="00CD6F37" w:rsidP="00CD6F37">
      <w:pPr>
        <w:spacing w:before="120"/>
        <w:ind w:left="567" w:right="539"/>
        <w:jc w:val="both"/>
        <w:rPr>
          <w:rFonts w:ascii="Palatino Linotype" w:hAnsi="Palatino Linotype" w:cs="Arial"/>
          <w:i/>
          <w:sz w:val="22"/>
          <w:szCs w:val="22"/>
          <w:lang w:eastAsia="es-ES"/>
        </w:rPr>
      </w:pPr>
      <w:r w:rsidRPr="00F04130">
        <w:rPr>
          <w:rFonts w:ascii="Palatino Linotype" w:hAnsi="Palatino Linotype" w:cs="Arial"/>
          <w:i/>
          <w:sz w:val="22"/>
          <w:szCs w:val="22"/>
          <w:lang w:eastAsia="es-ES"/>
        </w:rPr>
        <w:t>I. Sea extemporáneo por haber transcurrido el plazo establecido en el artículo 128 de la presente Ley;</w:t>
      </w:r>
    </w:p>
    <w:p w14:paraId="29CDA40F" w14:textId="77777777" w:rsidR="00CD6F37" w:rsidRPr="00F04130" w:rsidRDefault="00CD6F37" w:rsidP="00CD6F37">
      <w:pPr>
        <w:spacing w:before="120"/>
        <w:ind w:left="567" w:right="539"/>
        <w:jc w:val="both"/>
        <w:rPr>
          <w:rFonts w:ascii="Palatino Linotype" w:hAnsi="Palatino Linotype" w:cs="Arial"/>
          <w:i/>
          <w:sz w:val="22"/>
          <w:szCs w:val="22"/>
          <w:lang w:eastAsia="es-ES"/>
        </w:rPr>
      </w:pPr>
      <w:r w:rsidRPr="00F04130">
        <w:rPr>
          <w:rFonts w:ascii="Palatino Linotype" w:hAnsi="Palatino Linotype" w:cs="Arial"/>
          <w:i/>
          <w:sz w:val="22"/>
          <w:szCs w:val="22"/>
          <w:lang w:eastAsia="es-ES"/>
        </w:rPr>
        <w:t>(…)”</w:t>
      </w:r>
    </w:p>
    <w:p w14:paraId="511BA8CB" w14:textId="77777777" w:rsidR="000122E5" w:rsidRPr="00F04130" w:rsidRDefault="000122E5">
      <w:pPr>
        <w:spacing w:before="120" w:line="360" w:lineRule="auto"/>
        <w:ind w:right="709"/>
        <w:jc w:val="both"/>
        <w:rPr>
          <w:rFonts w:ascii="Palatino Linotype" w:hAnsi="Palatino Linotype" w:cs="Arial"/>
        </w:rPr>
      </w:pPr>
    </w:p>
    <w:p w14:paraId="2D274951"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hAnsi="Palatino Linotype"/>
          <w:color w:val="000000"/>
        </w:rPr>
        <w:t xml:space="preserve">Consecuentemente, </w:t>
      </w:r>
      <w:r w:rsidRPr="00F04130">
        <w:rPr>
          <w:rFonts w:ascii="Palatino Linotype" w:hAnsi="Palatino Linotype" w:cs="Arial"/>
          <w:color w:val="000000"/>
        </w:rPr>
        <w:t xml:space="preserve">en términos del artículo 191, fracción I, de la Ley de Transparencia y Acceso a la Información Pública del Estado de México y Municipios, este Instituto </w:t>
      </w:r>
      <w:r w:rsidRPr="00F04130">
        <w:rPr>
          <w:rFonts w:ascii="Palatino Linotype" w:eastAsia="Calibri" w:hAnsi="Palatino Linotype"/>
          <w:lang w:val="es-CO"/>
        </w:rPr>
        <w:t xml:space="preserve">determina el </w:t>
      </w:r>
      <w:r w:rsidRPr="00F04130">
        <w:rPr>
          <w:rFonts w:ascii="Palatino Linotype" w:eastAsia="Calibri" w:hAnsi="Palatino Linotype"/>
          <w:b/>
          <w:lang w:val="es-CO"/>
        </w:rPr>
        <w:t xml:space="preserve">SOBRESEIMIENTO </w:t>
      </w:r>
      <w:r w:rsidRPr="00F04130">
        <w:rPr>
          <w:rFonts w:ascii="Palatino Linotype" w:eastAsia="Calibri" w:hAnsi="Palatino Linotype"/>
          <w:lang w:val="es-CO"/>
        </w:rPr>
        <w:t>del presente recurso de revisión,</w:t>
      </w:r>
      <w:r w:rsidRPr="00F04130">
        <w:rPr>
          <w:rFonts w:ascii="Palatino Linotype" w:hAnsi="Palatino Linotype"/>
        </w:rPr>
        <w:t xml:space="preserve"> por</w:t>
      </w:r>
      <w:r w:rsidRPr="00F04130">
        <w:rPr>
          <w:rFonts w:ascii="Palatino Linotype" w:hAnsi="Palatino Linotype"/>
          <w:spacing w:val="1"/>
        </w:rPr>
        <w:t xml:space="preserve"> </w:t>
      </w:r>
      <w:r w:rsidRPr="00F04130">
        <w:rPr>
          <w:rFonts w:ascii="Palatino Linotype" w:hAnsi="Palatino Linotype"/>
        </w:rPr>
        <w:t>resultar</w:t>
      </w:r>
      <w:r w:rsidRPr="00F04130">
        <w:rPr>
          <w:rFonts w:ascii="Palatino Linotype" w:hAnsi="Palatino Linotype"/>
          <w:spacing w:val="1"/>
        </w:rPr>
        <w:t xml:space="preserve"> </w:t>
      </w:r>
      <w:r w:rsidRPr="00F04130">
        <w:rPr>
          <w:rFonts w:ascii="Palatino Linotype" w:hAnsi="Palatino Linotype"/>
        </w:rPr>
        <w:t>improcedente</w:t>
      </w:r>
      <w:r w:rsidR="00CD6F37" w:rsidRPr="00F04130">
        <w:rPr>
          <w:rFonts w:ascii="Palatino Linotype" w:hAnsi="Palatino Linotype"/>
        </w:rPr>
        <w:t>, de acuerdo con el artículo 139, fracción III</w:t>
      </w:r>
      <w:r w:rsidRPr="00F04130">
        <w:rPr>
          <w:rFonts w:ascii="Palatino Linotype" w:hAnsi="Palatino Linotype"/>
        </w:rPr>
        <w:t xml:space="preserve"> de la misma Ley.</w:t>
      </w:r>
    </w:p>
    <w:p w14:paraId="57346C89" w14:textId="77777777" w:rsidR="000122E5" w:rsidRPr="00F04130" w:rsidRDefault="000122E5">
      <w:pPr>
        <w:spacing w:before="240" w:after="240" w:line="360" w:lineRule="auto"/>
        <w:contextualSpacing/>
        <w:jc w:val="both"/>
        <w:rPr>
          <w:rFonts w:ascii="Palatino Linotype" w:hAnsi="Palatino Linotype"/>
          <w:color w:val="000000"/>
        </w:rPr>
      </w:pPr>
    </w:p>
    <w:p w14:paraId="1134A1E2" w14:textId="77777777" w:rsidR="00CD6F37" w:rsidRPr="00F04130" w:rsidRDefault="00DA5F44" w:rsidP="00CD6F37">
      <w:pPr>
        <w:spacing w:before="240" w:after="240"/>
        <w:ind w:left="567" w:right="539"/>
        <w:contextualSpacing/>
        <w:jc w:val="both"/>
        <w:rPr>
          <w:rFonts w:ascii="Palatino Linotype" w:hAnsi="Palatino Linotype"/>
          <w:i/>
        </w:rPr>
      </w:pPr>
      <w:r w:rsidRPr="00F04130">
        <w:rPr>
          <w:rFonts w:ascii="Palatino Linotype" w:hAnsi="Palatino Linotype"/>
          <w:i/>
          <w:iCs/>
        </w:rPr>
        <w:t>“</w:t>
      </w:r>
      <w:r w:rsidR="00CD6F37" w:rsidRPr="00F04130">
        <w:rPr>
          <w:rFonts w:ascii="Palatino Linotype" w:hAnsi="Palatino Linotype"/>
          <w:b/>
          <w:i/>
        </w:rPr>
        <w:t>Artículo 139</w:t>
      </w:r>
      <w:r w:rsidR="00CD6F37" w:rsidRPr="00F04130">
        <w:rPr>
          <w:rFonts w:ascii="Palatino Linotype" w:hAnsi="Palatino Linotype"/>
          <w:i/>
        </w:rPr>
        <w:t xml:space="preserve">. El recurso de revisión sólo podrá ser sobreseído cuando: </w:t>
      </w:r>
    </w:p>
    <w:p w14:paraId="2B3313F9" w14:textId="77777777" w:rsidR="00CD6F37" w:rsidRPr="00F04130" w:rsidRDefault="00CD6F37" w:rsidP="00CD6F37">
      <w:pPr>
        <w:pStyle w:val="Prrafodelista"/>
        <w:numPr>
          <w:ilvl w:val="0"/>
          <w:numId w:val="5"/>
        </w:numPr>
        <w:spacing w:before="240" w:after="240"/>
        <w:ind w:right="539"/>
        <w:jc w:val="both"/>
        <w:rPr>
          <w:rFonts w:ascii="Palatino Linotype" w:hAnsi="Palatino Linotype"/>
          <w:i/>
        </w:rPr>
      </w:pPr>
      <w:r w:rsidRPr="00F04130">
        <w:rPr>
          <w:rFonts w:ascii="Palatino Linotype" w:hAnsi="Palatino Linotype"/>
          <w:i/>
        </w:rPr>
        <w:t xml:space="preserve">El recurrente se desista expresamente. </w:t>
      </w:r>
    </w:p>
    <w:p w14:paraId="61920C20" w14:textId="77777777" w:rsidR="00CD6F37" w:rsidRPr="00F04130" w:rsidRDefault="00CD6F37" w:rsidP="00CD6F37">
      <w:pPr>
        <w:pStyle w:val="Prrafodelista"/>
        <w:numPr>
          <w:ilvl w:val="0"/>
          <w:numId w:val="5"/>
        </w:numPr>
        <w:spacing w:before="240" w:after="240"/>
        <w:ind w:right="539"/>
        <w:jc w:val="both"/>
        <w:rPr>
          <w:rFonts w:ascii="Palatino Linotype" w:hAnsi="Palatino Linotype"/>
          <w:i/>
          <w:color w:val="000000"/>
        </w:rPr>
      </w:pPr>
      <w:r w:rsidRPr="00F04130">
        <w:rPr>
          <w:rFonts w:ascii="Palatino Linotype" w:hAnsi="Palatino Linotype"/>
          <w:i/>
        </w:rPr>
        <w:t xml:space="preserve">II. El recurrente fallezca. </w:t>
      </w:r>
    </w:p>
    <w:p w14:paraId="3AE80B35" w14:textId="77777777" w:rsidR="00CD6F37" w:rsidRPr="00F04130" w:rsidRDefault="00CD6F37" w:rsidP="00CD6F37">
      <w:pPr>
        <w:pStyle w:val="Prrafodelista"/>
        <w:numPr>
          <w:ilvl w:val="0"/>
          <w:numId w:val="5"/>
        </w:numPr>
        <w:spacing w:before="240" w:after="240"/>
        <w:ind w:right="539"/>
        <w:jc w:val="both"/>
        <w:rPr>
          <w:rFonts w:ascii="Palatino Linotype" w:hAnsi="Palatino Linotype"/>
          <w:b/>
          <w:i/>
          <w:color w:val="000000"/>
        </w:rPr>
      </w:pPr>
      <w:r w:rsidRPr="00F04130">
        <w:rPr>
          <w:rFonts w:ascii="Palatino Linotype" w:hAnsi="Palatino Linotype"/>
          <w:b/>
          <w:i/>
        </w:rPr>
        <w:t xml:space="preserve">Admitido el recurso de revisión, se actualice alguna causal de improcedencia en los términos de la presente Ley. </w:t>
      </w:r>
    </w:p>
    <w:p w14:paraId="7302B316" w14:textId="77777777" w:rsidR="000122E5" w:rsidRPr="00F04130" w:rsidRDefault="00CD6F37" w:rsidP="00CD6F37">
      <w:pPr>
        <w:pStyle w:val="Prrafodelista"/>
        <w:numPr>
          <w:ilvl w:val="0"/>
          <w:numId w:val="5"/>
        </w:numPr>
        <w:spacing w:before="240" w:after="240"/>
        <w:ind w:right="539"/>
        <w:jc w:val="both"/>
        <w:rPr>
          <w:rFonts w:ascii="Palatino Linotype" w:hAnsi="Palatino Linotype"/>
          <w:i/>
          <w:color w:val="000000"/>
        </w:rPr>
      </w:pPr>
      <w:r w:rsidRPr="00F04130">
        <w:rPr>
          <w:rFonts w:ascii="Palatino Linotype" w:hAnsi="Palatino Linotype"/>
          <w:i/>
        </w:rPr>
        <w:t>El responsable modifique o revoque su respuesta de tal manera que el recurso de revisión quede sin materia. V. Quede sin materia el recurso de revisión.</w:t>
      </w:r>
    </w:p>
    <w:p w14:paraId="499D5418"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olor w:val="000000"/>
        </w:rPr>
      </w:pPr>
      <w:r w:rsidRPr="00F04130">
        <w:rPr>
          <w:rFonts w:ascii="Palatino Linotype" w:eastAsia="Calibri" w:hAnsi="Palatino Linotype" w:cs="Arial"/>
          <w:lang w:eastAsia="es-ES"/>
        </w:rPr>
        <w:t xml:space="preserve">Finalmente, es de precisar que se dejan a salvo los derechos del </w:t>
      </w:r>
      <w:r w:rsidRPr="00F04130">
        <w:rPr>
          <w:rFonts w:ascii="Palatino Linotype" w:eastAsia="Calibri" w:hAnsi="Palatino Linotype" w:cs="Arial"/>
          <w:b/>
          <w:lang w:eastAsia="es-ES"/>
        </w:rPr>
        <w:t>Recurrente</w:t>
      </w:r>
      <w:r w:rsidRPr="00F04130">
        <w:rPr>
          <w:rFonts w:ascii="Palatino Linotype" w:eastAsia="Calibri" w:hAnsi="Palatino Linotype" w:cs="Arial"/>
          <w:lang w:eastAsia="es-ES"/>
        </w:rPr>
        <w:t xml:space="preserve"> a fin de que formule las solicitudes que a su derecho convengan.</w:t>
      </w:r>
    </w:p>
    <w:p w14:paraId="33AFF55C" w14:textId="77777777" w:rsidR="000122E5" w:rsidRPr="00F04130" w:rsidRDefault="000122E5">
      <w:pPr>
        <w:tabs>
          <w:tab w:val="left" w:pos="426"/>
        </w:tabs>
        <w:spacing w:before="240" w:after="240" w:line="360" w:lineRule="auto"/>
        <w:contextualSpacing/>
        <w:jc w:val="both"/>
        <w:rPr>
          <w:rFonts w:ascii="Palatino Linotype" w:hAnsi="Palatino Linotype"/>
          <w:color w:val="000000"/>
        </w:rPr>
      </w:pPr>
    </w:p>
    <w:p w14:paraId="00649FB2" w14:textId="77777777" w:rsidR="000122E5" w:rsidRPr="00F04130" w:rsidRDefault="00DA5F44">
      <w:pPr>
        <w:numPr>
          <w:ilvl w:val="0"/>
          <w:numId w:val="1"/>
        </w:numPr>
        <w:tabs>
          <w:tab w:val="left" w:pos="0"/>
        </w:tabs>
        <w:spacing w:before="240" w:after="240" w:line="360" w:lineRule="auto"/>
        <w:ind w:left="0" w:firstLine="0"/>
        <w:contextualSpacing/>
        <w:jc w:val="both"/>
        <w:rPr>
          <w:rFonts w:ascii="Palatino Linotype" w:hAnsi="Palatino Linotype" w:cs="Arial"/>
        </w:rPr>
      </w:pPr>
      <w:r w:rsidRPr="00F04130">
        <w:rPr>
          <w:rFonts w:ascii="Palatino Linotype" w:hAnsi="Palatino Linotype"/>
          <w:lang w:val="es-ES"/>
        </w:rPr>
        <w:t xml:space="preserve">Por lo anteriormente expuesto y fundado, este </w:t>
      </w:r>
      <w:r w:rsidRPr="00F04130">
        <w:rPr>
          <w:rFonts w:ascii="Palatino Linotype" w:hAnsi="Palatino Linotype"/>
          <w:b/>
          <w:bCs/>
          <w:lang w:val="es-ES"/>
        </w:rPr>
        <w:t>ÓRGANO GARANTE</w:t>
      </w:r>
      <w:r w:rsidRPr="00F04130">
        <w:rPr>
          <w:rFonts w:ascii="Palatino Linotype" w:hAnsi="Palatino Linotype"/>
          <w:lang w:val="es-ES"/>
        </w:rPr>
        <w:t xml:space="preserve"> emite los siguientes:</w:t>
      </w:r>
    </w:p>
    <w:p w14:paraId="2F4F17E7" w14:textId="77777777" w:rsidR="000122E5" w:rsidRPr="00F04130" w:rsidRDefault="00DA5F44">
      <w:pPr>
        <w:keepNext/>
        <w:keepLines/>
        <w:spacing w:before="240" w:line="360" w:lineRule="auto"/>
        <w:jc w:val="center"/>
        <w:outlineLvl w:val="0"/>
        <w:rPr>
          <w:rFonts w:ascii="Palatino Linotype" w:eastAsia="MS Gothic" w:hAnsi="Palatino Linotype"/>
          <w:color w:val="000000"/>
        </w:rPr>
      </w:pPr>
      <w:bookmarkStart w:id="6" w:name="_Toc29544442"/>
      <w:bookmarkStart w:id="7" w:name="_Toc494991893"/>
      <w:bookmarkStart w:id="8" w:name="_Toc491854740"/>
      <w:bookmarkStart w:id="9" w:name="_Toc490734332"/>
      <w:bookmarkStart w:id="10" w:name="_Toc490155969"/>
      <w:bookmarkStart w:id="11" w:name="_Toc475381194"/>
      <w:bookmarkStart w:id="12" w:name="_Toc475014715"/>
      <w:r w:rsidRPr="00F04130">
        <w:rPr>
          <w:rFonts w:ascii="Palatino Linotype" w:eastAsia="MS Gothic" w:hAnsi="Palatino Linotype"/>
          <w:b/>
          <w:color w:val="000000"/>
          <w:lang w:val="es-ES" w:eastAsia="es-ES"/>
        </w:rPr>
        <w:t>R E S O L U T I V O S</w:t>
      </w:r>
      <w:bookmarkEnd w:id="6"/>
      <w:bookmarkEnd w:id="7"/>
      <w:bookmarkEnd w:id="8"/>
      <w:bookmarkEnd w:id="9"/>
      <w:bookmarkEnd w:id="10"/>
      <w:bookmarkEnd w:id="11"/>
      <w:bookmarkEnd w:id="12"/>
    </w:p>
    <w:p w14:paraId="0854C127" w14:textId="77777777" w:rsidR="000122E5" w:rsidRPr="00F04130" w:rsidRDefault="000122E5">
      <w:pPr>
        <w:spacing w:line="360" w:lineRule="auto"/>
        <w:rPr>
          <w:rFonts w:ascii="Palatino Linotype" w:eastAsia="MS Mincho" w:hAnsi="Palatino Linotype"/>
        </w:rPr>
      </w:pPr>
    </w:p>
    <w:p w14:paraId="3682BAED" w14:textId="77777777" w:rsidR="000122E5" w:rsidRPr="00F04130" w:rsidRDefault="00DA5F44">
      <w:pPr>
        <w:spacing w:line="360" w:lineRule="auto"/>
        <w:jc w:val="both"/>
        <w:rPr>
          <w:rFonts w:ascii="Palatino Linotype" w:eastAsia="MS Mincho" w:hAnsi="Palatino Linotype" w:cs="Arial"/>
          <w:lang w:val="es-ES_tradnl" w:eastAsia="es-ES"/>
        </w:rPr>
      </w:pPr>
      <w:r w:rsidRPr="00F04130">
        <w:rPr>
          <w:rFonts w:ascii="Palatino Linotype" w:eastAsia="MS Mincho" w:hAnsi="Palatino Linotype" w:cs="Arial"/>
          <w:b/>
          <w:lang w:val="es-ES_tradnl" w:eastAsia="es-ES"/>
        </w:rPr>
        <w:t>PRIMERO</w:t>
      </w:r>
      <w:r w:rsidRPr="00F04130">
        <w:rPr>
          <w:rFonts w:ascii="Palatino Linotype" w:eastAsia="MS Mincho" w:hAnsi="Palatino Linotype" w:cs="Arial"/>
          <w:lang w:val="es-ES_tradnl" w:eastAsia="es-ES"/>
        </w:rPr>
        <w:t xml:space="preserve">. Se </w:t>
      </w:r>
      <w:r w:rsidRPr="00F04130">
        <w:rPr>
          <w:rFonts w:ascii="Palatino Linotype" w:eastAsia="MS Mincho" w:hAnsi="Palatino Linotype" w:cs="Arial"/>
          <w:b/>
          <w:lang w:val="es-ES_tradnl" w:eastAsia="es-ES"/>
        </w:rPr>
        <w:t xml:space="preserve">SOBRESEE </w:t>
      </w:r>
      <w:r w:rsidR="00695627" w:rsidRPr="00F04130">
        <w:rPr>
          <w:rFonts w:ascii="Palatino Linotype" w:eastAsia="MS Mincho" w:hAnsi="Palatino Linotype" w:cs="Arial"/>
          <w:b/>
          <w:lang w:val="es-ES_tradnl" w:eastAsia="es-ES"/>
        </w:rPr>
        <w:t xml:space="preserve">por extemporáneo, </w:t>
      </w:r>
      <w:r w:rsidRPr="00F04130">
        <w:rPr>
          <w:rFonts w:ascii="Palatino Linotype" w:eastAsia="MS Mincho" w:hAnsi="Palatino Linotype" w:cs="Arial"/>
          <w:lang w:val="es-ES_tradnl" w:eastAsia="es-ES"/>
        </w:rPr>
        <w:t>el recurso de revisión</w:t>
      </w:r>
      <w:r w:rsidRPr="00F04130">
        <w:rPr>
          <w:rFonts w:ascii="Palatino Linotype" w:eastAsia="MS Mincho" w:hAnsi="Palatino Linotype" w:cs="Arial"/>
          <w:b/>
          <w:lang w:val="es-ES_tradnl" w:eastAsia="es-ES"/>
        </w:rPr>
        <w:t xml:space="preserve"> </w:t>
      </w:r>
      <w:r w:rsidR="00CD6F37" w:rsidRPr="00F04130">
        <w:rPr>
          <w:rFonts w:ascii="Palatino Linotype" w:eastAsia="MS Mincho" w:hAnsi="Palatino Linotype" w:cs="Arial"/>
          <w:b/>
          <w:lang w:val="es-ES_tradnl" w:eastAsia="es-ES"/>
        </w:rPr>
        <w:t>04838</w:t>
      </w:r>
      <w:r w:rsidRPr="00F04130">
        <w:rPr>
          <w:rFonts w:ascii="Palatino Linotype" w:eastAsia="MS Mincho" w:hAnsi="Palatino Linotype" w:cs="Arial"/>
          <w:b/>
          <w:lang w:val="es-ES_tradnl" w:eastAsia="es-ES"/>
        </w:rPr>
        <w:t>/INFOEM/AD/RR/2024</w:t>
      </w:r>
      <w:r w:rsidR="00CD6F37" w:rsidRPr="00F04130">
        <w:rPr>
          <w:rFonts w:ascii="Palatino Linotype" w:eastAsia="MS Mincho" w:hAnsi="Palatino Linotype" w:cs="Arial"/>
          <w:lang w:val="es-ES_tradnl" w:eastAsia="es-ES"/>
        </w:rPr>
        <w:t>, conforme al artículo 139 fracción III</w:t>
      </w:r>
      <w:r w:rsidRPr="00F04130">
        <w:rPr>
          <w:rFonts w:ascii="Palatino Linotype" w:eastAsia="MS Mincho" w:hAnsi="Palatino Linotype" w:cs="Arial"/>
          <w:lang w:val="es-ES_tradnl" w:eastAsia="es-ES"/>
        </w:rPr>
        <w:t>,</w:t>
      </w:r>
      <w:r w:rsidR="00CD6F37" w:rsidRPr="00F04130">
        <w:rPr>
          <w:rFonts w:ascii="Palatino Linotype" w:eastAsia="MS Mincho" w:hAnsi="Palatino Linotype" w:cs="Arial"/>
          <w:lang w:val="es-ES_tradnl" w:eastAsia="es-ES"/>
        </w:rPr>
        <w:t xml:space="preserve"> en relación con el artículo 138</w:t>
      </w:r>
      <w:r w:rsidRPr="00F04130">
        <w:rPr>
          <w:rFonts w:ascii="Palatino Linotype" w:eastAsia="MS Mincho" w:hAnsi="Palatino Linotype" w:cs="Arial"/>
          <w:lang w:val="es-ES_tradnl" w:eastAsia="es-ES"/>
        </w:rPr>
        <w:t xml:space="preserve"> fracción I de la </w:t>
      </w:r>
      <w:r w:rsidR="00CD6F37" w:rsidRPr="00F04130">
        <w:rPr>
          <w:rFonts w:ascii="Palatino Linotype" w:hAnsi="Palatino Linotype" w:cs="Arial"/>
          <w:lang w:eastAsia="es-ES"/>
        </w:rPr>
        <w:t>Ley de Protección de Datos Personales en Posesión de Sujetos Obligados del Estado de México y Municipios</w:t>
      </w:r>
      <w:r w:rsidRPr="00F04130">
        <w:rPr>
          <w:rFonts w:ascii="Palatino Linotype" w:eastAsia="MS Mincho" w:hAnsi="Palatino Linotype" w:cs="Arial"/>
          <w:lang w:val="es-ES_tradnl" w:eastAsia="es-ES"/>
        </w:rPr>
        <w:t xml:space="preserve">, en términos del Considerando </w:t>
      </w:r>
      <w:r w:rsidRPr="00F04130">
        <w:rPr>
          <w:rFonts w:ascii="Palatino Linotype" w:eastAsia="MS Mincho" w:hAnsi="Palatino Linotype" w:cs="Arial"/>
          <w:b/>
          <w:lang w:val="es-ES_tradnl" w:eastAsia="es-ES"/>
        </w:rPr>
        <w:t xml:space="preserve">Segundo </w:t>
      </w:r>
      <w:r w:rsidRPr="00F04130">
        <w:rPr>
          <w:rFonts w:ascii="Palatino Linotype" w:eastAsia="MS Mincho" w:hAnsi="Palatino Linotype" w:cs="Arial"/>
          <w:lang w:val="es-ES_tradnl" w:eastAsia="es-ES"/>
        </w:rPr>
        <w:t>de la presente Resolución.</w:t>
      </w:r>
    </w:p>
    <w:p w14:paraId="5049F40F" w14:textId="77777777" w:rsidR="000122E5" w:rsidRPr="00F04130" w:rsidRDefault="000122E5">
      <w:pPr>
        <w:spacing w:line="360" w:lineRule="auto"/>
        <w:jc w:val="both"/>
        <w:rPr>
          <w:rFonts w:ascii="Palatino Linotype" w:eastAsia="MS Mincho" w:hAnsi="Palatino Linotype" w:cs="Arial"/>
          <w:b/>
          <w:bCs/>
          <w:lang w:val="es-ES_tradnl"/>
        </w:rPr>
      </w:pPr>
    </w:p>
    <w:p w14:paraId="4024B4BF" w14:textId="77777777" w:rsidR="000122E5" w:rsidRPr="00F04130" w:rsidRDefault="00DA5F44">
      <w:pPr>
        <w:spacing w:line="360" w:lineRule="auto"/>
        <w:jc w:val="both"/>
        <w:rPr>
          <w:rFonts w:ascii="Palatino Linotype" w:hAnsi="Palatino Linotype"/>
          <w:b/>
          <w:shd w:val="clear" w:color="auto" w:fill="FFFFFF"/>
          <w:lang w:val="es-ES_tradnl"/>
        </w:rPr>
      </w:pPr>
      <w:r w:rsidRPr="00F04130">
        <w:rPr>
          <w:rFonts w:ascii="Palatino Linotype" w:eastAsia="MS Mincho" w:hAnsi="Palatino Linotype" w:cs="Arial"/>
          <w:b/>
          <w:lang w:val="es-ES_tradnl" w:eastAsia="es-ES"/>
        </w:rPr>
        <w:t xml:space="preserve">SEGUNDO. </w:t>
      </w:r>
      <w:r w:rsidRPr="00F04130">
        <w:rPr>
          <w:rFonts w:ascii="Palatino Linotype" w:eastAsia="MS Gothic" w:hAnsi="Palatino Linotype"/>
          <w:b/>
          <w:lang w:val="es-ES_tradnl" w:eastAsia="es-ES"/>
        </w:rPr>
        <w:t xml:space="preserve">REMÍTASE, </w:t>
      </w:r>
      <w:r w:rsidRPr="00F04130">
        <w:rPr>
          <w:rFonts w:ascii="Palatino Linotype" w:hAnsi="Palatino Linotype"/>
          <w:lang w:val="es-ES" w:eastAsia="es-ES"/>
        </w:rPr>
        <w:t xml:space="preserve">vía </w:t>
      </w:r>
      <w:r w:rsidR="00CD6F37" w:rsidRPr="00F04130">
        <w:rPr>
          <w:rFonts w:ascii="Palatino Linotype" w:eastAsia="Calibri" w:hAnsi="Palatino Linotype" w:cs="Arial"/>
          <w:color w:val="000000"/>
          <w:lang w:val="es-ES" w:eastAsia="es-ES"/>
        </w:rPr>
        <w:t>Sistema de Acceso, Rectificación, Cancelación y Oposición de Datos Personales del Estado de México</w:t>
      </w:r>
      <w:r w:rsidRPr="00F04130">
        <w:rPr>
          <w:rFonts w:ascii="Palatino Linotype" w:hAnsi="Palatino Linotype"/>
          <w:lang w:val="es-ES_tradnl" w:eastAsia="es-ES"/>
        </w:rPr>
        <w:t>, (</w:t>
      </w:r>
      <w:r w:rsidR="00CD6F37" w:rsidRPr="00F04130">
        <w:rPr>
          <w:rFonts w:ascii="Palatino Linotype" w:hAnsi="Palatino Linotype"/>
          <w:b/>
          <w:lang w:val="es-ES_tradnl" w:eastAsia="es-ES"/>
        </w:rPr>
        <w:t>SARCOEM</w:t>
      </w:r>
      <w:r w:rsidRPr="00F04130">
        <w:rPr>
          <w:rFonts w:ascii="Palatino Linotype" w:hAnsi="Palatino Linotype"/>
          <w:b/>
          <w:lang w:val="es-ES_tradnl" w:eastAsia="es-ES"/>
        </w:rPr>
        <w:t>)</w:t>
      </w:r>
      <w:r w:rsidRPr="00F04130">
        <w:rPr>
          <w:rFonts w:ascii="Palatino Linotype" w:eastAsia="MS Gothic" w:hAnsi="Palatino Linotype"/>
          <w:b/>
          <w:lang w:val="es-ES_tradnl" w:eastAsia="es-ES"/>
        </w:rPr>
        <w:t xml:space="preserve">, </w:t>
      </w:r>
      <w:r w:rsidRPr="00F04130">
        <w:rPr>
          <w:rFonts w:ascii="Palatino Linotype" w:eastAsia="MS Gothic" w:hAnsi="Palatino Linotype"/>
          <w:lang w:val="es-ES_tradnl" w:eastAsia="es-ES"/>
        </w:rPr>
        <w:t xml:space="preserve">la presente resolución al Titular de la Unidad de Transparencia </w:t>
      </w:r>
      <w:r w:rsidRPr="00F04130">
        <w:rPr>
          <w:rFonts w:ascii="Palatino Linotype" w:hAnsi="Palatino Linotype"/>
          <w:color w:val="222222"/>
          <w:shd w:val="clear" w:color="auto" w:fill="FFFFFF"/>
          <w:lang w:val="es-ES_tradnl"/>
        </w:rPr>
        <w:t xml:space="preserve">del </w:t>
      </w:r>
      <w:r w:rsidRPr="00F04130">
        <w:rPr>
          <w:rFonts w:ascii="Palatino Linotype" w:hAnsi="Palatino Linotype"/>
          <w:b/>
          <w:shd w:val="clear" w:color="auto" w:fill="FFFFFF"/>
          <w:lang w:val="es-ES_tradnl"/>
        </w:rPr>
        <w:t>SUJETO OBLIGADO.</w:t>
      </w:r>
    </w:p>
    <w:p w14:paraId="5B36E04C" w14:textId="77777777" w:rsidR="000122E5" w:rsidRPr="00F04130" w:rsidRDefault="00DA5F44">
      <w:pPr>
        <w:shd w:val="clear" w:color="auto" w:fill="FFFFFF"/>
        <w:spacing w:before="240" w:after="360" w:line="360" w:lineRule="auto"/>
        <w:jc w:val="both"/>
        <w:rPr>
          <w:rFonts w:ascii="Palatino Linotype" w:hAnsi="Palatino Linotype"/>
          <w:lang w:val="es-ES_tradnl"/>
        </w:rPr>
      </w:pPr>
      <w:r w:rsidRPr="00F04130">
        <w:rPr>
          <w:rFonts w:ascii="Palatino Linotype" w:eastAsia="MS Gothic" w:hAnsi="Palatino Linotype"/>
          <w:b/>
          <w:lang w:val="es-ES_tradnl" w:eastAsia="es-ES"/>
        </w:rPr>
        <w:lastRenderedPageBreak/>
        <w:t xml:space="preserve">TERCERO. </w:t>
      </w:r>
      <w:r w:rsidRPr="00F04130">
        <w:rPr>
          <w:rFonts w:ascii="Palatino Linotype" w:eastAsia="MS Gothic" w:hAnsi="Palatino Linotype"/>
          <w:lang w:val="es-ES_tradnl" w:eastAsia="es-ES"/>
        </w:rPr>
        <w:t xml:space="preserve">Notifíquese al </w:t>
      </w:r>
      <w:r w:rsidRPr="00F04130">
        <w:rPr>
          <w:rFonts w:ascii="Palatino Linotype" w:eastAsiaTheme="minorEastAsia" w:hAnsi="Palatino Linotype"/>
          <w:b/>
          <w:lang w:val="es-ES_tradnl" w:eastAsia="es-ES"/>
        </w:rPr>
        <w:t xml:space="preserve">RECURRENTE </w:t>
      </w:r>
      <w:r w:rsidRPr="00F04130">
        <w:rPr>
          <w:rFonts w:ascii="Palatino Linotype" w:hAnsi="Palatino Linotype"/>
          <w:lang w:val="es-ES" w:eastAsia="es-ES"/>
        </w:rPr>
        <w:t xml:space="preserve">la presente resolución vía </w:t>
      </w:r>
      <w:r w:rsidR="00CD6F37" w:rsidRPr="00F04130">
        <w:rPr>
          <w:rFonts w:ascii="Palatino Linotype" w:eastAsia="Calibri" w:hAnsi="Palatino Linotype" w:cs="Arial"/>
          <w:color w:val="000000"/>
          <w:lang w:val="es-ES" w:eastAsia="es-ES"/>
        </w:rPr>
        <w:t>Sistema de Acceso, Rectificación, Cancelación y Oposición de Datos Personales del Estado de México</w:t>
      </w:r>
      <w:r w:rsidRPr="00F04130">
        <w:rPr>
          <w:rFonts w:ascii="Palatino Linotype" w:hAnsi="Palatino Linotype"/>
          <w:lang w:val="es-ES_tradnl" w:eastAsia="es-ES"/>
        </w:rPr>
        <w:t xml:space="preserve"> (</w:t>
      </w:r>
      <w:r w:rsidRPr="00F04130">
        <w:rPr>
          <w:rFonts w:ascii="Palatino Linotype" w:hAnsi="Palatino Linotype"/>
          <w:b/>
          <w:lang w:val="es-ES_tradnl" w:eastAsia="es-ES"/>
        </w:rPr>
        <w:t>SA</w:t>
      </w:r>
      <w:r w:rsidR="00CD6F37" w:rsidRPr="00F04130">
        <w:rPr>
          <w:rFonts w:ascii="Palatino Linotype" w:hAnsi="Palatino Linotype"/>
          <w:b/>
          <w:lang w:val="es-ES_tradnl" w:eastAsia="es-ES"/>
        </w:rPr>
        <w:t>RCOEM).</w:t>
      </w:r>
    </w:p>
    <w:p w14:paraId="6347A670" w14:textId="77777777" w:rsidR="000122E5" w:rsidRPr="00F04130" w:rsidRDefault="00DA5F44">
      <w:pPr>
        <w:spacing w:line="360" w:lineRule="auto"/>
        <w:jc w:val="both"/>
        <w:rPr>
          <w:rFonts w:ascii="Palatino Linotype" w:eastAsia="MS Mincho" w:hAnsi="Palatino Linotype"/>
        </w:rPr>
      </w:pPr>
      <w:r w:rsidRPr="00F04130">
        <w:rPr>
          <w:rFonts w:ascii="Palatino Linotype" w:eastAsia="MS Mincho" w:hAnsi="Palatino Linotype"/>
          <w:b/>
          <w:lang w:eastAsia="es-ES"/>
        </w:rPr>
        <w:t>CUARTO.</w:t>
      </w:r>
      <w:r w:rsidRPr="00F04130">
        <w:rPr>
          <w:rFonts w:ascii="Palatino Linotype" w:eastAsia="MS Mincho" w:hAnsi="Palatino Linotype"/>
          <w:lang w:eastAsia="es-ES"/>
        </w:rPr>
        <w:t xml:space="preserve"> </w:t>
      </w:r>
      <w:r w:rsidR="00695627" w:rsidRPr="00F04130">
        <w:rPr>
          <w:rFonts w:ascii="Palatino Linotype" w:hAnsi="Palatino Linotype"/>
        </w:rPr>
        <w:t>Se hace de conocimiento al RECURRENTE que, de conformidad con lo establecido en el artículo 142 de la Ley de Protección de Datos Personales en Posesión de Sujetos Obligados del Estado de México y Municipios, en caso de que considere que la resolución le cause algún perjuicio podrá impugnarla vía Juicio de Amparo en los términos de las leyes aplicables.</w:t>
      </w:r>
    </w:p>
    <w:p w14:paraId="4EC906EE" w14:textId="77777777" w:rsidR="000122E5" w:rsidRPr="00F04130" w:rsidRDefault="000122E5">
      <w:pPr>
        <w:shd w:val="clear" w:color="auto" w:fill="FFFFFF"/>
        <w:spacing w:line="360" w:lineRule="auto"/>
        <w:jc w:val="both"/>
        <w:rPr>
          <w:rFonts w:ascii="Palatino Linotype" w:hAnsi="Palatino Linotype" w:cs="Arial"/>
          <w:b/>
          <w:bCs/>
          <w:color w:val="222222"/>
        </w:rPr>
      </w:pPr>
    </w:p>
    <w:p w14:paraId="111BB60D" w14:textId="77777777" w:rsidR="0001592C" w:rsidRPr="003C7186" w:rsidRDefault="0001592C" w:rsidP="0001592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6F23BF2D" w14:textId="77777777" w:rsidR="000122E5" w:rsidRDefault="000122E5"/>
    <w:p w14:paraId="496A12DD" w14:textId="77777777" w:rsidR="00291CAC" w:rsidRDefault="00291CAC"/>
    <w:p w14:paraId="05628952" w14:textId="77777777" w:rsidR="00291CAC" w:rsidRDefault="00291CAC"/>
    <w:p w14:paraId="303ACAE2" w14:textId="77777777" w:rsidR="00291CAC" w:rsidRDefault="00291CAC"/>
    <w:p w14:paraId="5A860D80" w14:textId="77777777" w:rsidR="00291CAC" w:rsidRDefault="00291CAC"/>
    <w:p w14:paraId="63C0D9B0" w14:textId="77777777" w:rsidR="00291CAC" w:rsidRDefault="00291CAC"/>
    <w:p w14:paraId="786C2E3E" w14:textId="77777777" w:rsidR="00291CAC" w:rsidRDefault="00291CAC"/>
    <w:p w14:paraId="693703A5" w14:textId="77777777" w:rsidR="00291CAC" w:rsidRDefault="00291CAC"/>
    <w:p w14:paraId="7E93CC58" w14:textId="77777777" w:rsidR="00291CAC" w:rsidRDefault="00291CAC"/>
    <w:p w14:paraId="07135265" w14:textId="77777777" w:rsidR="00291CAC" w:rsidRDefault="00291CAC"/>
    <w:sectPr w:rsidR="00291CAC">
      <w:headerReference w:type="even" r:id="rId10"/>
      <w:headerReference w:type="default" r:id="rId11"/>
      <w:footerReference w:type="default" r:id="rId12"/>
      <w:headerReference w:type="first" r:id="rId13"/>
      <w:footerReference w:type="first" r:id="rId14"/>
      <w:pgSz w:w="12240" w:h="15840"/>
      <w:pgMar w:top="766" w:right="1608" w:bottom="1418" w:left="1588" w:header="709" w:footer="91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8841" w14:textId="77777777" w:rsidR="00C21F3F" w:rsidRDefault="00C21F3F">
      <w:r>
        <w:separator/>
      </w:r>
    </w:p>
  </w:endnote>
  <w:endnote w:type="continuationSeparator" w:id="0">
    <w:p w14:paraId="32797055" w14:textId="77777777" w:rsidR="00C21F3F" w:rsidRDefault="00C2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911F" w14:textId="77777777" w:rsidR="001C28E1" w:rsidRDefault="001C28E1">
    <w:pPr>
      <w:pStyle w:val="Piedepgina"/>
      <w:jc w:val="right"/>
    </w:pPr>
    <w:r>
      <w:rPr>
        <w:lang w:val="es-ES"/>
      </w:rPr>
      <w:t xml:space="preserve">Página </w:t>
    </w:r>
    <w:r>
      <w:rPr>
        <w:b/>
        <w:bCs/>
      </w:rPr>
      <w:fldChar w:fldCharType="begin"/>
    </w:r>
    <w:r>
      <w:rPr>
        <w:b/>
        <w:bCs/>
      </w:rPr>
      <w:instrText xml:space="preserve"> PAGE </w:instrText>
    </w:r>
    <w:r>
      <w:rPr>
        <w:b/>
        <w:bCs/>
      </w:rPr>
      <w:fldChar w:fldCharType="separate"/>
    </w:r>
    <w:r w:rsidR="00FC10CB">
      <w:rPr>
        <w:b/>
        <w:bCs/>
        <w:noProof/>
      </w:rPr>
      <w:t>11</w:t>
    </w:r>
    <w:r>
      <w:rPr>
        <w:b/>
        <w:bCs/>
      </w:rPr>
      <w:fldChar w:fldCharType="end"/>
    </w:r>
    <w:r>
      <w:rPr>
        <w:lang w:val="es-ES"/>
      </w:rPr>
      <w:t xml:space="preserve"> de </w:t>
    </w:r>
    <w:r>
      <w:rPr>
        <w:b/>
        <w:bCs/>
      </w:rPr>
      <w:fldChar w:fldCharType="begin"/>
    </w:r>
    <w:r>
      <w:rPr>
        <w:b/>
        <w:bCs/>
      </w:rPr>
      <w:instrText xml:space="preserve"> NUMPAGES </w:instrText>
    </w:r>
    <w:r>
      <w:rPr>
        <w:b/>
        <w:bCs/>
      </w:rPr>
      <w:fldChar w:fldCharType="separate"/>
    </w:r>
    <w:r w:rsidR="00FC10CB">
      <w:rPr>
        <w:b/>
        <w:bCs/>
        <w:noProof/>
      </w:rPr>
      <w:t>11</w:t>
    </w:r>
    <w:r>
      <w:rPr>
        <w:b/>
        <w:bCs/>
      </w:rPr>
      <w:fldChar w:fldCharType="end"/>
    </w:r>
  </w:p>
  <w:p w14:paraId="1A7B207D" w14:textId="77777777" w:rsidR="001C28E1" w:rsidRDefault="001C28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6E35" w14:textId="77777777" w:rsidR="001C28E1" w:rsidRDefault="001C28E1">
    <w:pPr>
      <w:pStyle w:val="Piedepgina"/>
      <w:jc w:val="right"/>
    </w:pPr>
    <w:r>
      <w:rPr>
        <w:lang w:val="es-ES"/>
      </w:rPr>
      <w:t xml:space="preserve">Página </w:t>
    </w:r>
    <w:r>
      <w:rPr>
        <w:b/>
        <w:bCs/>
      </w:rPr>
      <w:fldChar w:fldCharType="begin"/>
    </w:r>
    <w:r>
      <w:rPr>
        <w:b/>
        <w:bCs/>
      </w:rPr>
      <w:instrText xml:space="preserve"> PAGE </w:instrText>
    </w:r>
    <w:r>
      <w:rPr>
        <w:b/>
        <w:bCs/>
      </w:rPr>
      <w:fldChar w:fldCharType="separate"/>
    </w:r>
    <w:r w:rsidR="00FC10CB">
      <w:rPr>
        <w:b/>
        <w:bCs/>
        <w:noProof/>
      </w:rPr>
      <w:t>1</w:t>
    </w:r>
    <w:r>
      <w:rPr>
        <w:b/>
        <w:bCs/>
      </w:rPr>
      <w:fldChar w:fldCharType="end"/>
    </w:r>
    <w:r>
      <w:rPr>
        <w:lang w:val="es-ES"/>
      </w:rPr>
      <w:t xml:space="preserve"> de </w:t>
    </w:r>
    <w:r>
      <w:rPr>
        <w:b/>
        <w:bCs/>
      </w:rPr>
      <w:fldChar w:fldCharType="begin"/>
    </w:r>
    <w:r>
      <w:rPr>
        <w:b/>
        <w:bCs/>
      </w:rPr>
      <w:instrText xml:space="preserve"> NUMPAGES </w:instrText>
    </w:r>
    <w:r>
      <w:rPr>
        <w:b/>
        <w:bCs/>
      </w:rPr>
      <w:fldChar w:fldCharType="separate"/>
    </w:r>
    <w:r w:rsidR="00FC10CB">
      <w:rPr>
        <w:b/>
        <w:bCs/>
        <w:noProof/>
      </w:rPr>
      <w:t>11</w:t>
    </w:r>
    <w:r>
      <w:rPr>
        <w:b/>
        <w:bCs/>
      </w:rPr>
      <w:fldChar w:fldCharType="end"/>
    </w:r>
  </w:p>
  <w:p w14:paraId="76ADEA73" w14:textId="77777777" w:rsidR="001C28E1" w:rsidRDefault="001C28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ACF0" w14:textId="77777777" w:rsidR="00C21F3F" w:rsidRDefault="00C21F3F">
      <w:r>
        <w:separator/>
      </w:r>
    </w:p>
  </w:footnote>
  <w:footnote w:type="continuationSeparator" w:id="0">
    <w:p w14:paraId="5D730C26" w14:textId="77777777" w:rsidR="00C21F3F" w:rsidRDefault="00C2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BD38" w14:textId="77777777" w:rsidR="001C28E1" w:rsidRDefault="001C28E1">
    <w:pPr>
      <w:pStyle w:val="Encabezado"/>
    </w:pPr>
    <w:r>
      <w:rPr>
        <w:noProof/>
      </w:rPr>
      <w:drawing>
        <wp:anchor distT="0" distB="0" distL="0" distR="0" simplePos="0" relativeHeight="251658240" behindDoc="1" locked="0" layoutInCell="1" allowOverlap="1" wp14:anchorId="380AFAC2" wp14:editId="1842B913">
          <wp:simplePos x="0" y="0"/>
          <wp:positionH relativeFrom="margin">
            <wp:align>center</wp:align>
          </wp:positionH>
          <wp:positionV relativeFrom="margin">
            <wp:align>center</wp:align>
          </wp:positionV>
          <wp:extent cx="7490460" cy="9753600"/>
          <wp:effectExtent l="0" t="0" r="0" b="0"/>
          <wp:wrapNone/>
          <wp:docPr id="2" name="WordPictureWatermark75739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57395963"/>
                  <pic:cNvPicPr>
                    <a:picLocks noChangeAspect="1" noChangeArrowheads="1"/>
                  </pic:cNvPicPr>
                </pic:nvPicPr>
                <pic:blipFill>
                  <a:blip r:embed="rId1"/>
                  <a:stretch>
                    <a:fillRect/>
                  </a:stretch>
                </pic:blipFill>
                <pic:spPr bwMode="auto">
                  <a:xfrm>
                    <a:off x="0" y="0"/>
                    <a:ext cx="7490460" cy="9753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7"/>
      <w:gridCol w:w="6947"/>
    </w:tblGrid>
    <w:tr w:rsidR="001C28E1" w14:paraId="23AB8CB1" w14:textId="77777777">
      <w:trPr>
        <w:trHeight w:val="1435"/>
      </w:trPr>
      <w:tc>
        <w:tcPr>
          <w:tcW w:w="2267" w:type="dxa"/>
          <w:shd w:val="clear" w:color="auto" w:fill="auto"/>
        </w:tcPr>
        <w:p w14:paraId="280108EE" w14:textId="77777777" w:rsidR="001C28E1" w:rsidRDefault="001C28E1">
          <w:pPr>
            <w:widowControl w:val="0"/>
            <w:tabs>
              <w:tab w:val="right" w:pos="4273"/>
            </w:tabs>
            <w:rPr>
              <w:rFonts w:ascii="Garamond" w:eastAsia="Calibri" w:hAnsi="Garamond"/>
              <w:sz w:val="16"/>
              <w:szCs w:val="16"/>
              <w:lang w:eastAsia="en-US"/>
            </w:rPr>
          </w:pPr>
        </w:p>
      </w:tc>
      <w:tc>
        <w:tcPr>
          <w:tcW w:w="6946" w:type="dxa"/>
          <w:shd w:val="clear" w:color="auto" w:fill="auto"/>
        </w:tcPr>
        <w:p w14:paraId="4AC04AE2" w14:textId="77777777" w:rsidR="001C28E1" w:rsidRDefault="001C28E1">
          <w:pPr>
            <w:widowControl w:val="0"/>
          </w:pPr>
        </w:p>
        <w:tbl>
          <w:tblPr>
            <w:tblW w:w="6662" w:type="dxa"/>
            <w:tblInd w:w="40" w:type="dxa"/>
            <w:tblLayout w:type="fixed"/>
            <w:tblLook w:val="0420" w:firstRow="1" w:lastRow="0" w:firstColumn="0" w:lastColumn="0" w:noHBand="0" w:noVBand="1"/>
          </w:tblPr>
          <w:tblGrid>
            <w:gridCol w:w="2550"/>
            <w:gridCol w:w="4112"/>
          </w:tblGrid>
          <w:tr w:rsidR="001C28E1" w14:paraId="410EC6AC" w14:textId="77777777">
            <w:trPr>
              <w:trHeight w:val="150"/>
            </w:trPr>
            <w:tc>
              <w:tcPr>
                <w:tcW w:w="2550" w:type="dxa"/>
                <w:shd w:val="clear" w:color="auto" w:fill="auto"/>
              </w:tcPr>
              <w:p w14:paraId="4E059153" w14:textId="77777777" w:rsidR="001C28E1" w:rsidRDefault="001C28E1">
                <w:pPr>
                  <w:widowControl w:val="0"/>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Recurso de Revisión:</w:t>
                </w:r>
              </w:p>
            </w:tc>
            <w:tc>
              <w:tcPr>
                <w:tcW w:w="4111" w:type="dxa"/>
                <w:shd w:val="clear" w:color="auto" w:fill="auto"/>
              </w:tcPr>
              <w:p w14:paraId="46A4F318" w14:textId="77777777" w:rsidR="001C28E1" w:rsidRDefault="001C28E1">
                <w:pPr>
                  <w:widowControl w:val="0"/>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04838/INFOEM/AD/RR/2024</w:t>
                </w:r>
              </w:p>
            </w:tc>
          </w:tr>
          <w:tr w:rsidR="001C28E1" w14:paraId="027666E2" w14:textId="77777777">
            <w:trPr>
              <w:trHeight w:val="295"/>
            </w:trPr>
            <w:tc>
              <w:tcPr>
                <w:tcW w:w="2550" w:type="dxa"/>
                <w:shd w:val="clear" w:color="auto" w:fill="auto"/>
              </w:tcPr>
              <w:p w14:paraId="6EE87DFD" w14:textId="77777777" w:rsidR="001C28E1" w:rsidRDefault="001C28E1">
                <w:pPr>
                  <w:widowControl w:val="0"/>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Sujeto Obligado:</w:t>
                </w:r>
              </w:p>
            </w:tc>
            <w:tc>
              <w:tcPr>
                <w:tcW w:w="4111" w:type="dxa"/>
                <w:shd w:val="clear" w:color="auto" w:fill="auto"/>
              </w:tcPr>
              <w:p w14:paraId="68363404" w14:textId="77777777" w:rsidR="001C28E1" w:rsidRDefault="001C28E1">
                <w:pPr>
                  <w:widowControl w:val="0"/>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Instituto de la Función Registral del Estado de México</w:t>
                </w:r>
              </w:p>
            </w:tc>
          </w:tr>
          <w:tr w:rsidR="001C28E1" w14:paraId="3D1234FA" w14:textId="77777777">
            <w:trPr>
              <w:trHeight w:val="295"/>
            </w:trPr>
            <w:tc>
              <w:tcPr>
                <w:tcW w:w="2550" w:type="dxa"/>
                <w:shd w:val="clear" w:color="auto" w:fill="auto"/>
              </w:tcPr>
              <w:p w14:paraId="13558F05" w14:textId="77777777" w:rsidR="001C28E1" w:rsidRDefault="001C28E1">
                <w:pPr>
                  <w:widowControl w:val="0"/>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p>
            </w:tc>
            <w:tc>
              <w:tcPr>
                <w:tcW w:w="4111" w:type="dxa"/>
                <w:shd w:val="clear" w:color="auto" w:fill="auto"/>
              </w:tcPr>
              <w:p w14:paraId="545C7F05" w14:textId="77777777" w:rsidR="001C28E1" w:rsidRDefault="001C28E1">
                <w:pPr>
                  <w:widowControl w:val="0"/>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B81C93D" w14:textId="77777777" w:rsidR="001C28E1" w:rsidRDefault="001C28E1">
                <w:pPr>
                  <w:widowControl w:val="0"/>
                  <w:tabs>
                    <w:tab w:val="right" w:pos="8838"/>
                  </w:tabs>
                  <w:ind w:left="-108" w:right="171"/>
                  <w:jc w:val="both"/>
                  <w:rPr>
                    <w:rFonts w:ascii="Palatino Linotype" w:eastAsia="Calibri" w:hAnsi="Palatino Linotype" w:cs="Tahoma"/>
                    <w:b/>
                    <w:sz w:val="22"/>
                    <w:szCs w:val="22"/>
                    <w:lang w:val="es-ES" w:eastAsia="en-US"/>
                  </w:rPr>
                </w:pPr>
              </w:p>
            </w:tc>
          </w:tr>
        </w:tbl>
        <w:p w14:paraId="7E87328F" w14:textId="77777777" w:rsidR="001C28E1" w:rsidRDefault="001C28E1">
          <w:pPr>
            <w:widowControl w:val="0"/>
            <w:tabs>
              <w:tab w:val="right" w:pos="8838"/>
            </w:tabs>
            <w:ind w:left="-28"/>
            <w:jc w:val="both"/>
            <w:rPr>
              <w:rFonts w:ascii="Arial" w:eastAsia="Calibri" w:hAnsi="Arial" w:cs="Arial"/>
              <w:b/>
              <w:sz w:val="22"/>
              <w:szCs w:val="22"/>
              <w:lang w:eastAsia="en-US"/>
            </w:rPr>
          </w:pPr>
        </w:p>
      </w:tc>
    </w:tr>
  </w:tbl>
  <w:p w14:paraId="074115C8" w14:textId="77777777" w:rsidR="001C28E1" w:rsidRDefault="001C28E1">
    <w:pPr>
      <w:pStyle w:val="Encabezado"/>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4A0" w:firstRow="1" w:lastRow="0" w:firstColumn="1" w:lastColumn="0" w:noHBand="0" w:noVBand="1"/>
    </w:tblPr>
    <w:tblGrid>
      <w:gridCol w:w="2268"/>
      <w:gridCol w:w="8222"/>
    </w:tblGrid>
    <w:tr w:rsidR="001C28E1" w14:paraId="501D408F" w14:textId="77777777" w:rsidTr="0001592C">
      <w:trPr>
        <w:trHeight w:val="1435"/>
      </w:trPr>
      <w:tc>
        <w:tcPr>
          <w:tcW w:w="2268" w:type="dxa"/>
          <w:shd w:val="clear" w:color="auto" w:fill="auto"/>
        </w:tcPr>
        <w:p w14:paraId="34DD423C" w14:textId="77777777" w:rsidR="001C28E1" w:rsidRDefault="001C28E1">
          <w:pPr>
            <w:widowControl w:val="0"/>
            <w:tabs>
              <w:tab w:val="right" w:pos="4273"/>
            </w:tabs>
            <w:rPr>
              <w:rFonts w:ascii="Garamond" w:eastAsia="Calibri" w:hAnsi="Garamond"/>
              <w:sz w:val="22"/>
              <w:szCs w:val="22"/>
              <w:lang w:eastAsia="en-US"/>
            </w:rPr>
          </w:pPr>
          <w:r>
            <w:rPr>
              <w:rFonts w:ascii="Garamond" w:eastAsia="Calibri" w:hAnsi="Garamond"/>
              <w:noProof/>
              <w:sz w:val="22"/>
              <w:szCs w:val="22"/>
            </w:rPr>
            <w:drawing>
              <wp:anchor distT="0" distB="0" distL="0" distR="0" simplePos="0" relativeHeight="2" behindDoc="1" locked="0" layoutInCell="1" allowOverlap="1" wp14:anchorId="52C2C426" wp14:editId="14EBD321">
                <wp:simplePos x="0" y="0"/>
                <wp:positionH relativeFrom="column">
                  <wp:posOffset>-936294</wp:posOffset>
                </wp:positionH>
                <wp:positionV relativeFrom="paragraph">
                  <wp:posOffset>-296490</wp:posOffset>
                </wp:positionV>
                <wp:extent cx="7490460" cy="9753600"/>
                <wp:effectExtent l="0" t="0" r="0" b="0"/>
                <wp:wrapNone/>
                <wp:docPr id="3" name="WordPictureWatermark75739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57395964"/>
                        <pic:cNvPicPr>
                          <a:picLocks noChangeAspect="1" noChangeArrowheads="1"/>
                        </pic:cNvPicPr>
                      </pic:nvPicPr>
                      <pic:blipFill>
                        <a:blip r:embed="rId1"/>
                        <a:stretch>
                          <a:fillRect/>
                        </a:stretch>
                      </pic:blipFill>
                      <pic:spPr bwMode="auto">
                        <a:xfrm>
                          <a:off x="0" y="0"/>
                          <a:ext cx="7490460" cy="9753600"/>
                        </a:xfrm>
                        <a:prstGeom prst="rect">
                          <a:avLst/>
                        </a:prstGeom>
                      </pic:spPr>
                    </pic:pic>
                  </a:graphicData>
                </a:graphic>
              </wp:anchor>
            </w:drawing>
          </w:r>
        </w:p>
      </w:tc>
      <w:tc>
        <w:tcPr>
          <w:tcW w:w="8222" w:type="dxa"/>
          <w:shd w:val="clear" w:color="auto" w:fill="auto"/>
        </w:tcPr>
        <w:tbl>
          <w:tblPr>
            <w:tblW w:w="6662" w:type="dxa"/>
            <w:tblInd w:w="1320" w:type="dxa"/>
            <w:tblLayout w:type="fixed"/>
            <w:tblLook w:val="0420" w:firstRow="1" w:lastRow="0" w:firstColumn="0" w:lastColumn="0" w:noHBand="0" w:noVBand="1"/>
          </w:tblPr>
          <w:tblGrid>
            <w:gridCol w:w="2444"/>
            <w:gridCol w:w="4218"/>
          </w:tblGrid>
          <w:tr w:rsidR="001C28E1" w14:paraId="15419ABA" w14:textId="77777777" w:rsidTr="006F00E0">
            <w:trPr>
              <w:trHeight w:val="144"/>
            </w:trPr>
            <w:tc>
              <w:tcPr>
                <w:tcW w:w="2444" w:type="dxa"/>
                <w:shd w:val="clear" w:color="auto" w:fill="auto"/>
              </w:tcPr>
              <w:p w14:paraId="2742D8AF" w14:textId="77777777" w:rsidR="001C28E1" w:rsidRDefault="001C28E1">
                <w:pPr>
                  <w:widowControl w:val="0"/>
                  <w:tabs>
                    <w:tab w:val="right" w:pos="8838"/>
                  </w:tabs>
                  <w:ind w:left="-264" w:right="-105" w:firstLine="19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Recurso de Revisión:</w:t>
                </w:r>
              </w:p>
            </w:tc>
            <w:tc>
              <w:tcPr>
                <w:tcW w:w="4218" w:type="dxa"/>
                <w:shd w:val="clear" w:color="auto" w:fill="auto"/>
              </w:tcPr>
              <w:p w14:paraId="4A7F6B3B" w14:textId="77777777" w:rsidR="001C28E1" w:rsidRDefault="001C28E1">
                <w:pPr>
                  <w:widowControl w:val="0"/>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04838/INFOEM/AD/RR/2024</w:t>
                </w:r>
              </w:p>
            </w:tc>
          </w:tr>
          <w:tr w:rsidR="001C28E1" w14:paraId="6E16A632" w14:textId="77777777" w:rsidTr="006F00E0">
            <w:trPr>
              <w:trHeight w:val="144"/>
            </w:trPr>
            <w:tc>
              <w:tcPr>
                <w:tcW w:w="2444" w:type="dxa"/>
                <w:shd w:val="clear" w:color="auto" w:fill="auto"/>
              </w:tcPr>
              <w:p w14:paraId="10D99D1A" w14:textId="77777777" w:rsidR="001C28E1" w:rsidRDefault="001C28E1">
                <w:pPr>
                  <w:widowControl w:val="0"/>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Recurrente:</w:t>
                </w:r>
              </w:p>
            </w:tc>
            <w:tc>
              <w:tcPr>
                <w:tcW w:w="4218" w:type="dxa"/>
                <w:shd w:val="clear" w:color="auto" w:fill="auto"/>
              </w:tcPr>
              <w:p w14:paraId="076CA585" w14:textId="39FCEFD9" w:rsidR="001C28E1" w:rsidRPr="00F04130" w:rsidRDefault="00451B45">
                <w:pPr>
                  <w:widowControl w:val="0"/>
                  <w:tabs>
                    <w:tab w:val="left" w:pos="3122"/>
                    <w:tab w:val="right" w:pos="8838"/>
                  </w:tabs>
                  <w:ind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p>
            </w:tc>
          </w:tr>
          <w:tr w:rsidR="001C28E1" w14:paraId="76D5B606" w14:textId="77777777" w:rsidTr="006F00E0">
            <w:trPr>
              <w:trHeight w:val="83"/>
            </w:trPr>
            <w:tc>
              <w:tcPr>
                <w:tcW w:w="2444" w:type="dxa"/>
                <w:shd w:val="clear" w:color="auto" w:fill="auto"/>
              </w:tcPr>
              <w:p w14:paraId="75F2C5EB" w14:textId="77777777" w:rsidR="001C28E1" w:rsidRDefault="001C28E1">
                <w:pPr>
                  <w:widowControl w:val="0"/>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Sujeto Obligado:</w:t>
                </w:r>
              </w:p>
            </w:tc>
            <w:tc>
              <w:tcPr>
                <w:tcW w:w="4218" w:type="dxa"/>
                <w:shd w:val="clear" w:color="auto" w:fill="auto"/>
              </w:tcPr>
              <w:p w14:paraId="7D9FCF04" w14:textId="77777777" w:rsidR="001C28E1" w:rsidRDefault="001C28E1">
                <w:pPr>
                  <w:widowControl w:val="0"/>
                  <w:rPr>
                    <w:rFonts w:ascii="Palatino Linotype" w:hAnsi="Palatino Linotype"/>
                    <w:sz w:val="22"/>
                    <w:szCs w:val="22"/>
                  </w:rPr>
                </w:pPr>
                <w:r>
                  <w:rPr>
                    <w:rFonts w:ascii="Palatino Linotype" w:eastAsia="Calibri" w:hAnsi="Palatino Linotype" w:cs="Tahoma"/>
                    <w:sz w:val="22"/>
                    <w:szCs w:val="22"/>
                    <w:lang w:eastAsia="en-US"/>
                  </w:rPr>
                  <w:t>Instituto de la Función Registral del Estado de México</w:t>
                </w:r>
              </w:p>
            </w:tc>
          </w:tr>
          <w:tr w:rsidR="001C28E1" w14:paraId="730F8461" w14:textId="77777777" w:rsidTr="006F00E0">
            <w:trPr>
              <w:trHeight w:val="283"/>
            </w:trPr>
            <w:tc>
              <w:tcPr>
                <w:tcW w:w="2444" w:type="dxa"/>
                <w:shd w:val="clear" w:color="auto" w:fill="auto"/>
              </w:tcPr>
              <w:p w14:paraId="7FB501D5" w14:textId="77777777" w:rsidR="001C28E1" w:rsidRDefault="001C28E1">
                <w:pPr>
                  <w:widowControl w:val="0"/>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p>
            </w:tc>
            <w:tc>
              <w:tcPr>
                <w:tcW w:w="4218" w:type="dxa"/>
                <w:shd w:val="clear" w:color="auto" w:fill="auto"/>
              </w:tcPr>
              <w:p w14:paraId="5E1439BE" w14:textId="77777777" w:rsidR="001C28E1" w:rsidRDefault="001C28E1">
                <w:pPr>
                  <w:widowControl w:val="0"/>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8F8277B" w14:textId="77777777" w:rsidR="001C28E1" w:rsidRDefault="001C28E1">
                <w:pPr>
                  <w:widowControl w:val="0"/>
                  <w:tabs>
                    <w:tab w:val="right" w:pos="8838"/>
                  </w:tabs>
                  <w:ind w:left="-74" w:right="-105"/>
                  <w:jc w:val="both"/>
                  <w:rPr>
                    <w:rFonts w:ascii="Palatino Linotype" w:eastAsia="Calibri" w:hAnsi="Palatino Linotype" w:cs="Tahoma"/>
                    <w:b/>
                    <w:sz w:val="22"/>
                    <w:szCs w:val="22"/>
                    <w:lang w:val="es-ES" w:eastAsia="en-US"/>
                  </w:rPr>
                </w:pPr>
              </w:p>
            </w:tc>
          </w:tr>
        </w:tbl>
        <w:p w14:paraId="35567041" w14:textId="77777777" w:rsidR="001C28E1" w:rsidRDefault="001C28E1">
          <w:pPr>
            <w:widowControl w:val="0"/>
            <w:tabs>
              <w:tab w:val="right" w:pos="8838"/>
            </w:tabs>
            <w:ind w:left="-28"/>
            <w:jc w:val="both"/>
            <w:rPr>
              <w:rFonts w:ascii="Arial" w:eastAsia="Calibri" w:hAnsi="Arial" w:cs="Arial"/>
              <w:b/>
              <w:sz w:val="22"/>
              <w:szCs w:val="22"/>
              <w:lang w:eastAsia="en-US"/>
            </w:rPr>
          </w:pPr>
        </w:p>
      </w:tc>
    </w:tr>
  </w:tbl>
  <w:p w14:paraId="0D428AB7" w14:textId="77777777" w:rsidR="001C28E1" w:rsidRDefault="001C28E1">
    <w:pPr>
      <w:pStyle w:val="Encabezado"/>
      <w:rPr>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3C99"/>
    <w:multiLevelType w:val="multilevel"/>
    <w:tmpl w:val="DE5AE3A0"/>
    <w:lvl w:ilvl="0">
      <w:start w:val="1"/>
      <w:numFmt w:val="decimal"/>
      <w:lvlText w:val="%1."/>
      <w:lvlJc w:val="left"/>
      <w:pPr>
        <w:tabs>
          <w:tab w:val="num" w:pos="862"/>
        </w:tabs>
        <w:ind w:left="862" w:hanging="720"/>
      </w:pPr>
      <w:rPr>
        <w:b/>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0465B1"/>
    <w:multiLevelType w:val="hybridMultilevel"/>
    <w:tmpl w:val="2C44A9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5A6347"/>
    <w:multiLevelType w:val="hybridMultilevel"/>
    <w:tmpl w:val="CA34C04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4B163E2F"/>
    <w:multiLevelType w:val="hybridMultilevel"/>
    <w:tmpl w:val="973EC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4D54B1"/>
    <w:multiLevelType w:val="hybridMultilevel"/>
    <w:tmpl w:val="BADC4336"/>
    <w:lvl w:ilvl="0" w:tplc="B1C8C31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79120560"/>
    <w:multiLevelType w:val="multilevel"/>
    <w:tmpl w:val="B40A8E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93153955">
    <w:abstractNumId w:val="0"/>
  </w:num>
  <w:num w:numId="2" w16cid:durableId="589659521">
    <w:abstractNumId w:val="5"/>
  </w:num>
  <w:num w:numId="3" w16cid:durableId="60711053">
    <w:abstractNumId w:val="2"/>
  </w:num>
  <w:num w:numId="4" w16cid:durableId="1451974433">
    <w:abstractNumId w:val="1"/>
  </w:num>
  <w:num w:numId="5" w16cid:durableId="918440217">
    <w:abstractNumId w:val="4"/>
  </w:num>
  <w:num w:numId="6" w16cid:durableId="36525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5"/>
    <w:rsid w:val="000122E5"/>
    <w:rsid w:val="0001592C"/>
    <w:rsid w:val="0004036A"/>
    <w:rsid w:val="001C28E1"/>
    <w:rsid w:val="001D2BBE"/>
    <w:rsid w:val="001F6F73"/>
    <w:rsid w:val="00291CAC"/>
    <w:rsid w:val="002F18F3"/>
    <w:rsid w:val="004309EE"/>
    <w:rsid w:val="00451B45"/>
    <w:rsid w:val="00585E9F"/>
    <w:rsid w:val="005B50FC"/>
    <w:rsid w:val="00695627"/>
    <w:rsid w:val="006F00E0"/>
    <w:rsid w:val="00806FAA"/>
    <w:rsid w:val="00897DDC"/>
    <w:rsid w:val="009B61E8"/>
    <w:rsid w:val="00A86E28"/>
    <w:rsid w:val="00A911A3"/>
    <w:rsid w:val="00B66AF9"/>
    <w:rsid w:val="00B9440C"/>
    <w:rsid w:val="00C21F3F"/>
    <w:rsid w:val="00C35B83"/>
    <w:rsid w:val="00C45D51"/>
    <w:rsid w:val="00C524D4"/>
    <w:rsid w:val="00CB5FB2"/>
    <w:rsid w:val="00CD6F37"/>
    <w:rsid w:val="00D66F21"/>
    <w:rsid w:val="00DA5F44"/>
    <w:rsid w:val="00F04130"/>
    <w:rsid w:val="00FC10C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6200"/>
  <w15:docId w15:val="{DD9433CC-352A-428B-A4E4-038CD3CF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F"/>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E4B84"/>
    <w:rPr>
      <w:rFonts w:ascii="Times New Roman" w:eastAsia="Times New Roman" w:hAnsi="Times New Roman" w:cs="Times New Roman"/>
      <w:sz w:val="24"/>
      <w:szCs w:val="24"/>
      <w:lang w:val="es-MX" w:eastAsia="es-MX"/>
    </w:rPr>
  </w:style>
  <w:style w:type="character" w:customStyle="1" w:styleId="PiedepginaCar">
    <w:name w:val="Pie de página Car"/>
    <w:basedOn w:val="Fuentedeprrafopredeter"/>
    <w:link w:val="Piedepgina"/>
    <w:uiPriority w:val="99"/>
    <w:qFormat/>
    <w:rsid w:val="00AE4B84"/>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B5195"/>
    <w:rPr>
      <w:color w:val="0000FF"/>
      <w:u w:val="single"/>
    </w:rPr>
  </w:style>
  <w:style w:type="character" w:styleId="Hipervnculovisitado">
    <w:name w:val="FollowedHyperlink"/>
    <w:basedOn w:val="Fuentedeprrafopredeter"/>
    <w:uiPriority w:val="99"/>
    <w:semiHidden/>
    <w:unhideWhenUsed/>
    <w:rsid w:val="009C2AB6"/>
    <w:rPr>
      <w:color w:val="954F72" w:themeColor="followedHyperlink"/>
      <w:u w:val="single"/>
    </w:rPr>
  </w:style>
  <w:style w:type="character" w:customStyle="1" w:styleId="PrrafodelistaCar">
    <w:name w:val="Párrafo de lista Car"/>
    <w:link w:val="Prrafodelista"/>
    <w:uiPriority w:val="34"/>
    <w:qFormat/>
    <w:locked/>
    <w:rsid w:val="00A94BAD"/>
    <w:rPr>
      <w:rFonts w:ascii="Times New Roman" w:eastAsia="Times New Roman" w:hAnsi="Times New Roman" w:cs="Times New Roman"/>
      <w:sz w:val="24"/>
      <w:szCs w:val="24"/>
      <w:lang w:val="es-MX" w:eastAsia="es-MX"/>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AE4B84"/>
    <w:pPr>
      <w:tabs>
        <w:tab w:val="center" w:pos="4419"/>
        <w:tab w:val="right" w:pos="8838"/>
      </w:tabs>
    </w:pPr>
  </w:style>
  <w:style w:type="paragraph" w:styleId="Piedepgina">
    <w:name w:val="footer"/>
    <w:basedOn w:val="Normal"/>
    <w:link w:val="PiedepginaCar"/>
    <w:uiPriority w:val="99"/>
    <w:unhideWhenUsed/>
    <w:rsid w:val="00AE4B84"/>
    <w:pPr>
      <w:tabs>
        <w:tab w:val="center" w:pos="4419"/>
        <w:tab w:val="right" w:pos="8838"/>
      </w:tabs>
    </w:pPr>
  </w:style>
  <w:style w:type="paragraph" w:styleId="Prrafodelista">
    <w:name w:val="List Paragraph"/>
    <w:basedOn w:val="Normal"/>
    <w:link w:val="PrrafodelistaCar"/>
    <w:uiPriority w:val="34"/>
    <w:qFormat/>
    <w:rsid w:val="00BB5195"/>
    <w:pPr>
      <w:ind w:left="720"/>
      <w:contextualSpacing/>
    </w:pPr>
  </w:style>
  <w:style w:type="character" w:customStyle="1" w:styleId="selectable-text">
    <w:name w:val="selectable-text"/>
    <w:basedOn w:val="Fuentedeprrafopredeter"/>
    <w:rsid w:val="00A8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1829528.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2479</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inf03m612@outlook.com</cp:lastModifiedBy>
  <cp:revision>20</cp:revision>
  <cp:lastPrinted>2024-09-13T15:26:00Z</cp:lastPrinted>
  <dcterms:created xsi:type="dcterms:W3CDTF">2023-07-11T15:00:00Z</dcterms:created>
  <dcterms:modified xsi:type="dcterms:W3CDTF">2024-09-20T18:05:00Z</dcterms:modified>
  <dc:language>es-MX</dc:language>
</cp:coreProperties>
</file>