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6B4068" w:rsidRDefault="006B4068">
      <w:pPr>
        <w:widowControl w:val="0"/>
        <w:pBdr>
          <w:top w:val="nil"/>
          <w:left w:val="nil"/>
          <w:bottom w:val="nil"/>
          <w:right w:val="nil"/>
          <w:between w:val="nil"/>
        </w:pBdr>
        <w:spacing w:line="276" w:lineRule="auto"/>
      </w:pPr>
    </w:p>
    <w:p w:rsidR="006B4068" w:rsidRPr="00386289" w:rsidRDefault="000B6FEB">
      <w:pPr>
        <w:spacing w:line="360" w:lineRule="auto"/>
        <w:jc w:val="both"/>
        <w:rPr>
          <w:rFonts w:ascii="Palatino Linotype" w:eastAsia="Palatino Linotype" w:hAnsi="Palatino Linotype" w:cs="Palatino Linotype"/>
        </w:rPr>
      </w:pPr>
      <w:r w:rsidRPr="00386289">
        <w:rPr>
          <w:rFonts w:ascii="Palatino Linotype" w:eastAsia="Palatino Linotype" w:hAnsi="Palatino Linotype" w:cs="Palatino Linotype"/>
        </w:rPr>
        <w:t xml:space="preserve">Resolución del Pleno del Instituto de Transparencia, Acceso a la Información Pública y Protección de Datos Personales del Estado de México y Municipios, con domicilio en Metepec, Estado de México; del dieciocho </w:t>
      </w:r>
      <w:r w:rsidR="00E12FDF" w:rsidRPr="00386289">
        <w:rPr>
          <w:rFonts w:ascii="Palatino Linotype" w:eastAsia="Palatino Linotype" w:hAnsi="Palatino Linotype" w:cs="Palatino Linotype"/>
        </w:rPr>
        <w:t xml:space="preserve">(18) </w:t>
      </w:r>
      <w:r w:rsidRPr="00386289">
        <w:rPr>
          <w:rFonts w:ascii="Palatino Linotype" w:eastAsia="Palatino Linotype" w:hAnsi="Palatino Linotype" w:cs="Palatino Linotype"/>
        </w:rPr>
        <w:t xml:space="preserve">de diciembre de dos mil veinticuatro. </w:t>
      </w:r>
    </w:p>
    <w:p w:rsidR="006B4068" w:rsidRPr="00386289" w:rsidRDefault="006B4068">
      <w:pPr>
        <w:spacing w:line="360" w:lineRule="auto"/>
        <w:jc w:val="both"/>
        <w:rPr>
          <w:rFonts w:ascii="Palatino Linotype" w:eastAsia="Palatino Linotype" w:hAnsi="Palatino Linotype" w:cs="Palatino Linotype"/>
        </w:rPr>
      </w:pPr>
    </w:p>
    <w:p w:rsidR="006B4068" w:rsidRPr="00386289" w:rsidRDefault="000B6FEB">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b/>
          <w:color w:val="000000"/>
        </w:rPr>
        <w:t xml:space="preserve">VISTO </w:t>
      </w:r>
      <w:r w:rsidRPr="00386289">
        <w:rPr>
          <w:rFonts w:ascii="Palatino Linotype" w:eastAsia="Palatino Linotype" w:hAnsi="Palatino Linotype" w:cs="Palatino Linotype"/>
          <w:color w:val="000000"/>
        </w:rPr>
        <w:t xml:space="preserve">el expediente electrónico formado con motivo del recurso de revisión </w:t>
      </w:r>
      <w:r w:rsidRPr="00386289">
        <w:rPr>
          <w:rFonts w:ascii="Palatino Linotype" w:eastAsia="Palatino Linotype" w:hAnsi="Palatino Linotype" w:cs="Palatino Linotype"/>
          <w:b/>
          <w:color w:val="000000"/>
        </w:rPr>
        <w:t xml:space="preserve">01428/INFOEM/AD/RR/2024, </w:t>
      </w:r>
      <w:r w:rsidRPr="00386289">
        <w:rPr>
          <w:rFonts w:ascii="Palatino Linotype" w:eastAsia="Palatino Linotype" w:hAnsi="Palatino Linotype" w:cs="Palatino Linotype"/>
          <w:color w:val="000000"/>
        </w:rPr>
        <w:t xml:space="preserve">promovido por </w:t>
      </w:r>
      <w:r w:rsidR="00386289" w:rsidRPr="00386289">
        <w:rPr>
          <w:rFonts w:ascii="Palatino Linotype" w:eastAsia="Palatino Linotype" w:hAnsi="Palatino Linotype" w:cs="Palatino Linotype"/>
          <w:b/>
          <w:color w:val="000000"/>
        </w:rPr>
        <w:t>XXXXXXXXXXX</w:t>
      </w:r>
      <w:r w:rsidRPr="00386289">
        <w:rPr>
          <w:rFonts w:ascii="Palatino Linotype" w:eastAsia="Palatino Linotype" w:hAnsi="Palatino Linotype" w:cs="Palatino Linotype"/>
          <w:color w:val="000000"/>
        </w:rPr>
        <w:t xml:space="preserve">, en su calidad de </w:t>
      </w:r>
      <w:r w:rsidRPr="00386289">
        <w:rPr>
          <w:rFonts w:ascii="Palatino Linotype" w:eastAsia="Palatino Linotype" w:hAnsi="Palatino Linotype" w:cs="Palatino Linotype"/>
          <w:b/>
          <w:color w:val="000000"/>
        </w:rPr>
        <w:t>RECURRENTE</w:t>
      </w:r>
      <w:r w:rsidRPr="00386289">
        <w:rPr>
          <w:rFonts w:ascii="Palatino Linotype" w:eastAsia="Palatino Linotype" w:hAnsi="Palatino Linotype" w:cs="Palatino Linotype"/>
          <w:color w:val="000000"/>
        </w:rPr>
        <w:t xml:space="preserve">, en contra de la respuesta del </w:t>
      </w:r>
      <w:r w:rsidRPr="00386289">
        <w:rPr>
          <w:rFonts w:ascii="Palatino Linotype" w:eastAsia="Palatino Linotype" w:hAnsi="Palatino Linotype" w:cs="Palatino Linotype"/>
          <w:b/>
          <w:color w:val="000000"/>
        </w:rPr>
        <w:t>Instituto de Seguridad Social del Estado de México y Municipios</w:t>
      </w:r>
      <w:r w:rsidRPr="00386289">
        <w:rPr>
          <w:rFonts w:ascii="Palatino Linotype" w:eastAsia="Palatino Linotype" w:hAnsi="Palatino Linotype" w:cs="Palatino Linotype"/>
          <w:color w:val="000000"/>
        </w:rPr>
        <w:t>,</w:t>
      </w:r>
      <w:r w:rsidRPr="00386289">
        <w:rPr>
          <w:rFonts w:ascii="Palatino Linotype" w:eastAsia="Palatino Linotype" w:hAnsi="Palatino Linotype" w:cs="Palatino Linotype"/>
          <w:b/>
          <w:color w:val="000000"/>
        </w:rPr>
        <w:t xml:space="preserve"> </w:t>
      </w:r>
      <w:r w:rsidRPr="00386289">
        <w:rPr>
          <w:rFonts w:ascii="Palatino Linotype" w:eastAsia="Palatino Linotype" w:hAnsi="Palatino Linotype" w:cs="Palatino Linotype"/>
          <w:color w:val="000000"/>
        </w:rPr>
        <w:t>en lo sucesivo el</w:t>
      </w:r>
      <w:r w:rsidRPr="00386289">
        <w:rPr>
          <w:rFonts w:ascii="Palatino Linotype" w:eastAsia="Palatino Linotype" w:hAnsi="Palatino Linotype" w:cs="Palatino Linotype"/>
          <w:b/>
          <w:color w:val="000000"/>
        </w:rPr>
        <w:t xml:space="preserve"> SUJETO OBLIGADO, </w:t>
      </w:r>
      <w:r w:rsidRPr="00386289">
        <w:rPr>
          <w:rFonts w:ascii="Palatino Linotype" w:eastAsia="Palatino Linotype" w:hAnsi="Palatino Linotype" w:cs="Palatino Linotype"/>
          <w:color w:val="000000"/>
        </w:rPr>
        <w:t xml:space="preserve">se procede a dictar la presente resolución, con base en los siguientes: </w:t>
      </w:r>
    </w:p>
    <w:p w:rsidR="006B4068" w:rsidRPr="00386289" w:rsidRDefault="006B4068">
      <w:pPr>
        <w:pBdr>
          <w:top w:val="nil"/>
          <w:left w:val="nil"/>
          <w:bottom w:val="nil"/>
          <w:right w:val="nil"/>
          <w:between w:val="nil"/>
        </w:pBdr>
        <w:tabs>
          <w:tab w:val="center" w:pos="4419"/>
          <w:tab w:val="right" w:pos="8838"/>
        </w:tabs>
        <w:spacing w:line="360" w:lineRule="auto"/>
        <w:jc w:val="both"/>
        <w:rPr>
          <w:rFonts w:ascii="Palatino Linotype" w:eastAsia="Palatino Linotype" w:hAnsi="Palatino Linotype" w:cs="Palatino Linotype"/>
          <w:b/>
          <w:color w:val="000000"/>
        </w:rPr>
      </w:pPr>
    </w:p>
    <w:p w:rsidR="006B4068" w:rsidRPr="00386289" w:rsidRDefault="000B6FEB">
      <w:pPr>
        <w:pStyle w:val="Ttulo1"/>
        <w:spacing w:before="0" w:line="360" w:lineRule="auto"/>
        <w:jc w:val="center"/>
      </w:pPr>
      <w:bookmarkStart w:id="0" w:name="_heading=h.gjdgxs" w:colFirst="0" w:colLast="0"/>
      <w:bookmarkEnd w:id="0"/>
      <w:r w:rsidRPr="00386289">
        <w:t>ANTECEDENTES</w:t>
      </w:r>
    </w:p>
    <w:p w:rsidR="006B4068" w:rsidRPr="00386289" w:rsidRDefault="006B4068">
      <w:pPr>
        <w:spacing w:line="360" w:lineRule="auto"/>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El doce de febrero de dos mil veinticuatro, ante el </w:t>
      </w:r>
      <w:r w:rsidRPr="00386289">
        <w:rPr>
          <w:rFonts w:ascii="Palatino Linotype" w:eastAsia="Palatino Linotype" w:hAnsi="Palatino Linotype" w:cs="Palatino Linotype"/>
          <w:b/>
          <w:color w:val="000000"/>
        </w:rPr>
        <w:t>SUJETO OBLIGADO</w:t>
      </w:r>
      <w:r w:rsidRPr="00386289">
        <w:rPr>
          <w:rFonts w:ascii="Palatino Linotype" w:eastAsia="Palatino Linotype" w:hAnsi="Palatino Linotype" w:cs="Palatino Linotype"/>
          <w:color w:val="000000"/>
        </w:rPr>
        <w:t xml:space="preserve"> vía Sistema de Acceso, Rectificación, Cancelación y Oposición de Datos Personales del Estado de México (</w:t>
      </w:r>
      <w:r w:rsidRPr="00386289">
        <w:rPr>
          <w:rFonts w:ascii="Palatino Linotype" w:eastAsia="Palatino Linotype" w:hAnsi="Palatino Linotype" w:cs="Palatino Linotype"/>
          <w:b/>
          <w:color w:val="000000"/>
        </w:rPr>
        <w:t>SARCOEM)</w:t>
      </w:r>
      <w:r w:rsidRPr="00386289">
        <w:rPr>
          <w:rFonts w:ascii="Palatino Linotype" w:eastAsia="Palatino Linotype" w:hAnsi="Palatino Linotype" w:cs="Palatino Linotype"/>
          <w:color w:val="000000"/>
        </w:rPr>
        <w:t xml:space="preserve">, presentó la solicitud de información pública registrada con el número </w:t>
      </w:r>
      <w:r w:rsidRPr="00386289">
        <w:rPr>
          <w:rFonts w:ascii="Palatino Linotype" w:eastAsia="Palatino Linotype" w:hAnsi="Palatino Linotype" w:cs="Palatino Linotype"/>
          <w:b/>
          <w:color w:val="000000"/>
        </w:rPr>
        <w:t xml:space="preserve">00134/ISSEMYM/AD/2024 </w:t>
      </w:r>
      <w:r w:rsidRPr="00386289">
        <w:rPr>
          <w:rFonts w:ascii="Palatino Linotype" w:eastAsia="Palatino Linotype" w:hAnsi="Palatino Linotype" w:cs="Palatino Linotype"/>
          <w:color w:val="000000"/>
        </w:rPr>
        <w:t>mediante las cuales solicitó lo siguiente:</w:t>
      </w:r>
    </w:p>
    <w:p w:rsidR="006B4068" w:rsidRPr="00386289" w:rsidRDefault="006B4068">
      <w:pPr>
        <w:spacing w:line="360" w:lineRule="auto"/>
        <w:jc w:val="both"/>
        <w:rPr>
          <w:rFonts w:ascii="Palatino Linotype" w:eastAsia="Palatino Linotype" w:hAnsi="Palatino Linotype" w:cs="Palatino Linotype"/>
          <w:i/>
          <w:sz w:val="22"/>
          <w:szCs w:val="22"/>
        </w:rPr>
      </w:pPr>
    </w:p>
    <w:p w:rsidR="006B4068" w:rsidRPr="00386289" w:rsidRDefault="000B6FEB">
      <w:pPr>
        <w:ind w:left="709" w:right="539"/>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rPr>
        <w:t xml:space="preserve">00134/ISSEMYM/AD/2024, </w:t>
      </w:r>
    </w:p>
    <w:p w:rsidR="006B4068" w:rsidRPr="00386289" w:rsidRDefault="006B4068">
      <w:pPr>
        <w:ind w:left="709" w:right="539"/>
        <w:jc w:val="both"/>
        <w:rPr>
          <w:rFonts w:ascii="Palatino Linotype" w:eastAsia="Palatino Linotype" w:hAnsi="Palatino Linotype" w:cs="Palatino Linotype"/>
          <w:i/>
          <w:color w:val="000000"/>
          <w:sz w:val="22"/>
          <w:szCs w:val="22"/>
        </w:rPr>
      </w:pPr>
    </w:p>
    <w:p w:rsidR="006B4068" w:rsidRPr="00386289" w:rsidRDefault="000B6FEB">
      <w:pPr>
        <w:ind w:left="709" w:right="397"/>
        <w:jc w:val="both"/>
        <w:rPr>
          <w:rFonts w:ascii="Palatino Linotype" w:eastAsia="Palatino Linotype" w:hAnsi="Palatino Linotype" w:cs="Palatino Linotype"/>
          <w:i/>
          <w:sz w:val="22"/>
          <w:szCs w:val="22"/>
        </w:rPr>
      </w:pPr>
      <w:r w:rsidRPr="00386289">
        <w:rPr>
          <w:rFonts w:ascii="Palatino Linotype" w:eastAsia="Palatino Linotype" w:hAnsi="Palatino Linotype" w:cs="Palatino Linotype"/>
          <w:i/>
          <w:color w:val="000000"/>
          <w:sz w:val="22"/>
          <w:szCs w:val="22"/>
        </w:rPr>
        <w:t>“</w:t>
      </w:r>
      <w:r w:rsidRPr="00386289">
        <w:rPr>
          <w:rFonts w:ascii="Palatino Linotype" w:eastAsia="Palatino Linotype" w:hAnsi="Palatino Linotype" w:cs="Palatino Linotype"/>
          <w:i/>
        </w:rPr>
        <w:t xml:space="preserve">SOLICITO EN 5 COPIAS CERTIFICADAS DE DICTAMEN DE INCAPACIDAD POR RIESGO DE TRABAJO ISSEMYM, CLAVE ISSEMYM </w:t>
      </w:r>
      <w:r w:rsidR="00386289" w:rsidRPr="00386289">
        <w:rPr>
          <w:rFonts w:ascii="Palatino Linotype" w:eastAsia="Palatino Linotype" w:hAnsi="Palatino Linotype" w:cs="Palatino Linotype"/>
          <w:i/>
        </w:rPr>
        <w:t>XXXXXXXX</w:t>
      </w:r>
      <w:r w:rsidRPr="00386289">
        <w:rPr>
          <w:rFonts w:ascii="Palatino Linotype" w:eastAsia="Palatino Linotype" w:hAnsi="Palatino Linotype" w:cs="Palatino Linotype"/>
          <w:i/>
        </w:rPr>
        <w:t>, HOSPITAL REGIONAL TLALNEPANTLA, INICIADO EN EL AÑO 2015</w:t>
      </w:r>
      <w:r w:rsidRPr="00386289">
        <w:rPr>
          <w:rFonts w:ascii="Palatino Linotype" w:eastAsia="Palatino Linotype" w:hAnsi="Palatino Linotype" w:cs="Palatino Linotype"/>
          <w:i/>
          <w:sz w:val="22"/>
          <w:szCs w:val="22"/>
        </w:rPr>
        <w:t>” (Sic)</w:t>
      </w:r>
    </w:p>
    <w:p w:rsidR="006B4068" w:rsidRPr="00386289" w:rsidRDefault="006B4068">
      <w:pPr>
        <w:ind w:left="709" w:right="539"/>
        <w:jc w:val="both"/>
        <w:rPr>
          <w:rFonts w:ascii="Palatino Linotype" w:eastAsia="Palatino Linotype" w:hAnsi="Palatino Linotype" w:cs="Palatino Linotype"/>
          <w:i/>
          <w:sz w:val="22"/>
          <w:szCs w:val="22"/>
        </w:rPr>
      </w:pPr>
    </w:p>
    <w:p w:rsidR="006B4068" w:rsidRPr="00386289" w:rsidRDefault="000B6FEB">
      <w:pPr>
        <w:tabs>
          <w:tab w:val="left" w:pos="7085"/>
        </w:tabs>
        <w:ind w:left="709" w:right="539"/>
        <w:jc w:val="both"/>
        <w:rPr>
          <w:rFonts w:ascii="Palatino Linotype" w:eastAsia="Palatino Linotype" w:hAnsi="Palatino Linotype" w:cs="Palatino Linotype"/>
          <w:b/>
        </w:rPr>
      </w:pPr>
      <w:r w:rsidRPr="00386289">
        <w:rPr>
          <w:rFonts w:ascii="Palatino Linotype" w:eastAsia="Palatino Linotype" w:hAnsi="Palatino Linotype" w:cs="Palatino Linotype"/>
          <w:b/>
        </w:rPr>
        <w:lastRenderedPageBreak/>
        <w:tab/>
      </w:r>
    </w:p>
    <w:p w:rsidR="006B4068" w:rsidRPr="00386289" w:rsidRDefault="000B6FEB">
      <w:pPr>
        <w:numPr>
          <w:ilvl w:val="0"/>
          <w:numId w:val="1"/>
        </w:numPr>
        <w:pBdr>
          <w:top w:val="nil"/>
          <w:left w:val="nil"/>
          <w:bottom w:val="nil"/>
          <w:right w:val="nil"/>
          <w:between w:val="nil"/>
        </w:pBdr>
        <w:spacing w:line="360" w:lineRule="auto"/>
        <w:ind w:left="709" w:right="539"/>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La Recurrente adjuntó los siguientes documentos:</w:t>
      </w:r>
    </w:p>
    <w:p w:rsidR="006B4068" w:rsidRPr="00386289" w:rsidRDefault="000B6FEB">
      <w:pPr>
        <w:numPr>
          <w:ilvl w:val="0"/>
          <w:numId w:val="6"/>
        </w:numPr>
        <w:pBdr>
          <w:top w:val="nil"/>
          <w:left w:val="nil"/>
          <w:bottom w:val="nil"/>
          <w:right w:val="nil"/>
          <w:between w:val="nil"/>
        </w:pBdr>
        <w:spacing w:line="360" w:lineRule="auto"/>
        <w:ind w:right="539"/>
        <w:jc w:val="both"/>
        <w:rPr>
          <w:rFonts w:ascii="Palatino Linotype" w:eastAsia="Palatino Linotype" w:hAnsi="Palatino Linotype" w:cs="Palatino Linotype"/>
          <w:color w:val="000000"/>
          <w:sz w:val="22"/>
          <w:szCs w:val="22"/>
        </w:rPr>
      </w:pPr>
      <w:r w:rsidRPr="00386289">
        <w:rPr>
          <w:rFonts w:ascii="Palatino Linotype" w:eastAsia="Palatino Linotype" w:hAnsi="Palatino Linotype" w:cs="Palatino Linotype"/>
          <w:color w:val="000000"/>
          <w:sz w:val="22"/>
          <w:szCs w:val="22"/>
        </w:rPr>
        <w:t>Credencial de elector emitida por el Instituto Nacional Electoral.</w:t>
      </w:r>
    </w:p>
    <w:p w:rsidR="006B4068" w:rsidRPr="00386289" w:rsidRDefault="000B6FEB">
      <w:pPr>
        <w:numPr>
          <w:ilvl w:val="0"/>
          <w:numId w:val="6"/>
        </w:numPr>
        <w:pBdr>
          <w:top w:val="nil"/>
          <w:left w:val="nil"/>
          <w:bottom w:val="nil"/>
          <w:right w:val="nil"/>
          <w:between w:val="nil"/>
        </w:pBdr>
        <w:spacing w:line="360" w:lineRule="auto"/>
        <w:ind w:right="539"/>
        <w:jc w:val="both"/>
        <w:rPr>
          <w:rFonts w:ascii="Palatino Linotype" w:eastAsia="Palatino Linotype" w:hAnsi="Palatino Linotype" w:cs="Palatino Linotype"/>
          <w:color w:val="000000"/>
          <w:sz w:val="22"/>
          <w:szCs w:val="22"/>
        </w:rPr>
      </w:pPr>
      <w:r w:rsidRPr="00386289">
        <w:rPr>
          <w:rFonts w:ascii="Palatino Linotype" w:eastAsia="Palatino Linotype" w:hAnsi="Palatino Linotype" w:cs="Palatino Linotype"/>
          <w:color w:val="000000"/>
          <w:sz w:val="22"/>
          <w:szCs w:val="22"/>
        </w:rPr>
        <w:t>Credencial emitida por el Instituto de Seguridad Social del Estado de México y Municipios.</w:t>
      </w:r>
    </w:p>
    <w:p w:rsidR="006B4068" w:rsidRPr="00386289" w:rsidRDefault="006B4068">
      <w:pPr>
        <w:pBdr>
          <w:top w:val="nil"/>
          <w:left w:val="nil"/>
          <w:bottom w:val="nil"/>
          <w:right w:val="nil"/>
          <w:between w:val="nil"/>
        </w:pBdr>
        <w:spacing w:line="360" w:lineRule="auto"/>
        <w:ind w:left="1069" w:right="539"/>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color w:val="000000"/>
        </w:rPr>
        <w:t xml:space="preserve">Señaló como modalidad de entrega de la información en </w:t>
      </w:r>
      <w:r w:rsidRPr="00386289">
        <w:rPr>
          <w:rFonts w:ascii="Palatino Linotype" w:eastAsia="Palatino Linotype" w:hAnsi="Palatino Linotype" w:cs="Palatino Linotype"/>
          <w:b/>
          <w:color w:val="000000"/>
        </w:rPr>
        <w:t>COPIAS CERTIFICADAS</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r w:rsidRPr="00386289">
        <w:rPr>
          <w:rFonts w:ascii="Palatino Linotype" w:eastAsia="Palatino Linotype" w:hAnsi="Palatino Linotype" w:cs="Palatino Linotype"/>
          <w:color w:val="000000"/>
        </w:rPr>
        <w:t xml:space="preserve">El veintiocho de febrero de dos mil veinticuatro, el </w:t>
      </w:r>
      <w:r w:rsidRPr="00386289">
        <w:rPr>
          <w:rFonts w:ascii="Palatino Linotype" w:eastAsia="Palatino Linotype" w:hAnsi="Palatino Linotype" w:cs="Palatino Linotype"/>
          <w:b/>
          <w:color w:val="000000"/>
        </w:rPr>
        <w:t>SUJETO OBLIGADO</w:t>
      </w:r>
      <w:r w:rsidRPr="00386289">
        <w:rPr>
          <w:rFonts w:ascii="Palatino Linotype" w:eastAsia="Palatino Linotype" w:hAnsi="Palatino Linotype" w:cs="Palatino Linotype"/>
          <w:color w:val="000000"/>
        </w:rPr>
        <w:t xml:space="preserve"> dio respuesta a la solicitud en los siguientes términos:</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i/>
          <w:color w:val="000000"/>
        </w:rPr>
      </w:pPr>
    </w:p>
    <w:p w:rsidR="006B4068" w:rsidRPr="00386289" w:rsidRDefault="000B6FEB">
      <w:pPr>
        <w:pBdr>
          <w:top w:val="nil"/>
          <w:left w:val="nil"/>
          <w:bottom w:val="nil"/>
          <w:right w:val="nil"/>
          <w:between w:val="nil"/>
        </w:pBdr>
        <w:spacing w:line="276" w:lineRule="auto"/>
        <w:ind w:left="720" w:right="539"/>
        <w:jc w:val="both"/>
        <w:rPr>
          <w:rFonts w:ascii="Palatino Linotype" w:eastAsia="Palatino Linotype" w:hAnsi="Palatino Linotype" w:cs="Palatino Linotype"/>
          <w:color w:val="000000"/>
          <w:sz w:val="22"/>
          <w:szCs w:val="22"/>
        </w:rPr>
      </w:pPr>
      <w:r w:rsidRPr="00386289">
        <w:rPr>
          <w:rFonts w:ascii="Palatino Linotype" w:eastAsia="Palatino Linotype" w:hAnsi="Palatino Linotype" w:cs="Palatino Linotype"/>
          <w:b/>
          <w:color w:val="000000"/>
          <w:sz w:val="22"/>
          <w:szCs w:val="22"/>
        </w:rPr>
        <w:t xml:space="preserve">RESPUESTA 134 AD.pdf: </w:t>
      </w:r>
      <w:r w:rsidRPr="00386289">
        <w:rPr>
          <w:rFonts w:ascii="Palatino Linotype" w:eastAsia="Palatino Linotype" w:hAnsi="Palatino Linotype" w:cs="Palatino Linotype"/>
          <w:color w:val="000000"/>
          <w:sz w:val="22"/>
          <w:szCs w:val="22"/>
        </w:rPr>
        <w:t xml:space="preserve">Contiene el oficio número 207C 0401210001S-555/2024, de fecha veintisiete de febrero de 2024, suscrito por el Responsable y Titular de la Unidad de Transparencia, en el cual se observa: </w:t>
      </w:r>
    </w:p>
    <w:p w:rsidR="006B4068" w:rsidRPr="00386289" w:rsidRDefault="006B4068">
      <w:pPr>
        <w:pBdr>
          <w:top w:val="nil"/>
          <w:left w:val="nil"/>
          <w:bottom w:val="nil"/>
          <w:right w:val="nil"/>
          <w:between w:val="nil"/>
        </w:pBdr>
        <w:spacing w:line="276" w:lineRule="auto"/>
        <w:ind w:left="720"/>
        <w:jc w:val="both"/>
        <w:rPr>
          <w:rFonts w:ascii="Palatino Linotype" w:eastAsia="Palatino Linotype" w:hAnsi="Palatino Linotype" w:cs="Palatino Linotype"/>
          <w:color w:val="000000"/>
          <w:sz w:val="22"/>
          <w:szCs w:val="22"/>
        </w:rPr>
      </w:pPr>
    </w:p>
    <w:p w:rsidR="006B4068" w:rsidRPr="00386289" w:rsidRDefault="000B6FEB">
      <w:pPr>
        <w:pBdr>
          <w:top w:val="nil"/>
          <w:left w:val="nil"/>
          <w:bottom w:val="nil"/>
          <w:right w:val="nil"/>
          <w:between w:val="nil"/>
        </w:pBdr>
        <w:spacing w:line="276" w:lineRule="auto"/>
        <w:ind w:left="851" w:right="539"/>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“De acuerdo con lo comunicado por la Suplente de la Dirección de Atención a la Salud adscrita al Servidor Público Habilitado de la Coordinación de Servicios de Salud, informó lo siguiente:</w:t>
      </w:r>
    </w:p>
    <w:p w:rsidR="006B4068" w:rsidRPr="00386289" w:rsidRDefault="000B6FEB">
      <w:pPr>
        <w:pBdr>
          <w:top w:val="nil"/>
          <w:left w:val="nil"/>
          <w:bottom w:val="nil"/>
          <w:right w:val="nil"/>
          <w:between w:val="nil"/>
        </w:pBdr>
        <w:spacing w:line="276" w:lineRule="auto"/>
        <w:ind w:left="1418" w:right="110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 xml:space="preserve">“…Comento a usted que la servidora pública tiene su domicilio en Naucalpan, por regionalización le corresponde el Servicio de Salud en el Trabajo del Hospital Regional PPS de Tlalnepantla, se realizó búsqueda exhaustiva no habiendo antecedentes de solicitud de calificación de riesgo </w:t>
      </w:r>
      <w:proofErr w:type="gramStart"/>
      <w:r w:rsidRPr="00386289">
        <w:rPr>
          <w:rFonts w:ascii="Palatino Linotype" w:eastAsia="Palatino Linotype" w:hAnsi="Palatino Linotype" w:cs="Palatino Linotype"/>
          <w:i/>
          <w:color w:val="000000"/>
          <w:sz w:val="22"/>
          <w:szCs w:val="22"/>
        </w:rPr>
        <w:t>de</w:t>
      </w:r>
      <w:proofErr w:type="gramEnd"/>
      <w:r w:rsidRPr="00386289">
        <w:rPr>
          <w:rFonts w:ascii="Palatino Linotype" w:eastAsia="Palatino Linotype" w:hAnsi="Palatino Linotype" w:cs="Palatino Linotype"/>
          <w:i/>
          <w:color w:val="000000"/>
          <w:sz w:val="22"/>
          <w:szCs w:val="22"/>
        </w:rPr>
        <w:t xml:space="preserve"> trabajo, así como de elaboración de Dictamen de por Riesgo de Trabajo.” (SIC)</w:t>
      </w:r>
    </w:p>
    <w:p w:rsidR="006B4068" w:rsidRPr="00386289" w:rsidRDefault="006B4068">
      <w:pPr>
        <w:pBdr>
          <w:top w:val="nil"/>
          <w:left w:val="nil"/>
          <w:bottom w:val="nil"/>
          <w:right w:val="nil"/>
          <w:between w:val="nil"/>
        </w:pBdr>
        <w:spacing w:line="276" w:lineRule="auto"/>
        <w:ind w:left="720"/>
        <w:jc w:val="both"/>
        <w:rPr>
          <w:rFonts w:ascii="Palatino Linotype" w:eastAsia="Palatino Linotype" w:hAnsi="Palatino Linotype" w:cs="Palatino Linotype"/>
          <w:i/>
          <w:color w:val="000000"/>
          <w:sz w:val="22"/>
          <w:szCs w:val="22"/>
        </w:rPr>
      </w:pPr>
    </w:p>
    <w:p w:rsidR="006B4068" w:rsidRPr="00386289" w:rsidRDefault="000B6FEB">
      <w:pPr>
        <w:pBdr>
          <w:top w:val="nil"/>
          <w:left w:val="nil"/>
          <w:bottom w:val="nil"/>
          <w:right w:val="nil"/>
          <w:between w:val="nil"/>
        </w:pBdr>
        <w:spacing w:line="276" w:lineRule="auto"/>
        <w:ind w:left="720" w:right="539"/>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 xml:space="preserve">Considerando que en la modalidad de entrega en “Copias Certificadas”, y en virtud de que la información solicitada no fue localizada, no se puede entregar en la modalidad referida…” </w:t>
      </w:r>
      <w:r w:rsidRPr="00386289">
        <w:rPr>
          <w:rFonts w:ascii="Palatino Linotype" w:eastAsia="Palatino Linotype" w:hAnsi="Palatino Linotype" w:cs="Palatino Linotype"/>
          <w:color w:val="000000"/>
          <w:sz w:val="22"/>
          <w:szCs w:val="22"/>
        </w:rPr>
        <w:t>(Sic)</w:t>
      </w:r>
      <w:r w:rsidRPr="00386289">
        <w:rPr>
          <w:rFonts w:ascii="Palatino Linotype" w:eastAsia="Palatino Linotype" w:hAnsi="Palatino Linotype" w:cs="Palatino Linotype"/>
          <w:i/>
          <w:color w:val="000000"/>
          <w:sz w:val="22"/>
          <w:szCs w:val="22"/>
        </w:rPr>
        <w:t xml:space="preserve"> </w:t>
      </w:r>
    </w:p>
    <w:p w:rsidR="006B4068" w:rsidRPr="00386289" w:rsidRDefault="006B4068">
      <w:pPr>
        <w:pBdr>
          <w:top w:val="nil"/>
          <w:left w:val="nil"/>
          <w:bottom w:val="nil"/>
          <w:right w:val="nil"/>
          <w:between w:val="nil"/>
        </w:pBdr>
        <w:spacing w:line="360" w:lineRule="auto"/>
        <w:ind w:left="720" w:right="539"/>
        <w:jc w:val="both"/>
        <w:rPr>
          <w:rFonts w:ascii="Palatino Linotype" w:eastAsia="Palatino Linotype" w:hAnsi="Palatino Linotype" w:cs="Palatino Linotype"/>
          <w:i/>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rPr>
      </w:pPr>
      <w:bookmarkStart w:id="1" w:name="_heading=h.30j0zll" w:colFirst="0" w:colLast="0"/>
      <w:bookmarkEnd w:id="1"/>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catorce de marzo de dos mil veinticuatro</w:t>
      </w:r>
      <w:r w:rsidRPr="00386289">
        <w:rPr>
          <w:rFonts w:ascii="Palatino Linotype" w:eastAsia="Palatino Linotype" w:hAnsi="Palatino Linotype" w:cs="Palatino Linotype"/>
          <w:color w:val="000000"/>
        </w:rPr>
        <w:t>, el</w:t>
      </w:r>
      <w:r w:rsidRPr="00386289">
        <w:rPr>
          <w:rFonts w:ascii="Palatino Linotype" w:eastAsia="Palatino Linotype" w:hAnsi="Palatino Linotype" w:cs="Palatino Linotype"/>
          <w:b/>
          <w:color w:val="000000"/>
        </w:rPr>
        <w:t xml:space="preserve"> RECURRENTE </w:t>
      </w:r>
      <w:r w:rsidRPr="00386289">
        <w:rPr>
          <w:rFonts w:ascii="Palatino Linotype" w:eastAsia="Palatino Linotype" w:hAnsi="Palatino Linotype" w:cs="Palatino Linotype"/>
          <w:color w:val="000000"/>
        </w:rPr>
        <w:t>interpuso el recurso de revisión, en contra de la respuesta y, señaló como:</w:t>
      </w:r>
    </w:p>
    <w:p w:rsidR="006B4068" w:rsidRPr="00386289" w:rsidRDefault="006B4068">
      <w:pPr>
        <w:pBdr>
          <w:top w:val="nil"/>
          <w:left w:val="nil"/>
          <w:bottom w:val="nil"/>
          <w:right w:val="nil"/>
          <w:between w:val="nil"/>
        </w:pBdr>
        <w:ind w:left="720"/>
        <w:jc w:val="both"/>
        <w:rPr>
          <w:rFonts w:ascii="Palatino Linotype" w:eastAsia="Palatino Linotype" w:hAnsi="Palatino Linotype" w:cs="Palatino Linotype"/>
          <w:i/>
          <w:color w:val="000000"/>
          <w:sz w:val="22"/>
          <w:szCs w:val="22"/>
        </w:rPr>
      </w:pPr>
    </w:p>
    <w:p w:rsidR="006B4068" w:rsidRPr="00386289" w:rsidRDefault="000B6FEB">
      <w:pPr>
        <w:spacing w:line="360" w:lineRule="auto"/>
        <w:ind w:firstLine="567"/>
        <w:jc w:val="both"/>
        <w:rPr>
          <w:rFonts w:ascii="Palatino Linotype" w:eastAsia="Palatino Linotype" w:hAnsi="Palatino Linotype" w:cs="Palatino Linotype"/>
        </w:rPr>
      </w:pPr>
      <w:r w:rsidRPr="00386289">
        <w:rPr>
          <w:rFonts w:ascii="Palatino Linotype" w:eastAsia="Palatino Linotype" w:hAnsi="Palatino Linotype" w:cs="Palatino Linotype"/>
          <w:b/>
        </w:rPr>
        <w:t>Acto impugnado:</w:t>
      </w:r>
      <w:r w:rsidRPr="00386289">
        <w:rPr>
          <w:rFonts w:ascii="Palatino Linotype" w:eastAsia="Palatino Linotype" w:hAnsi="Palatino Linotype" w:cs="Palatino Linotype"/>
          <w:b/>
          <w:i/>
          <w:color w:val="2E75B5"/>
        </w:rPr>
        <w:t xml:space="preserve"> </w:t>
      </w:r>
      <w:r w:rsidRPr="00386289">
        <w:rPr>
          <w:rFonts w:ascii="Palatino Linotype" w:eastAsia="Palatino Linotype" w:hAnsi="Palatino Linotype" w:cs="Palatino Linotype"/>
          <w:i/>
          <w:color w:val="000000"/>
        </w:rPr>
        <w:t>“</w:t>
      </w:r>
      <w:r w:rsidRPr="00386289">
        <w:rPr>
          <w:rFonts w:ascii="Palatino Linotype" w:eastAsia="Palatino Linotype" w:hAnsi="Palatino Linotype" w:cs="Palatino Linotype"/>
          <w:i/>
        </w:rPr>
        <w:t>OMISION DE ENTREGA DICTAMEN 00331725</w:t>
      </w:r>
      <w:r w:rsidRPr="00386289">
        <w:rPr>
          <w:rFonts w:ascii="Palatino Linotype" w:eastAsia="Palatino Linotype" w:hAnsi="Palatino Linotype" w:cs="Palatino Linotype"/>
          <w:i/>
          <w:color w:val="000000"/>
        </w:rPr>
        <w:t>.” (Sic)</w:t>
      </w:r>
    </w:p>
    <w:p w:rsidR="006B4068" w:rsidRPr="00386289" w:rsidRDefault="000B6FEB">
      <w:pPr>
        <w:pBdr>
          <w:top w:val="nil"/>
          <w:left w:val="nil"/>
          <w:bottom w:val="nil"/>
          <w:right w:val="nil"/>
          <w:between w:val="nil"/>
        </w:pBdr>
        <w:tabs>
          <w:tab w:val="left" w:pos="1578"/>
        </w:tabs>
        <w:spacing w:line="360" w:lineRule="auto"/>
        <w:ind w:left="567" w:right="539"/>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ab/>
      </w:r>
    </w:p>
    <w:p w:rsidR="006B4068" w:rsidRPr="00386289" w:rsidRDefault="000B6FEB">
      <w:pPr>
        <w:spacing w:line="360" w:lineRule="auto"/>
        <w:ind w:left="567" w:right="539"/>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rPr>
        <w:t>Razones o Motivos de inconformidad</w:t>
      </w:r>
      <w:r w:rsidRPr="00386289">
        <w:rPr>
          <w:rFonts w:ascii="Palatino Linotype" w:eastAsia="Palatino Linotype" w:hAnsi="Palatino Linotype" w:cs="Palatino Linotype"/>
          <w:b/>
          <w:i/>
        </w:rPr>
        <w:t>:</w:t>
      </w:r>
      <w:r w:rsidRPr="00386289">
        <w:rPr>
          <w:rFonts w:ascii="Palatino Linotype" w:eastAsia="Palatino Linotype" w:hAnsi="Palatino Linotype" w:cs="Palatino Linotype"/>
          <w:i/>
        </w:rPr>
        <w:t xml:space="preserve"> </w:t>
      </w:r>
      <w:r w:rsidRPr="00386289">
        <w:rPr>
          <w:rFonts w:ascii="Palatino Linotype" w:eastAsia="Palatino Linotype" w:hAnsi="Palatino Linotype" w:cs="Palatino Linotype"/>
          <w:i/>
          <w:color w:val="000000"/>
        </w:rPr>
        <w:t xml:space="preserve">“NIEGAN ANTESCEDENTES DE SOLICITUD DE CALIFICACION DE RIESGO DE TRABAJO. (SE ANEXA AVISO PARA CALIFICAR PROBABLE RIESGO DE </w:t>
      </w:r>
      <w:proofErr w:type="gramStart"/>
      <w:r w:rsidRPr="00386289">
        <w:rPr>
          <w:rFonts w:ascii="Palatino Linotype" w:eastAsia="Palatino Linotype" w:hAnsi="Palatino Linotype" w:cs="Palatino Linotype"/>
          <w:i/>
          <w:color w:val="000000"/>
        </w:rPr>
        <w:t>TRABAJO )</w:t>
      </w:r>
      <w:proofErr w:type="gramEnd"/>
      <w:r w:rsidRPr="00386289">
        <w:rPr>
          <w:rFonts w:ascii="Palatino Linotype" w:eastAsia="Palatino Linotype" w:hAnsi="Palatino Linotype" w:cs="Palatino Linotype"/>
          <w:i/>
          <w:color w:val="000000"/>
        </w:rPr>
        <w:t xml:space="preserve"> A NOMBRE DE LA SUSCRITA DE FECHA 12 DE JULIO 2015 CON SELLO SALUD EN EL TRABAJO , HOSPITAL REGIONAL TLALNEPANTLA DE FECHA 12 DE NOV 2015 .</w:t>
      </w:r>
      <w:r w:rsidRPr="00386289">
        <w:rPr>
          <w:rFonts w:ascii="Palatino Linotype" w:eastAsia="Palatino Linotype" w:hAnsi="Palatino Linotype" w:cs="Palatino Linotype"/>
          <w:i/>
          <w:color w:val="000000"/>
          <w:sz w:val="22"/>
          <w:szCs w:val="22"/>
        </w:rPr>
        <w:t xml:space="preserve">.” </w:t>
      </w:r>
      <w:r w:rsidRPr="00386289">
        <w:rPr>
          <w:rFonts w:ascii="Palatino Linotype" w:eastAsia="Palatino Linotype" w:hAnsi="Palatino Linotype" w:cs="Palatino Linotype"/>
          <w:i/>
          <w:color w:val="000000"/>
        </w:rPr>
        <w:t>(Sic)</w:t>
      </w:r>
    </w:p>
    <w:p w:rsidR="006B4068" w:rsidRPr="00386289" w:rsidRDefault="006B4068">
      <w:pPr>
        <w:spacing w:line="360" w:lineRule="auto"/>
        <w:ind w:right="539"/>
        <w:jc w:val="both"/>
        <w:rPr>
          <w:rFonts w:ascii="Palatino Linotype" w:eastAsia="Palatino Linotype" w:hAnsi="Palatino Linotype" w:cs="Palatino Linotype"/>
        </w:rPr>
      </w:pPr>
    </w:p>
    <w:p w:rsidR="006B4068" w:rsidRPr="00386289" w:rsidRDefault="000B6FEB">
      <w:pPr>
        <w:numPr>
          <w:ilvl w:val="0"/>
          <w:numId w:val="4"/>
        </w:numPr>
        <w:pBdr>
          <w:top w:val="nil"/>
          <w:left w:val="nil"/>
          <w:bottom w:val="nil"/>
          <w:right w:val="nil"/>
          <w:between w:val="nil"/>
        </w:pBdr>
        <w:spacing w:line="360" w:lineRule="auto"/>
        <w:ind w:left="0" w:right="53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A la interposición del recurso, la Recurrente adjuntó dos documentos, uno consistente en la Respuesta del Sujeto Obligado, la cual ha quedado descrita en el numeral 3 de la presente, y otro documento consistente en un formato de “AVISO PARA CALIFICAR PROBABLE RIESGO DE TRABAJO”, del Instituto de Seguridad Social del Estado de México y Municipios, Coordinación de Servicios de Salud. </w:t>
      </w:r>
    </w:p>
    <w:p w:rsidR="006B4068" w:rsidRPr="00386289" w:rsidRDefault="006B4068">
      <w:pPr>
        <w:spacing w:line="360" w:lineRule="auto"/>
        <w:ind w:right="539"/>
        <w:jc w:val="both"/>
        <w:rPr>
          <w:rFonts w:ascii="Palatino Linotype" w:eastAsia="Palatino Linotype" w:hAnsi="Palatino Linotype" w:cs="Palatino Linotype"/>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Se registró el recurso de revisión bajo el número de expediente al rubro indicado, asimismo con fundamento en lo dispuesto por el artículo 185 fracción I de la </w:t>
      </w:r>
      <w:r w:rsidRPr="00386289">
        <w:rPr>
          <w:rFonts w:ascii="Palatino Linotype" w:eastAsia="Palatino Linotype" w:hAnsi="Palatino Linotype" w:cs="Palatino Linotype"/>
          <w:b/>
          <w:color w:val="000000"/>
        </w:rPr>
        <w:t xml:space="preserve">Ley de Transparencia y Acceso a la Información Pública del Estado de México y Municipios, de aplicación supletoria, </w:t>
      </w:r>
      <w:r w:rsidRPr="00386289">
        <w:rPr>
          <w:rFonts w:ascii="Palatino Linotype" w:eastAsia="Palatino Linotype" w:hAnsi="Palatino Linotype" w:cs="Palatino Linotype"/>
          <w:color w:val="000000"/>
        </w:rPr>
        <w:t xml:space="preserve">se turnó a la </w:t>
      </w:r>
      <w:r w:rsidRPr="00386289">
        <w:rPr>
          <w:rFonts w:ascii="Palatino Linotype" w:eastAsia="Palatino Linotype" w:hAnsi="Palatino Linotype" w:cs="Palatino Linotype"/>
          <w:b/>
          <w:color w:val="000000"/>
        </w:rPr>
        <w:t xml:space="preserve">Comisionada María del Rosario </w:t>
      </w:r>
      <w:r w:rsidRPr="00386289">
        <w:rPr>
          <w:rFonts w:ascii="Palatino Linotype" w:eastAsia="Palatino Linotype" w:hAnsi="Palatino Linotype" w:cs="Palatino Linotype"/>
          <w:b/>
          <w:color w:val="000000"/>
        </w:rPr>
        <w:lastRenderedPageBreak/>
        <w:t xml:space="preserve">Mejía Ayala </w:t>
      </w:r>
      <w:r w:rsidRPr="00386289">
        <w:rPr>
          <w:rFonts w:ascii="Palatino Linotype" w:eastAsia="Palatino Linotype" w:hAnsi="Palatino Linotype" w:cs="Palatino Linotype"/>
          <w:color w:val="000000"/>
        </w:rPr>
        <w:t xml:space="preserve">con el objeto de su análisis; se admitió el </w:t>
      </w:r>
      <w:r w:rsidRPr="00386289">
        <w:rPr>
          <w:rFonts w:ascii="Palatino Linotype" w:eastAsia="Palatino Linotype" w:hAnsi="Palatino Linotype" w:cs="Palatino Linotype"/>
          <w:b/>
          <w:color w:val="000000"/>
        </w:rPr>
        <w:t>cuatro de abril de dos mil veinticuatro</w:t>
      </w:r>
      <w:r w:rsidRPr="00386289">
        <w:rPr>
          <w:rFonts w:ascii="Palatino Linotype" w:eastAsia="Palatino Linotype" w:hAnsi="Palatino Linotype" w:cs="Palatino Linotype"/>
          <w:color w:val="000000"/>
        </w:rPr>
        <w:t>.</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treinta de mayo de dos mil veinticuatro</w:t>
      </w:r>
      <w:r w:rsidRPr="00386289">
        <w:rPr>
          <w:rFonts w:ascii="Palatino Linotype" w:eastAsia="Palatino Linotype" w:hAnsi="Palatino Linotype" w:cs="Palatino Linotype"/>
          <w:color w:val="000000"/>
        </w:rPr>
        <w:t>, el Sujeto Obligado aceptó la conciliación.</w:t>
      </w:r>
    </w:p>
    <w:p w:rsidR="006B4068" w:rsidRPr="00386289" w:rsidRDefault="006B4068">
      <w:pPr>
        <w:pBdr>
          <w:top w:val="nil"/>
          <w:left w:val="nil"/>
          <w:bottom w:val="nil"/>
          <w:right w:val="nil"/>
          <w:between w:val="nil"/>
        </w:pBdr>
        <w:ind w:left="720"/>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Por su parte, el Recurrente en fecha </w:t>
      </w:r>
      <w:r w:rsidRPr="00386289">
        <w:rPr>
          <w:rFonts w:ascii="Palatino Linotype" w:eastAsia="Palatino Linotype" w:hAnsi="Palatino Linotype" w:cs="Palatino Linotype"/>
          <w:b/>
          <w:color w:val="000000"/>
        </w:rPr>
        <w:t>doce de agosto de dos mil veinticuatro</w:t>
      </w:r>
      <w:r w:rsidRPr="00386289">
        <w:rPr>
          <w:rFonts w:ascii="Palatino Linotype" w:eastAsia="Palatino Linotype" w:hAnsi="Palatino Linotype" w:cs="Palatino Linotype"/>
          <w:color w:val="000000"/>
        </w:rPr>
        <w:t xml:space="preserve">, rechazó la conciliación, por lo cual el </w:t>
      </w:r>
      <w:r w:rsidRPr="00386289">
        <w:rPr>
          <w:rFonts w:ascii="Palatino Linotype" w:eastAsia="Palatino Linotype" w:hAnsi="Palatino Linotype" w:cs="Palatino Linotype"/>
          <w:b/>
          <w:color w:val="000000"/>
        </w:rPr>
        <w:t xml:space="preserve">veintinueve de noviembre de dos mil veinticuatro, </w:t>
      </w:r>
      <w:r w:rsidRPr="00386289">
        <w:rPr>
          <w:rFonts w:ascii="Palatino Linotype" w:eastAsia="Palatino Linotype" w:hAnsi="Palatino Linotype" w:cs="Palatino Linotype"/>
          <w:color w:val="000000"/>
        </w:rPr>
        <w:t>se decretó el cierre de la etapa de conciliación y la apertura de la etapa de manifestaciones por un plazo de siete días hábiles para que, las partes realizaran manifestaciones que a su derecho convinieran.</w:t>
      </w:r>
    </w:p>
    <w:p w:rsidR="006B4068" w:rsidRPr="00386289" w:rsidRDefault="006B4068">
      <w:pPr>
        <w:pBdr>
          <w:top w:val="nil"/>
          <w:left w:val="nil"/>
          <w:bottom w:val="nil"/>
          <w:right w:val="nil"/>
          <w:between w:val="nil"/>
        </w:pBdr>
        <w:ind w:left="720"/>
        <w:rPr>
          <w:rFonts w:ascii="Palatino Linotype" w:eastAsia="Palatino Linotype" w:hAnsi="Palatino Linotype" w:cs="Palatino Linotype"/>
          <w:color w:val="000000"/>
        </w:rPr>
      </w:pPr>
    </w:p>
    <w:p w:rsidR="006B4068" w:rsidRPr="00386289" w:rsidRDefault="000B6FEB">
      <w:pPr>
        <w:numPr>
          <w:ilvl w:val="0"/>
          <w:numId w:val="4"/>
        </w:numPr>
        <w:tabs>
          <w:tab w:val="left" w:pos="284"/>
        </w:tabs>
        <w:spacing w:line="360" w:lineRule="auto"/>
        <w:ind w:left="0" w:firstLine="0"/>
        <w:jc w:val="both"/>
        <w:rPr>
          <w:rFonts w:ascii="Palatino Linotype" w:eastAsia="Palatino Linotype" w:hAnsi="Palatino Linotype" w:cs="Palatino Linotype"/>
          <w:i/>
          <w:color w:val="000000"/>
        </w:rPr>
      </w:pPr>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 xml:space="preserve">cuatro de diciembre de dos mil veinticuatro, </w:t>
      </w:r>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 xml:space="preserve">SUJETO OBLIGADO </w:t>
      </w:r>
      <w:r w:rsidRPr="00386289">
        <w:rPr>
          <w:rFonts w:ascii="Palatino Linotype" w:eastAsia="Palatino Linotype" w:hAnsi="Palatino Linotype" w:cs="Palatino Linotype"/>
          <w:color w:val="000000"/>
        </w:rPr>
        <w:t xml:space="preserve">rindió su informe justificado; el cual se puso a disposición del Recurrente el </w:t>
      </w:r>
      <w:r w:rsidRPr="00386289">
        <w:rPr>
          <w:rFonts w:ascii="Palatino Linotype" w:eastAsia="Palatino Linotype" w:hAnsi="Palatino Linotype" w:cs="Palatino Linotype"/>
          <w:b/>
          <w:color w:val="000000"/>
        </w:rPr>
        <w:t>diez de diciembre de dos mil veinticuatro</w:t>
      </w:r>
      <w:r w:rsidRPr="00386289">
        <w:rPr>
          <w:rFonts w:ascii="Palatino Linotype" w:eastAsia="Palatino Linotype" w:hAnsi="Palatino Linotype" w:cs="Palatino Linotype"/>
          <w:color w:val="000000"/>
        </w:rPr>
        <w:t>; sin embargo, se procede a describir su contenido medular, siendo el siguiente:</w:t>
      </w:r>
    </w:p>
    <w:p w:rsidR="006B4068" w:rsidRPr="00386289" w:rsidRDefault="006B4068">
      <w:pPr>
        <w:tabs>
          <w:tab w:val="left" w:pos="284"/>
        </w:tabs>
        <w:spacing w:line="360" w:lineRule="auto"/>
        <w:jc w:val="both"/>
        <w:rPr>
          <w:rFonts w:ascii="Palatino Linotype" w:eastAsia="Palatino Linotype" w:hAnsi="Palatino Linotype" w:cs="Palatino Linotype"/>
          <w:i/>
          <w:color w:val="000000"/>
        </w:rPr>
      </w:pP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 xml:space="preserve">OFICIO 228 SALUD.pdf: </w:t>
      </w:r>
      <w:r w:rsidRPr="00386289">
        <w:rPr>
          <w:rFonts w:ascii="Palatino Linotype" w:eastAsia="Palatino Linotype" w:hAnsi="Palatino Linotype" w:cs="Palatino Linotype"/>
          <w:color w:val="000000"/>
        </w:rPr>
        <w:t xml:space="preserve">Oficio número 207 C04014100100L-0228/2024, de fecha uno de abril, de dos mil veinticuatro, suscrito por la Subdirectora de Salud, en la que refirió lo siguiente: </w:t>
      </w:r>
      <w:r w:rsidRPr="00386289">
        <w:rPr>
          <w:rFonts w:ascii="Palatino Linotype" w:eastAsia="Palatino Linotype" w:hAnsi="Palatino Linotype" w:cs="Palatino Linotype"/>
          <w:i/>
          <w:color w:val="000000"/>
        </w:rPr>
        <w:t>“…Comento a usted que después de la respuesta del médico adscrito Dr. Vidal C. Sandoval Duarte, donde refiere no existir dictamen médico, comento a usted que se realiza una declaratoria de inexistencia…”</w:t>
      </w:r>
      <w:r w:rsidRPr="00386289">
        <w:rPr>
          <w:rFonts w:ascii="Palatino Linotype" w:eastAsia="Palatino Linotype" w:hAnsi="Palatino Linotype" w:cs="Palatino Linotype"/>
          <w:color w:val="000000"/>
        </w:rPr>
        <w:t xml:space="preserve"> (Sic)</w:t>
      </w:r>
    </w:p>
    <w:p w:rsidR="006B4068" w:rsidRPr="00386289" w:rsidRDefault="006B4068">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lastRenderedPageBreak/>
        <w:t xml:space="preserve">OFICIO 127 SALUD.pdf: </w:t>
      </w:r>
      <w:r w:rsidRPr="00386289">
        <w:rPr>
          <w:rFonts w:ascii="Palatino Linotype" w:eastAsia="Palatino Linotype" w:hAnsi="Palatino Linotype" w:cs="Palatino Linotype"/>
          <w:color w:val="000000"/>
        </w:rPr>
        <w:t xml:space="preserve">Oficio número 207 C0401410100L-0127/2024, de fecha veintiuno de febrero de dos mil veinticuatro, suscrito por la Suplente de la Dirección de Atención a la Salud, en el cual refiere; </w:t>
      </w:r>
      <w:r w:rsidRPr="00386289">
        <w:rPr>
          <w:rFonts w:ascii="Palatino Linotype" w:eastAsia="Palatino Linotype" w:hAnsi="Palatino Linotype" w:cs="Palatino Linotype"/>
          <w:i/>
          <w:color w:val="000000"/>
        </w:rPr>
        <w:t>“…Comento a usted atentamente que la servidora pública tiene su domicilio en Naucalpan, por regionalización le corresponde el Servicio de Salud en el Trabajo del Hospital Regional PPS de Tlalnepantla, se realizó búsqueda exhaustiva no habiendo antecedentes de solicitud de calificación de riesgo de trabajo, así como de elaboración de Dictamen de por Riesgo de Trabajo…”</w:t>
      </w:r>
      <w:r w:rsidRPr="00386289">
        <w:rPr>
          <w:rFonts w:ascii="Palatino Linotype" w:eastAsia="Palatino Linotype" w:hAnsi="Palatino Linotype" w:cs="Palatino Linotype"/>
          <w:color w:val="000000"/>
        </w:rPr>
        <w:t xml:space="preserve"> (Sic)</w:t>
      </w:r>
    </w:p>
    <w:p w:rsidR="006B4068" w:rsidRPr="00386289" w:rsidRDefault="006B4068">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 xml:space="preserve">OFICIO UT 555.pdf: </w:t>
      </w:r>
      <w:r w:rsidRPr="00386289">
        <w:rPr>
          <w:rFonts w:ascii="Palatino Linotype" w:eastAsia="Palatino Linotype" w:hAnsi="Palatino Linotype" w:cs="Palatino Linotype"/>
          <w:color w:val="000000"/>
        </w:rPr>
        <w:t>Oficio número 207C 0401210001S-UT-555/2024, de fecha veintisiete de febrero de dos mil veinticuatro, suscrito por el Responsable y Titular de la Unidad de Transparencia, por el cual se dio respuesta a la Recurrente, descrito en el numeral 3 de la presente.</w:t>
      </w:r>
    </w:p>
    <w:p w:rsidR="006B4068" w:rsidRPr="00386289" w:rsidRDefault="000B6FEB">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color w:val="000000"/>
        </w:rPr>
        <w:t xml:space="preserve"> </w:t>
      </w: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 xml:space="preserve">RESOLUCIÓN 134 AD.pdf: </w:t>
      </w:r>
      <w:r w:rsidRPr="00386289">
        <w:rPr>
          <w:rFonts w:ascii="Palatino Linotype" w:eastAsia="Palatino Linotype" w:hAnsi="Palatino Linotype" w:cs="Palatino Linotype"/>
          <w:color w:val="000000"/>
        </w:rPr>
        <w:t xml:space="preserve">Contiene un documento consistente en una resolución del Comité de Transparencia No. CT/ISSEMYM-A01-16E/2024, de fecha quince de abril de dos mil veinticuatro,  en la que se asentó la solicitud de información hecha a diversos servidores públicos habilitados adscritos al Instituto; así también se implementaron mecanismos y acciones necesarias de realizar búsqueda exhaustiva para localizar el dictamen de incapacidad por riesgo de trabajo del Hospital Regional de Tlalnepantla, iniciando en el año 2015, revisando minuciosamente en todos los archivos, registros y documentos públicos, administrativos generados y en su posesión, tanto físicos  como electrónicos, en resguardo de dichas Unidades Administrativas, siendo estas: </w:t>
      </w:r>
      <w:r w:rsidRPr="00386289">
        <w:rPr>
          <w:rFonts w:ascii="Palatino Linotype" w:eastAsia="Palatino Linotype" w:hAnsi="Palatino Linotype" w:cs="Palatino Linotype"/>
          <w:color w:val="000000"/>
        </w:rPr>
        <w:lastRenderedPageBreak/>
        <w:t>Secretaría Particular de la Dirección General, Comisión Auxiliar Mixta, Secretaría Técnica, Coordinación de Innovación y Calidad, Coordinación de Administración y Finanzas, Dirección de Obras y Control Patrimonial, Dirección de Adquisiciones y Servicios, Comunicación Social, Coordinación de Prestaciones y Seguridad Social, Coordinación de Salud y Enlace de Transparencia, Unidad Jurídica Consultiva y de Igualdad de Género, Unidad de Tecnologías de la Información, Dirección de Información y Estudios Actuariales, Dirección de Planeación Estratégica y Programación, Subdirección de Estadística y Evaluación, Subdirección de Programación y Análisis Presupuestal, Departamento de Estadística Institucional, Departamento de Evaluación, Departamento de Bioestadística, Departamento de Estudios Actuariales, Departamento de Acceso a la Información Institucional, Jefatura A de Proyectos.</w:t>
      </w:r>
    </w:p>
    <w:p w:rsidR="006B4068" w:rsidRPr="00386289" w:rsidRDefault="000B6FEB">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De lo anterior, el Comité de Transparencia, determinó que no existe evidencia alguna del dictamen de incapacidad por riesgo de trabajo del Hospital Regional de Tlalnepantla iniciando en el año 2015 de la Recurrente, resolviendo el Comité aludido, aprobar la Declaratoria de Inexistencia de la información </w:t>
      </w:r>
    </w:p>
    <w:p w:rsidR="006B4068" w:rsidRPr="00386289" w:rsidRDefault="006B4068">
      <w:pPr>
        <w:pBdr>
          <w:top w:val="nil"/>
          <w:left w:val="nil"/>
          <w:bottom w:val="nil"/>
          <w:right w:val="nil"/>
          <w:between w:val="nil"/>
        </w:pBdr>
        <w:ind w:left="720"/>
        <w:rPr>
          <w:rFonts w:ascii="Palatino Linotype" w:eastAsia="Palatino Linotype" w:hAnsi="Palatino Linotype" w:cs="Palatino Linotype"/>
          <w:b/>
          <w:color w:val="000000"/>
        </w:rPr>
      </w:pP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 xml:space="preserve">INFORME JUSTIFICADO 134.A.D.pdf: </w:t>
      </w:r>
      <w:r w:rsidRPr="00386289">
        <w:rPr>
          <w:rFonts w:ascii="Palatino Linotype" w:eastAsia="Palatino Linotype" w:hAnsi="Palatino Linotype" w:cs="Palatino Linotype"/>
          <w:color w:val="000000"/>
        </w:rPr>
        <w:t>Informe justificado, por el cual el Sujeto Obligado refiere no contar con la información, después de haber realizado una búsqueda exhaustiva en las Unidades Administrativas a su cargo.</w:t>
      </w:r>
    </w:p>
    <w:p w:rsidR="006B4068" w:rsidRPr="00386289" w:rsidRDefault="006B4068">
      <w:p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p>
    <w:p w:rsidR="006B4068" w:rsidRPr="00386289" w:rsidRDefault="000B6FEB">
      <w:pPr>
        <w:numPr>
          <w:ilvl w:val="0"/>
          <w:numId w:val="7"/>
        </w:numPr>
        <w:pBdr>
          <w:top w:val="nil"/>
          <w:left w:val="nil"/>
          <w:bottom w:val="nil"/>
          <w:right w:val="nil"/>
          <w:between w:val="nil"/>
        </w:pBdr>
        <w:tabs>
          <w:tab w:val="left" w:pos="284"/>
        </w:tabs>
        <w:spacing w:line="360" w:lineRule="auto"/>
        <w:ind w:left="567"/>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 xml:space="preserve">OFICIO UT 736.pdf: </w:t>
      </w:r>
      <w:r w:rsidRPr="00386289">
        <w:rPr>
          <w:rFonts w:ascii="Palatino Linotype" w:eastAsia="Palatino Linotype" w:hAnsi="Palatino Linotype" w:cs="Palatino Linotype"/>
          <w:color w:val="000000"/>
        </w:rPr>
        <w:t xml:space="preserve">Oficio número 207C0401210001S-UT-736/2024, de fecha quince de marzo de dos mil veinticuatro, suscrito por el Responsable y Titular </w:t>
      </w:r>
      <w:r w:rsidRPr="00386289">
        <w:rPr>
          <w:rFonts w:ascii="Palatino Linotype" w:eastAsia="Palatino Linotype" w:hAnsi="Palatino Linotype" w:cs="Palatino Linotype"/>
          <w:color w:val="000000"/>
        </w:rPr>
        <w:lastRenderedPageBreak/>
        <w:t>de la Unidad de Transparencia, por el cual se solicitó la información requerida al Servidor Público Habilitado de la Coordinación de Servicios de Salud.</w:t>
      </w:r>
    </w:p>
    <w:p w:rsidR="006B4068" w:rsidRPr="00386289" w:rsidRDefault="006B4068">
      <w:pPr>
        <w:pBdr>
          <w:top w:val="nil"/>
          <w:left w:val="nil"/>
          <w:bottom w:val="nil"/>
          <w:right w:val="nil"/>
          <w:between w:val="nil"/>
        </w:pBdr>
        <w:tabs>
          <w:tab w:val="left" w:pos="284"/>
        </w:tabs>
        <w:spacing w:line="360" w:lineRule="auto"/>
        <w:ind w:left="927"/>
        <w:jc w:val="both"/>
        <w:rPr>
          <w:rFonts w:ascii="Palatino Linotype" w:eastAsia="Palatino Linotype" w:hAnsi="Palatino Linotype" w:cs="Palatino Linotype"/>
          <w:b/>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sidRPr="00386289">
        <w:rPr>
          <w:rFonts w:ascii="Palatino Linotype" w:eastAsia="Palatino Linotype" w:hAnsi="Palatino Linotype" w:cs="Palatino Linotype"/>
          <w:color w:val="000000"/>
        </w:rPr>
        <w:t>Este organismo garante no pasa por alto explicar que la dilación en la resolución del presente asunto encuentra su justificación en que, el alto número de recursos de revisión recibidos ha incrementado el número de medios de impugnación que deben resolverse por este instituto, circunstancia atípica que ha rebasado las capacidades técnicas y humanas del personal encargado de la elaboración de resoluciones a dichos medios de impugnación.</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Por ello, es menester precisar que, si bien se ha excedido el plazo para resolver el presente medio de impugnación, de conformidad con la ley de la materia, el plazo para emitir resolución se encuentra justificado en los elementos para medir su razonabilidad de asuntos conforme a los parámetros establecidos por diversos órganos jurisdiccionales federales, aplicables también en procedimientos análogos, como el que nos ocupa.</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rsidR="006B4068" w:rsidRPr="00386289" w:rsidRDefault="006B406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lastRenderedPageBreak/>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Por ello, excepcionalmente, si un asunto es resuelto con posterioridad a los plazos señalados por la norma debe analizarse la razonabilidad del tiempo necesario para su resolución, atentos a los siguientes criterios:   </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a)      Complejidad del asunto: La complejidad de la prueba, la pluralidad de sujetos procesales, el tiempo transcurrido, las características y contexto del recurso.</w:t>
      </w:r>
    </w:p>
    <w:p w:rsidR="006B4068" w:rsidRPr="00386289" w:rsidRDefault="000B6FEB">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b)     Actividad Procesal del interesado: Acciones u omisiones del interesado.</w:t>
      </w:r>
    </w:p>
    <w:p w:rsidR="006B4068" w:rsidRPr="00386289" w:rsidRDefault="000B6FEB">
      <w:pPr>
        <w:pBdr>
          <w:top w:val="nil"/>
          <w:left w:val="nil"/>
          <w:bottom w:val="nil"/>
          <w:right w:val="nil"/>
          <w:between w:val="nil"/>
        </w:pBdr>
        <w:tabs>
          <w:tab w:val="left" w:pos="851"/>
        </w:tabs>
        <w:spacing w:line="360" w:lineRule="auto"/>
        <w:ind w:left="284"/>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c)  Conducta de la Autoridad: Las Acciones u omisiones realizadas en el procedimiento. Así como si la autoridad actuó con la debida diligencia.</w:t>
      </w:r>
    </w:p>
    <w:p w:rsidR="006B4068" w:rsidRPr="00386289" w:rsidRDefault="000B6FEB">
      <w:pPr>
        <w:pBdr>
          <w:top w:val="nil"/>
          <w:left w:val="nil"/>
          <w:bottom w:val="nil"/>
          <w:right w:val="nil"/>
          <w:between w:val="nil"/>
        </w:pBdr>
        <w:spacing w:line="360" w:lineRule="auto"/>
        <w:ind w:left="284"/>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d) La afectación generada en la situación jurídica de la persona involucrada en el proceso: Violación a sus derechos humanos.</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lastRenderedPageBreak/>
        <w:t>Argumento que encuentra sustento en la jurisprudencia P</w:t>
      </w:r>
      <w:proofErr w:type="gramStart"/>
      <w:r w:rsidRPr="00386289">
        <w:rPr>
          <w:rFonts w:ascii="Palatino Linotype" w:eastAsia="Palatino Linotype" w:hAnsi="Palatino Linotype" w:cs="Palatino Linotype"/>
          <w:color w:val="000000"/>
        </w:rPr>
        <w:t>./</w:t>
      </w:r>
      <w:proofErr w:type="gramEnd"/>
      <w:r w:rsidRPr="00386289">
        <w:rPr>
          <w:rFonts w:ascii="Palatino Linotype" w:eastAsia="Palatino Linotype" w:hAnsi="Palatino Linotype" w:cs="Palatino Linotype"/>
          <w:color w:val="000000"/>
        </w:rPr>
        <w:t>J. 32/92 emitida por el Pleno de la Suprema Corte de Justicia de la Nación de rubro “TÉRMINOS PROCESALES. PARA DETERMINAR SI UN FUNCIONARIO JUDICIAL ACTUÓ INDEBIDAMENTE POR NO RESPETARLOS SE DEBE ATENDER AL PRESUPUESTO QUE CONSIDERÓ EL LEGISLADOR AL FIJARLOS Y LAS CARACTERÍSTICAS DEL CASO.”, visible en la Gaceta del Seminario Judicial de la Federación con el registro digital 205635.</w:t>
      </w:r>
    </w:p>
    <w:p w:rsidR="006B4068" w:rsidRPr="00386289" w:rsidRDefault="006B406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Al respecto, también son de considerar los criterios sostenidos por el Cuarto Tribunal Colegiado en Materia Administrativa del Primer Circuito, cuyos rubros y datos de identificación son los siguientes:</w:t>
      </w:r>
    </w:p>
    <w:p w:rsidR="006B4068" w:rsidRPr="00386289" w:rsidRDefault="006B4068">
      <w:pPr>
        <w:pBdr>
          <w:top w:val="nil"/>
          <w:left w:val="nil"/>
          <w:bottom w:val="nil"/>
          <w:right w:val="nil"/>
          <w:between w:val="nil"/>
        </w:pBdr>
        <w:spacing w:line="276" w:lineRule="auto"/>
        <w:ind w:left="720"/>
        <w:rPr>
          <w:rFonts w:ascii="Palatino Linotype" w:eastAsia="Palatino Linotype" w:hAnsi="Palatino Linotype" w:cs="Palatino Linotype"/>
          <w:color w:val="000000"/>
        </w:rPr>
      </w:pPr>
    </w:p>
    <w:p w:rsidR="006B4068" w:rsidRPr="00386289" w:rsidRDefault="000B6FEB">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lastRenderedPageBreak/>
        <w:t>“PLAZO RAZONABLE PARA RESOLVER. DIMENSIÓN Y EFECTOS DE ESTE CONCEPTO CUANDO SE ADUCE EXCESIVA CARGA DE TRABAJO.” consultable en el Seminario Judicial de la Federación y su gaceta, con el registro digital 2002351.</w:t>
      </w:r>
    </w:p>
    <w:p w:rsidR="006B4068" w:rsidRPr="00386289" w:rsidRDefault="000B6FEB">
      <w:pPr>
        <w:pBdr>
          <w:top w:val="nil"/>
          <w:left w:val="nil"/>
          <w:bottom w:val="nil"/>
          <w:right w:val="nil"/>
          <w:between w:val="nil"/>
        </w:pBdr>
        <w:spacing w:line="360" w:lineRule="auto"/>
        <w:ind w:left="567"/>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“PLAZO RAZONABLE PARA RESOLVER. CONCEPTO Y ELEMENTOS QUE LO INTEGRAN A LA LUZ DEL DERECHO INTERNACIONAL DE LOS DERECHOS HUMANOS.”, visible en el Seminario Judicial de la Federación y su gaceta, con el registro digital 2002350.</w:t>
      </w:r>
    </w:p>
    <w:p w:rsidR="006B4068" w:rsidRPr="00386289" w:rsidRDefault="006B4068">
      <w:pPr>
        <w:pBdr>
          <w:top w:val="nil"/>
          <w:left w:val="nil"/>
          <w:bottom w:val="nil"/>
          <w:right w:val="nil"/>
          <w:between w:val="nil"/>
        </w:pBdr>
        <w:spacing w:line="360" w:lineRule="auto"/>
        <w:ind w:left="708"/>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sz w:val="28"/>
          <w:szCs w:val="28"/>
        </w:rPr>
      </w:pPr>
      <w:r w:rsidRPr="00386289">
        <w:rPr>
          <w:rFonts w:ascii="Palatino Linotype" w:eastAsia="Palatino Linotype" w:hAnsi="Palatino Linotype" w:cs="Palatino Linotype"/>
          <w:color w:val="000000"/>
        </w:rPr>
        <w:t>Por ello, este organismo garante comprometido con la tutela de los derechos humanos confiados, señala que este exceso del plazo legal para resolver el presente asunto, resulta de carácter excepcional.</w:t>
      </w:r>
    </w:p>
    <w:p w:rsidR="006B4068" w:rsidRPr="00386289" w:rsidRDefault="006B4068">
      <w:pPr>
        <w:pBdr>
          <w:top w:val="nil"/>
          <w:left w:val="nil"/>
          <w:bottom w:val="nil"/>
          <w:right w:val="nil"/>
          <w:between w:val="nil"/>
        </w:pBdr>
        <w:tabs>
          <w:tab w:val="left" w:pos="284"/>
        </w:tabs>
        <w:spacing w:line="360" w:lineRule="auto"/>
        <w:jc w:val="both"/>
        <w:rPr>
          <w:rFonts w:ascii="Palatino Linotype" w:eastAsia="Palatino Linotype" w:hAnsi="Palatino Linotype" w:cs="Palatino Linotype"/>
          <w:b/>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diez de diciembre de dos mil veinticuatro</w:t>
      </w:r>
      <w:r w:rsidRPr="00386289">
        <w:rPr>
          <w:rFonts w:ascii="Palatino Linotype" w:eastAsia="Palatino Linotype" w:hAnsi="Palatino Linotype" w:cs="Palatino Linotype"/>
          <w:color w:val="000000"/>
        </w:rPr>
        <w:t>, se notificó el acuerdo de ampliación de plazo para emitir resolución.</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El </w:t>
      </w:r>
      <w:r w:rsidRPr="00386289">
        <w:rPr>
          <w:rFonts w:ascii="Palatino Linotype" w:eastAsia="Palatino Linotype" w:hAnsi="Palatino Linotype" w:cs="Palatino Linotype"/>
          <w:b/>
          <w:color w:val="000000"/>
        </w:rPr>
        <w:t>dieciséis de diciembre</w:t>
      </w:r>
      <w:r w:rsidRPr="00386289">
        <w:rPr>
          <w:rFonts w:ascii="Palatino Linotype" w:eastAsia="Palatino Linotype" w:hAnsi="Palatino Linotype" w:cs="Palatino Linotype"/>
          <w:color w:val="000000"/>
        </w:rPr>
        <w:t xml:space="preserve"> de dos mil veinticuatro, se decretó el cierre de instrucción, asimismo, la Comisionada Ponente ordenó turnar el expediente para su resolución, misma que ahora se pronuncia; y - - - - - - - - - - - - - - - - - - - - - - - - - - - - - - </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sz w:val="22"/>
          <w:szCs w:val="22"/>
        </w:rPr>
      </w:pPr>
    </w:p>
    <w:p w:rsidR="006B4068" w:rsidRPr="00386289" w:rsidRDefault="000B6FEB">
      <w:pPr>
        <w:pStyle w:val="Ttulo1"/>
        <w:spacing w:before="0" w:line="360" w:lineRule="auto"/>
        <w:jc w:val="center"/>
        <w:rPr>
          <w:b w:val="0"/>
        </w:rPr>
      </w:pPr>
      <w:bookmarkStart w:id="2" w:name="_heading=h.1fob9te" w:colFirst="0" w:colLast="0"/>
      <w:bookmarkEnd w:id="2"/>
      <w:r w:rsidRPr="00386289">
        <w:t xml:space="preserve">CONSIDERANDO </w:t>
      </w:r>
    </w:p>
    <w:p w:rsidR="006B4068" w:rsidRPr="00386289" w:rsidRDefault="006B4068">
      <w:pPr>
        <w:spacing w:line="360" w:lineRule="auto"/>
        <w:rPr>
          <w:rFonts w:ascii="Palatino Linotype" w:eastAsia="Palatino Linotype" w:hAnsi="Palatino Linotype" w:cs="Palatino Linotype"/>
        </w:rPr>
      </w:pPr>
    </w:p>
    <w:p w:rsidR="006B4068" w:rsidRPr="00386289" w:rsidRDefault="000B6FEB">
      <w:pPr>
        <w:pStyle w:val="Ttulo2"/>
        <w:spacing w:before="0" w:line="360" w:lineRule="auto"/>
        <w:rPr>
          <w:rFonts w:ascii="Palatino Linotype" w:eastAsia="Palatino Linotype" w:hAnsi="Palatino Linotype" w:cs="Palatino Linotype"/>
          <w:b/>
          <w:color w:val="000000"/>
          <w:sz w:val="24"/>
          <w:szCs w:val="24"/>
        </w:rPr>
      </w:pPr>
      <w:bookmarkStart w:id="3" w:name="_heading=h.3znysh7" w:colFirst="0" w:colLast="0"/>
      <w:bookmarkEnd w:id="3"/>
      <w:r w:rsidRPr="00386289">
        <w:rPr>
          <w:rFonts w:ascii="Palatino Linotype" w:eastAsia="Palatino Linotype" w:hAnsi="Palatino Linotype" w:cs="Palatino Linotype"/>
          <w:b/>
          <w:color w:val="000000"/>
          <w:sz w:val="24"/>
          <w:szCs w:val="24"/>
        </w:rPr>
        <w:lastRenderedPageBreak/>
        <w:t>PRIMERO. De la competencia</w:t>
      </w:r>
    </w:p>
    <w:p w:rsidR="006B4068" w:rsidRPr="00386289" w:rsidRDefault="006B4068"/>
    <w:p w:rsidR="006B4068" w:rsidRPr="00386289" w:rsidRDefault="000B6FEB">
      <w:pPr>
        <w:numPr>
          <w:ilvl w:val="0"/>
          <w:numId w:val="4"/>
        </w:numPr>
        <w:pBdr>
          <w:top w:val="nil"/>
          <w:left w:val="nil"/>
          <w:bottom w:val="nil"/>
          <w:right w:val="nil"/>
          <w:between w:val="nil"/>
        </w:pBdr>
        <w:tabs>
          <w:tab w:val="left" w:pos="426"/>
        </w:tabs>
        <w:spacing w:line="360" w:lineRule="auto"/>
        <w:ind w:left="0" w:firstLine="0"/>
        <w:jc w:val="both"/>
        <w:rPr>
          <w:rFonts w:ascii="Palatino Linotype" w:eastAsia="Palatino Linotype" w:hAnsi="Palatino Linotype" w:cs="Palatino Linotype"/>
          <w:b/>
          <w:color w:val="000000"/>
        </w:rPr>
      </w:pPr>
      <w:r w:rsidRPr="00386289">
        <w:rPr>
          <w:rFonts w:ascii="Palatino Linotype" w:eastAsia="Palatino Linotype" w:hAnsi="Palatino Linotype" w:cs="Palatino Linotype"/>
          <w:b/>
          <w:color w:val="000000"/>
        </w:rPr>
        <w:t>E</w:t>
      </w:r>
      <w:r w:rsidRPr="00386289">
        <w:rPr>
          <w:rFonts w:ascii="Palatino Linotype" w:eastAsia="Palatino Linotype" w:hAnsi="Palatino Linotype" w:cs="Palatino Linotype"/>
          <w:color w:val="000000"/>
        </w:rPr>
        <w:t xml:space="preserve">ste Instituto de Transparencia, Acceso a la Información Pública y Protección de Datos Personales del Estado de México y Municipios, es competente para conocer y resolver del presente recurso de conformidad con el artículo: 6, apartado A, fracción IV de la </w:t>
      </w:r>
      <w:r w:rsidRPr="00386289">
        <w:rPr>
          <w:rFonts w:ascii="Palatino Linotype" w:eastAsia="Palatino Linotype" w:hAnsi="Palatino Linotype" w:cs="Palatino Linotype"/>
          <w:b/>
          <w:color w:val="000000"/>
        </w:rPr>
        <w:t>Constitución Política de los Estados Unidos Mexicanos</w:t>
      </w:r>
      <w:r w:rsidRPr="00386289">
        <w:rPr>
          <w:rFonts w:ascii="Palatino Linotype" w:eastAsia="Palatino Linotype" w:hAnsi="Palatino Linotype" w:cs="Palatino Linotype"/>
          <w:color w:val="000000"/>
        </w:rPr>
        <w:t xml:space="preserve">; 5, párrafos </w:t>
      </w:r>
      <w:r w:rsidRPr="00386289">
        <w:rPr>
          <w:rFonts w:ascii="Palatino Linotype" w:eastAsia="Palatino Linotype" w:hAnsi="Palatino Linotype" w:cs="Palatino Linotype"/>
          <w:color w:val="222222"/>
        </w:rPr>
        <w:t>trigésimo segundo y trigésimo tercero fracciones</w:t>
      </w:r>
      <w:r w:rsidRPr="00386289">
        <w:rPr>
          <w:rFonts w:ascii="Palatino Linotype" w:eastAsia="Palatino Linotype" w:hAnsi="Palatino Linotype" w:cs="Palatino Linotype"/>
          <w:color w:val="000000"/>
        </w:rPr>
        <w:t xml:space="preserve"> IV y V de la </w:t>
      </w:r>
      <w:r w:rsidRPr="00386289">
        <w:rPr>
          <w:rFonts w:ascii="Palatino Linotype" w:eastAsia="Palatino Linotype" w:hAnsi="Palatino Linotype" w:cs="Palatino Linotype"/>
          <w:b/>
          <w:color w:val="000000"/>
        </w:rPr>
        <w:t>Constitución Política del Estado Libre y Soberano de México</w:t>
      </w:r>
      <w:r w:rsidRPr="00386289">
        <w:rPr>
          <w:rFonts w:ascii="Palatino Linotype" w:eastAsia="Palatino Linotype" w:hAnsi="Palatino Linotype" w:cs="Palatino Linotype"/>
          <w:color w:val="000000"/>
        </w:rPr>
        <w:t xml:space="preserve">; 1, 3 fracción I, 82, 97, 98, 119, 123, 124, 127, 128 y 133 </w:t>
      </w:r>
      <w:r w:rsidRPr="00386289">
        <w:rPr>
          <w:rFonts w:ascii="Palatino Linotype" w:eastAsia="Palatino Linotype" w:hAnsi="Palatino Linotype" w:cs="Palatino Linotype"/>
          <w:b/>
          <w:color w:val="000000"/>
        </w:rPr>
        <w:t>Ley de Protección de Datos Personales en Posesión de Sujetos Obligados del Estado de México y Municipios</w:t>
      </w:r>
      <w:r w:rsidRPr="00386289">
        <w:rPr>
          <w:rFonts w:ascii="Palatino Linotype" w:eastAsia="Palatino Linotype" w:hAnsi="Palatino Linotype" w:cs="Palatino Linotype"/>
          <w:color w:val="000000"/>
        </w:rPr>
        <w:t xml:space="preserve">; y 7, 9 fracciones I y XXIII, y 11 del </w:t>
      </w:r>
      <w:r w:rsidRPr="00386289">
        <w:rPr>
          <w:rFonts w:ascii="Palatino Linotype" w:eastAsia="Palatino Linotype" w:hAnsi="Palatino Linotype" w:cs="Palatino Linotype"/>
          <w:b/>
          <w:color w:val="000000"/>
        </w:rPr>
        <w:t>Reglamento Interior del Instituto de Transparencia, Acceso a la Información Pública y Protección de Datos Personales del Estado de México y Municipios</w:t>
      </w:r>
      <w:r w:rsidRPr="00386289">
        <w:rPr>
          <w:rFonts w:ascii="Palatino Linotype" w:eastAsia="Palatino Linotype" w:hAnsi="Palatino Linotype" w:cs="Palatino Linotype"/>
          <w:color w:val="000000"/>
        </w:rPr>
        <w:t>.</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pStyle w:val="Ttulo2"/>
        <w:spacing w:before="0" w:line="360" w:lineRule="auto"/>
        <w:rPr>
          <w:rFonts w:ascii="Palatino Linotype" w:eastAsia="Palatino Linotype" w:hAnsi="Palatino Linotype" w:cs="Palatino Linotype"/>
          <w:b/>
          <w:color w:val="000000"/>
          <w:sz w:val="24"/>
          <w:szCs w:val="24"/>
        </w:rPr>
      </w:pPr>
      <w:bookmarkStart w:id="4" w:name="_heading=h.2et92p0" w:colFirst="0" w:colLast="0"/>
      <w:bookmarkEnd w:id="4"/>
      <w:r w:rsidRPr="00386289">
        <w:rPr>
          <w:rFonts w:ascii="Palatino Linotype" w:eastAsia="Palatino Linotype" w:hAnsi="Palatino Linotype" w:cs="Palatino Linotype"/>
          <w:b/>
          <w:color w:val="000000"/>
          <w:sz w:val="24"/>
          <w:szCs w:val="24"/>
        </w:rPr>
        <w:t>SEGUNDO. De la oportunidad y procedencia.</w:t>
      </w:r>
    </w:p>
    <w:p w:rsidR="006B4068" w:rsidRPr="00386289" w:rsidRDefault="006B4068">
      <w:pPr>
        <w:spacing w:line="360" w:lineRule="auto"/>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El medio de impugnación fue presentado a través del SARCOEM</w:t>
      </w:r>
      <w:r w:rsidRPr="00386289">
        <w:rPr>
          <w:rFonts w:ascii="Palatino Linotype" w:eastAsia="Palatino Linotype" w:hAnsi="Palatino Linotype" w:cs="Palatino Linotype"/>
          <w:b/>
          <w:color w:val="000000"/>
        </w:rPr>
        <w:t>,</w:t>
      </w:r>
      <w:r w:rsidRPr="00386289">
        <w:rPr>
          <w:rFonts w:ascii="Palatino Linotype" w:eastAsia="Palatino Linotype" w:hAnsi="Palatino Linotype" w:cs="Palatino Linotype"/>
          <w:color w:val="000000"/>
        </w:rPr>
        <w:t xml:space="preserve"> en el formato previamente aprobado para tal efecto y dentro del plazo legal de quince días hábiles otorgados; para el caso en particular es de señalar que el </w:t>
      </w:r>
      <w:r w:rsidRPr="00386289">
        <w:rPr>
          <w:rFonts w:ascii="Palatino Linotype" w:eastAsia="Palatino Linotype" w:hAnsi="Palatino Linotype" w:cs="Palatino Linotype"/>
          <w:b/>
          <w:color w:val="000000"/>
        </w:rPr>
        <w:t>SUJETO OBLIGADO</w:t>
      </w:r>
      <w:r w:rsidRPr="00386289">
        <w:rPr>
          <w:rFonts w:ascii="Palatino Linotype" w:eastAsia="Palatino Linotype" w:hAnsi="Palatino Linotype" w:cs="Palatino Linotype"/>
          <w:color w:val="000000"/>
        </w:rPr>
        <w:t xml:space="preserve"> entregó respuesta el veintiocho de febrero de dos mil veinticuatro, de tal forma que el plazo para interponer el recurso de revisión transcurrió del veintinueve de febrero al veintidós de marzo ambos del dos mil veinticuatro; en consecuencia, presentó su inconformidad el catorce de marzo de dos mil veinticuatro, por lo que se encuentra dentro de los márgenes temporales previstos en el artículo </w:t>
      </w:r>
      <w:r w:rsidRPr="00386289">
        <w:rPr>
          <w:rFonts w:ascii="Palatino Linotype" w:eastAsia="Palatino Linotype" w:hAnsi="Palatino Linotype" w:cs="Palatino Linotype"/>
          <w:color w:val="000000"/>
        </w:rPr>
        <w:lastRenderedPageBreak/>
        <w:t xml:space="preserve">señalados en el artículo 128 de la </w:t>
      </w:r>
      <w:r w:rsidRPr="00386289">
        <w:rPr>
          <w:rFonts w:ascii="Palatino Linotype" w:eastAsia="Palatino Linotype" w:hAnsi="Palatino Linotype" w:cs="Palatino Linotype"/>
          <w:b/>
          <w:color w:val="000000"/>
        </w:rPr>
        <w:t>Ley de Protección de Datos Personales en Posesión de Sujetos Obligados del Estado de México y Municipios.</w:t>
      </w:r>
      <w:r w:rsidRPr="00386289">
        <w:rPr>
          <w:rFonts w:ascii="Palatino Linotype" w:eastAsia="Palatino Linotype" w:hAnsi="Palatino Linotype" w:cs="Palatino Linotype"/>
          <w:color w:val="000000"/>
        </w:rPr>
        <w:t xml:space="preserve"> </w:t>
      </w:r>
    </w:p>
    <w:p w:rsidR="006B4068" w:rsidRPr="00386289" w:rsidRDefault="006B406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Por otro lado, el escrito contiene las formalidades previstas por el artículo 130 de la Ley de la materia, por lo que es procedente que este Instituto de Transparencia, Acceso a la Información Pública y Protección de Datos Personales del Estado de México y Municipios, conozca y resuelva el presente recurso.</w:t>
      </w:r>
    </w:p>
    <w:p w:rsidR="006B4068" w:rsidRPr="00386289" w:rsidRDefault="006B406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4068" w:rsidRPr="00386289" w:rsidRDefault="000B6FEB">
      <w:pPr>
        <w:pStyle w:val="Ttulo1"/>
        <w:spacing w:before="0" w:line="360" w:lineRule="auto"/>
      </w:pPr>
      <w:bookmarkStart w:id="5" w:name="_heading=h.tyjcwt" w:colFirst="0" w:colLast="0"/>
      <w:bookmarkEnd w:id="5"/>
      <w:r w:rsidRPr="00386289">
        <w:t>TERCERO. Del planteamiento de la Litis.</w:t>
      </w:r>
    </w:p>
    <w:p w:rsidR="006B4068" w:rsidRPr="00386289" w:rsidRDefault="006B4068">
      <w:pPr>
        <w:pBdr>
          <w:top w:val="nil"/>
          <w:left w:val="nil"/>
          <w:bottom w:val="nil"/>
          <w:right w:val="nil"/>
          <w:between w:val="nil"/>
        </w:pBdr>
        <w:spacing w:line="360" w:lineRule="auto"/>
        <w:ind w:right="49"/>
        <w:jc w:val="both"/>
        <w:rPr>
          <w:rFonts w:ascii="Palatino Linotype" w:eastAsia="Palatino Linotype" w:hAnsi="Palatino Linotype" w:cs="Palatino Linotype"/>
          <w:b/>
          <w:color w:val="000000"/>
        </w:rPr>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El ahora </w:t>
      </w:r>
      <w:r w:rsidRPr="00386289">
        <w:rPr>
          <w:rFonts w:ascii="Palatino Linotype" w:eastAsia="Palatino Linotype" w:hAnsi="Palatino Linotype" w:cs="Palatino Linotype"/>
          <w:b/>
          <w:color w:val="000000"/>
        </w:rPr>
        <w:t>RECURRENTE</w:t>
      </w:r>
      <w:r w:rsidRPr="00386289">
        <w:rPr>
          <w:rFonts w:ascii="Palatino Linotype" w:eastAsia="Palatino Linotype" w:hAnsi="Palatino Linotype" w:cs="Palatino Linotype"/>
          <w:color w:val="000000"/>
        </w:rPr>
        <w:t xml:space="preserve"> solicitó la siguiente información:</w:t>
      </w:r>
    </w:p>
    <w:p w:rsidR="006B4068" w:rsidRPr="00386289" w:rsidRDefault="006B406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4068" w:rsidRPr="00386289" w:rsidRDefault="000B6FEB">
      <w:pPr>
        <w:numPr>
          <w:ilvl w:val="0"/>
          <w:numId w:val="1"/>
        </w:numPr>
        <w:pBdr>
          <w:top w:val="nil"/>
          <w:left w:val="nil"/>
          <w:bottom w:val="nil"/>
          <w:right w:val="nil"/>
          <w:between w:val="nil"/>
        </w:pBdr>
        <w:spacing w:line="360" w:lineRule="auto"/>
        <w:ind w:right="1247"/>
        <w:jc w:val="both"/>
        <w:rPr>
          <w:rFonts w:ascii="Palatino Linotype" w:eastAsia="Palatino Linotype" w:hAnsi="Palatino Linotype" w:cs="Palatino Linotype"/>
          <w:i/>
          <w:color w:val="000000"/>
        </w:rPr>
      </w:pPr>
      <w:r w:rsidRPr="00386289">
        <w:rPr>
          <w:rFonts w:ascii="Palatino Linotype" w:eastAsia="Palatino Linotype" w:hAnsi="Palatino Linotype" w:cs="Palatino Linotype"/>
          <w:i/>
          <w:color w:val="000000"/>
        </w:rPr>
        <w:t xml:space="preserve">“SOLICITO EN 5 COPIAS CERTIFICADAS DE DICTAMEN DE INCAPACIDAD POR RIESGO DE TRABAJO ISSEMYM, CLAVE ISSEMYM </w:t>
      </w:r>
      <w:r w:rsidR="00386289" w:rsidRPr="00386289">
        <w:rPr>
          <w:rFonts w:ascii="Palatino Linotype" w:eastAsia="Palatino Linotype" w:hAnsi="Palatino Linotype" w:cs="Palatino Linotype"/>
          <w:i/>
          <w:color w:val="000000"/>
        </w:rPr>
        <w:t>XXXXXXXX</w:t>
      </w:r>
      <w:r w:rsidRPr="00386289">
        <w:rPr>
          <w:rFonts w:ascii="Palatino Linotype" w:eastAsia="Palatino Linotype" w:hAnsi="Palatino Linotype" w:cs="Palatino Linotype"/>
          <w:i/>
          <w:color w:val="000000"/>
        </w:rPr>
        <w:t>, HOSPITAL REGIONAL TLALNEPANTLA, INICIADO EN EL AÑO 2015” (Sic)</w:t>
      </w:r>
    </w:p>
    <w:p w:rsidR="006B4068" w:rsidRPr="00386289" w:rsidRDefault="006B4068">
      <w:pPr>
        <w:pBdr>
          <w:top w:val="nil"/>
          <w:left w:val="nil"/>
          <w:bottom w:val="nil"/>
          <w:right w:val="nil"/>
          <w:between w:val="nil"/>
        </w:pBdr>
        <w:spacing w:line="360" w:lineRule="auto"/>
        <w:ind w:right="49"/>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El Sujeto Obligado refirió no contar con la información respecto al dictamen de incapacidad por riesgo de trabajo, no obstante de haber realizado una búsqueda minuciosa.</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Por su parte, el </w:t>
      </w:r>
      <w:r w:rsidRPr="00386289">
        <w:rPr>
          <w:rFonts w:ascii="Palatino Linotype" w:eastAsia="Palatino Linotype" w:hAnsi="Palatino Linotype" w:cs="Palatino Linotype"/>
          <w:b/>
          <w:color w:val="000000"/>
        </w:rPr>
        <w:t>RECURRENTE</w:t>
      </w:r>
      <w:r w:rsidRPr="00386289">
        <w:rPr>
          <w:rFonts w:ascii="Palatino Linotype" w:eastAsia="Palatino Linotype" w:hAnsi="Palatino Linotype" w:cs="Palatino Linotype"/>
          <w:color w:val="000000"/>
        </w:rPr>
        <w:t xml:space="preserve"> se inconformó por la omisión de la entrega de dictamen.</w:t>
      </w:r>
    </w:p>
    <w:p w:rsidR="006B4068" w:rsidRPr="00386289" w:rsidRDefault="006B406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Por lo que, fijada la Litis, se analizará si se actualiza la causal de procedencia contenida artículo 129 fracción XII de la Ley de Protección de Datos Personales del Estado de México y Municipios.</w:t>
      </w:r>
    </w:p>
    <w:p w:rsidR="006B4068" w:rsidRPr="00386289" w:rsidRDefault="006B4068">
      <w:pPr>
        <w:spacing w:line="360" w:lineRule="auto"/>
        <w:ind w:right="49"/>
        <w:jc w:val="both"/>
        <w:rPr>
          <w:rFonts w:ascii="Palatino Linotype" w:eastAsia="Palatino Linotype" w:hAnsi="Palatino Linotype" w:cs="Palatino Linotype"/>
        </w:rPr>
      </w:pPr>
    </w:p>
    <w:p w:rsidR="006B4068" w:rsidRPr="00386289" w:rsidRDefault="000B6FEB">
      <w:pPr>
        <w:spacing w:line="360" w:lineRule="auto"/>
        <w:ind w:right="49"/>
        <w:jc w:val="both"/>
        <w:rPr>
          <w:rFonts w:ascii="Palatino Linotype" w:eastAsia="Palatino Linotype" w:hAnsi="Palatino Linotype" w:cs="Palatino Linotype"/>
          <w:b/>
        </w:rPr>
      </w:pPr>
      <w:r w:rsidRPr="00386289">
        <w:rPr>
          <w:rFonts w:ascii="Palatino Linotype" w:eastAsia="Palatino Linotype" w:hAnsi="Palatino Linotype" w:cs="Palatino Linotype"/>
          <w:b/>
        </w:rPr>
        <w:t>CUARTO. Del estudio y resolución del asunto.</w:t>
      </w:r>
    </w:p>
    <w:p w:rsidR="006B4068" w:rsidRPr="00386289" w:rsidRDefault="000B6FEB">
      <w:pPr>
        <w:pStyle w:val="Ttulo2"/>
        <w:numPr>
          <w:ilvl w:val="0"/>
          <w:numId w:val="10"/>
        </w:numPr>
        <w:spacing w:before="0" w:line="360" w:lineRule="auto"/>
        <w:rPr>
          <w:rFonts w:ascii="Palatino Linotype" w:eastAsia="Palatino Linotype" w:hAnsi="Palatino Linotype" w:cs="Palatino Linotype"/>
          <w:b/>
          <w:color w:val="000000"/>
          <w:sz w:val="24"/>
          <w:szCs w:val="24"/>
        </w:rPr>
      </w:pPr>
      <w:bookmarkStart w:id="6" w:name="_heading=h.3dy6vkm" w:colFirst="0" w:colLast="0"/>
      <w:bookmarkEnd w:id="6"/>
      <w:r w:rsidRPr="00386289">
        <w:rPr>
          <w:rFonts w:ascii="Palatino Linotype" w:eastAsia="Palatino Linotype" w:hAnsi="Palatino Linotype" w:cs="Palatino Linotype"/>
          <w:b/>
          <w:color w:val="000000"/>
          <w:sz w:val="24"/>
          <w:szCs w:val="24"/>
        </w:rPr>
        <w:t>De los Derechos ARCO.</w:t>
      </w:r>
    </w:p>
    <w:p w:rsidR="006B4068" w:rsidRPr="00386289" w:rsidRDefault="006B4068">
      <w:pPr>
        <w:spacing w:line="360" w:lineRule="auto"/>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Century Gothic" w:eastAsia="Century Gothic" w:hAnsi="Century Gothic" w:cs="Century Gothic"/>
          <w:color w:val="000000"/>
        </w:rPr>
      </w:pPr>
      <w:r w:rsidRPr="00386289">
        <w:rPr>
          <w:rFonts w:ascii="Palatino Linotype" w:eastAsia="Palatino Linotype" w:hAnsi="Palatino Linotype" w:cs="Palatino Linotype"/>
          <w:color w:val="000000"/>
        </w:rPr>
        <w:t>La Constitución Política de los Estados Unidos Mexicanos en el artículo 6, apartado A, fracción II, III, IV y VIII establecen lo siguiente</w:t>
      </w:r>
      <w:r w:rsidRPr="00386289">
        <w:rPr>
          <w:rFonts w:ascii="Century Gothic" w:eastAsia="Century Gothic" w:hAnsi="Century Gothic" w:cs="Century Gothic"/>
          <w:color w:val="000000"/>
        </w:rPr>
        <w:t>:</w:t>
      </w:r>
    </w:p>
    <w:p w:rsidR="006B4068" w:rsidRPr="00386289" w:rsidRDefault="006B4068">
      <w:pPr>
        <w:pBdr>
          <w:top w:val="nil"/>
          <w:left w:val="nil"/>
          <w:bottom w:val="nil"/>
          <w:right w:val="nil"/>
          <w:between w:val="nil"/>
        </w:pBdr>
        <w:spacing w:line="360" w:lineRule="auto"/>
        <w:jc w:val="both"/>
        <w:rPr>
          <w:rFonts w:ascii="Century Gothic" w:eastAsia="Century Gothic" w:hAnsi="Century Gothic" w:cs="Century Gothic"/>
          <w:color w:val="000000"/>
          <w:sz w:val="22"/>
          <w:szCs w:val="22"/>
        </w:rPr>
      </w:pP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Artículo 6o. La manifestación de las ideas no será objeto de ninguna inquisición judicial o administrativa, sino en el caso de que ataque a la moral, la vida privada o los derechos de terceros, provoque algún delito, o perturbe el orden público; el derecho de réplica será ejercido en los términos dispuestos por la ley. El derecho a la información será garantizado por el Estado.</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A. Para el ejercicio del derecho de acceso a la información, la Federación y las entidades federativas, en el ámbito de sus respectivas competencias, se regirán por los siguientes principios y bases:</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II. La información que se refiere a la vida privada y los datos personales será protegida en los términos y con las excepciones que fijen las leyes.</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b/>
          <w:i/>
          <w:color w:val="000000"/>
          <w:sz w:val="22"/>
          <w:szCs w:val="22"/>
        </w:rPr>
      </w:pPr>
      <w:r w:rsidRPr="00386289">
        <w:rPr>
          <w:rFonts w:ascii="Palatino Linotype" w:eastAsia="Palatino Linotype" w:hAnsi="Palatino Linotype" w:cs="Palatino Linotype"/>
          <w:b/>
          <w:i/>
          <w:color w:val="000000"/>
          <w:sz w:val="22"/>
          <w:szCs w:val="22"/>
        </w:rPr>
        <w:lastRenderedPageBreak/>
        <w:t>III. Toda persona, sin necesidad de acreditar interés alguno o justificar su utilización, tendrá acceso gratuito</w:t>
      </w:r>
      <w:r w:rsidRPr="00386289">
        <w:rPr>
          <w:rFonts w:ascii="Palatino Linotype" w:eastAsia="Palatino Linotype" w:hAnsi="Palatino Linotype" w:cs="Palatino Linotype"/>
          <w:i/>
          <w:color w:val="000000"/>
          <w:sz w:val="22"/>
          <w:szCs w:val="22"/>
        </w:rPr>
        <w:t xml:space="preserve"> a la información pública, </w:t>
      </w:r>
      <w:r w:rsidRPr="00386289">
        <w:rPr>
          <w:rFonts w:ascii="Palatino Linotype" w:eastAsia="Palatino Linotype" w:hAnsi="Palatino Linotype" w:cs="Palatino Linotype"/>
          <w:b/>
          <w:i/>
          <w:color w:val="000000"/>
          <w:sz w:val="22"/>
          <w:szCs w:val="22"/>
        </w:rPr>
        <w:t xml:space="preserve">a sus datos personales o a la rectificación de éstos. </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i/>
          <w:color w:val="000000"/>
          <w:sz w:val="22"/>
          <w:szCs w:val="22"/>
        </w:rPr>
        <w:t>IV. Se establecerán mecanismos de acceso a la información y procedimientos de revisión expeditos</w:t>
      </w:r>
      <w:r w:rsidRPr="00386289">
        <w:rPr>
          <w:rFonts w:ascii="Palatino Linotype" w:eastAsia="Palatino Linotype" w:hAnsi="Palatino Linotype" w:cs="Palatino Linotype"/>
          <w:i/>
          <w:color w:val="000000"/>
          <w:sz w:val="22"/>
          <w:szCs w:val="22"/>
        </w:rPr>
        <w:t xml:space="preserve"> que se sustanciarán ante los organismos autónomos especializados e imparciales que establece esta Constitución.</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w:t>
      </w: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i/>
          <w:color w:val="000000"/>
          <w:sz w:val="22"/>
          <w:szCs w:val="22"/>
        </w:rPr>
        <w:t>VIII. La Federación contará con un organismo autónomo, especializado</w:t>
      </w:r>
      <w:r w:rsidRPr="00386289">
        <w:rPr>
          <w:rFonts w:ascii="Palatino Linotype" w:eastAsia="Palatino Linotype" w:hAnsi="Palatino Linotype" w:cs="Palatino Linotype"/>
          <w:i/>
          <w:color w:val="000000"/>
          <w:sz w:val="22"/>
          <w:szCs w:val="22"/>
        </w:rPr>
        <w:t>, imparcial, colegiado, con personalidad jurídica y patrimonio propio, con plena autonomía técnica, de gestión, capacidad para decidir sobre el ejercicio de su presupuesto y determinar su organización interna</w:t>
      </w:r>
      <w:r w:rsidRPr="00386289">
        <w:rPr>
          <w:rFonts w:ascii="Palatino Linotype" w:eastAsia="Palatino Linotype" w:hAnsi="Palatino Linotype" w:cs="Palatino Linotype"/>
          <w:b/>
          <w:i/>
          <w:color w:val="000000"/>
          <w:sz w:val="22"/>
          <w:szCs w:val="22"/>
        </w:rPr>
        <w:t>, responsable de garantizar el cumplimiento del derecho de</w:t>
      </w:r>
      <w:r w:rsidRPr="00386289">
        <w:rPr>
          <w:rFonts w:ascii="Palatino Linotype" w:eastAsia="Palatino Linotype" w:hAnsi="Palatino Linotype" w:cs="Palatino Linotype"/>
          <w:i/>
          <w:color w:val="000000"/>
          <w:sz w:val="22"/>
          <w:szCs w:val="22"/>
        </w:rPr>
        <w:t xml:space="preserve"> acceso a la información pública y a la </w:t>
      </w:r>
      <w:r w:rsidRPr="00386289">
        <w:rPr>
          <w:rFonts w:ascii="Palatino Linotype" w:eastAsia="Palatino Linotype" w:hAnsi="Palatino Linotype" w:cs="Palatino Linotype"/>
          <w:b/>
          <w:i/>
          <w:color w:val="000000"/>
          <w:sz w:val="22"/>
          <w:szCs w:val="22"/>
        </w:rPr>
        <w:t>protección de datos personales en posesión de los sujetos obligados en los términos que establezca la ley</w:t>
      </w:r>
      <w:r w:rsidRPr="00386289">
        <w:rPr>
          <w:rFonts w:ascii="Palatino Linotype" w:eastAsia="Palatino Linotype" w:hAnsi="Palatino Linotype" w:cs="Palatino Linotype"/>
          <w:i/>
          <w:color w:val="000000"/>
          <w:sz w:val="22"/>
          <w:szCs w:val="22"/>
        </w:rPr>
        <w:t xml:space="preserve">. </w:t>
      </w:r>
    </w:p>
    <w:p w:rsidR="006B4068" w:rsidRPr="00386289" w:rsidRDefault="006B406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i/>
          <w:color w:val="000000"/>
          <w:sz w:val="22"/>
          <w:szCs w:val="22"/>
        </w:rPr>
        <w:t>El organismo autónomo</w:t>
      </w:r>
      <w:r w:rsidRPr="00386289">
        <w:rPr>
          <w:rFonts w:ascii="Palatino Linotype" w:eastAsia="Palatino Linotype" w:hAnsi="Palatino Linotype" w:cs="Palatino Linotype"/>
          <w:i/>
          <w:color w:val="000000"/>
          <w:sz w:val="22"/>
          <w:szCs w:val="22"/>
        </w:rPr>
        <w:t xml:space="preserve"> previsto en esta fracción, se </w:t>
      </w:r>
      <w:r w:rsidRPr="00386289">
        <w:rPr>
          <w:rFonts w:ascii="Palatino Linotype" w:eastAsia="Palatino Linotype" w:hAnsi="Palatino Linotype" w:cs="Palatino Linotype"/>
          <w:b/>
          <w:i/>
          <w:color w:val="000000"/>
          <w:sz w:val="22"/>
          <w:szCs w:val="22"/>
        </w:rPr>
        <w:t>regirá por la ley en materia de</w:t>
      </w:r>
      <w:r w:rsidRPr="00386289">
        <w:rPr>
          <w:rFonts w:ascii="Palatino Linotype" w:eastAsia="Palatino Linotype" w:hAnsi="Palatino Linotype" w:cs="Palatino Linotype"/>
          <w:i/>
          <w:color w:val="000000"/>
          <w:sz w:val="22"/>
          <w:szCs w:val="22"/>
        </w:rPr>
        <w:t xml:space="preserve"> transparencia y acceso a la información pública y </w:t>
      </w:r>
      <w:r w:rsidRPr="00386289">
        <w:rPr>
          <w:rFonts w:ascii="Palatino Linotype" w:eastAsia="Palatino Linotype" w:hAnsi="Palatino Linotype" w:cs="Palatino Linotype"/>
          <w:b/>
          <w:i/>
          <w:color w:val="000000"/>
          <w:sz w:val="22"/>
          <w:szCs w:val="22"/>
        </w:rPr>
        <w:t>protección de datos personales en posesión de sujetos obligados</w:t>
      </w:r>
      <w:r w:rsidRPr="00386289">
        <w:rPr>
          <w:rFonts w:ascii="Palatino Linotype" w:eastAsia="Palatino Linotype" w:hAnsi="Palatino Linotype" w:cs="Palatino Linotype"/>
          <w:i/>
          <w:color w:val="000000"/>
          <w:sz w:val="22"/>
          <w:szCs w:val="22"/>
        </w:rPr>
        <w:t>, en los términos que establezca la ley general que emita el Congreso de la Unión para establecer las bases, principios generales y procedimientos del ejercicio de este derecho</w:t>
      </w:r>
    </w:p>
    <w:p w:rsidR="006B4068" w:rsidRPr="00386289" w:rsidRDefault="006B406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i/>
          <w:color w:val="000000"/>
          <w:sz w:val="22"/>
          <w:szCs w:val="22"/>
        </w:rPr>
        <w:t xml:space="preserve">En su funcionamiento se regirá por los principios de certeza, legalidad, independencia, imparcialidad, eficacia, objetividad, profesionalismo, transparencia y máxima publicidad. </w:t>
      </w:r>
    </w:p>
    <w:p w:rsidR="006B4068" w:rsidRPr="00386289" w:rsidRDefault="006B4068">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p>
    <w:p w:rsidR="006B4068" w:rsidRPr="00386289" w:rsidRDefault="000B6FEB">
      <w:pPr>
        <w:pBdr>
          <w:top w:val="nil"/>
          <w:left w:val="nil"/>
          <w:bottom w:val="nil"/>
          <w:right w:val="nil"/>
          <w:between w:val="nil"/>
        </w:pBdr>
        <w:spacing w:line="360" w:lineRule="auto"/>
        <w:ind w:left="567" w:right="616"/>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b/>
          <w:i/>
          <w:color w:val="000000"/>
          <w:sz w:val="22"/>
          <w:szCs w:val="22"/>
        </w:rPr>
        <w:t>El organismo garante tiene competencia para conocer de los asuntos relacionados con</w:t>
      </w:r>
      <w:r w:rsidRPr="00386289">
        <w:rPr>
          <w:rFonts w:ascii="Palatino Linotype" w:eastAsia="Palatino Linotype" w:hAnsi="Palatino Linotype" w:cs="Palatino Linotype"/>
          <w:i/>
          <w:color w:val="000000"/>
          <w:sz w:val="22"/>
          <w:szCs w:val="22"/>
        </w:rPr>
        <w:t xml:space="preserve"> el acceso a la información pública y </w:t>
      </w:r>
      <w:r w:rsidRPr="00386289">
        <w:rPr>
          <w:rFonts w:ascii="Palatino Linotype" w:eastAsia="Palatino Linotype" w:hAnsi="Palatino Linotype" w:cs="Palatino Linotype"/>
          <w:b/>
          <w:i/>
          <w:color w:val="000000"/>
          <w:sz w:val="22"/>
          <w:szCs w:val="22"/>
        </w:rPr>
        <w:t xml:space="preserve">la protección de datos personales de cualquier </w:t>
      </w:r>
      <w:r w:rsidRPr="00386289">
        <w:rPr>
          <w:rFonts w:ascii="Palatino Linotype" w:eastAsia="Palatino Linotype" w:hAnsi="Palatino Linotype" w:cs="Palatino Linotype"/>
          <w:b/>
          <w:i/>
          <w:color w:val="000000"/>
          <w:sz w:val="22"/>
          <w:szCs w:val="22"/>
        </w:rPr>
        <w:lastRenderedPageBreak/>
        <w:t>autoridad, entidad,</w:t>
      </w:r>
      <w:r w:rsidRPr="00386289">
        <w:rPr>
          <w:rFonts w:ascii="Palatino Linotype" w:eastAsia="Palatino Linotype" w:hAnsi="Palatino Linotype" w:cs="Palatino Linotype"/>
          <w:i/>
          <w:color w:val="000000"/>
          <w:sz w:val="22"/>
          <w:szCs w:val="22"/>
        </w:rPr>
        <w:t xml:space="preserve"> órgano u organismo que forme parte de alguno de los Poderes Legislativo, Ejecutivo y Judicial, órganos autónomos, partidos políticos, fideicomisos y fondos públicos, así como de cualquier persona física, moral o sindicatos que reciba y ejerza recursos públicos o realice actos de autoridad en el ámbito federal; con excepción de aquellos asuntos jurisdiccionales que correspondan a la Suprema Corte de Justicia de la Nación, en cuyo caso resolverá un comité integrado por tres ministros. También conocerá de los recursos que interpongan los particulares respecto de las resoluciones de los organismos autónomos especializados de las entidades federativas que determinen la reserva, confidencialidad, inexistencia o negativa de la información, en los términos que establezca la ley.</w:t>
      </w:r>
    </w:p>
    <w:p w:rsidR="006B4068" w:rsidRPr="00386289" w:rsidRDefault="006B4068">
      <w:pPr>
        <w:pBdr>
          <w:top w:val="nil"/>
          <w:left w:val="nil"/>
          <w:bottom w:val="nil"/>
          <w:right w:val="nil"/>
          <w:between w:val="nil"/>
        </w:pBdr>
        <w:spacing w:line="360" w:lineRule="auto"/>
        <w:jc w:val="both"/>
        <w:rPr>
          <w:rFonts w:ascii="Century Gothic" w:eastAsia="Century Gothic" w:hAnsi="Century Gothic" w:cs="Century Gothic"/>
          <w:color w:val="000000"/>
          <w:sz w:val="22"/>
          <w:szCs w:val="22"/>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De la interpretación armónica y progresiva de los dispositivos legales citados, se determina la existencia de un Órgano Autónomo, encargado de garantizar la correcta tutela de la protección de los datos personales en posesión de los Sujetos Obligados.</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En el mismo, dicho ordenamiento legal, ahora en el artículo 16, segundo párrafo establece lo siguiente:</w:t>
      </w:r>
    </w:p>
    <w:p w:rsidR="006B4068" w:rsidRPr="00386289" w:rsidRDefault="006B4068">
      <w:pPr>
        <w:pBdr>
          <w:top w:val="nil"/>
          <w:left w:val="nil"/>
          <w:bottom w:val="nil"/>
          <w:right w:val="nil"/>
          <w:between w:val="nil"/>
        </w:pBdr>
        <w:ind w:left="720"/>
        <w:rPr>
          <w:rFonts w:ascii="Century Gothic" w:eastAsia="Century Gothic" w:hAnsi="Century Gothic" w:cs="Century Gothic"/>
          <w:color w:val="000000"/>
          <w:sz w:val="22"/>
          <w:szCs w:val="22"/>
        </w:rPr>
      </w:pPr>
    </w:p>
    <w:p w:rsidR="006B4068" w:rsidRPr="00386289" w:rsidRDefault="000B6FEB">
      <w:pPr>
        <w:spacing w:line="360" w:lineRule="auto"/>
        <w:ind w:left="567" w:right="616"/>
        <w:jc w:val="both"/>
        <w:rPr>
          <w:rFonts w:ascii="Palatino Linotype" w:eastAsia="Palatino Linotype" w:hAnsi="Palatino Linotype" w:cs="Palatino Linotype"/>
          <w:i/>
          <w:sz w:val="22"/>
          <w:szCs w:val="22"/>
        </w:rPr>
      </w:pPr>
      <w:r w:rsidRPr="00386289">
        <w:rPr>
          <w:rFonts w:ascii="Palatino Linotype" w:eastAsia="Palatino Linotype" w:hAnsi="Palatino Linotype" w:cs="Palatino Linotype"/>
          <w:i/>
          <w:sz w:val="22"/>
          <w:szCs w:val="22"/>
        </w:rPr>
        <w:t xml:space="preserve">Artículo 16. Nadie puede ser molestado en su persona, familia, domicilio, papeles o posesiones, sino en virtud de mandamiento escrito de la autoridad competente, que funde y motive la causa legal del procedimiento. En los juicios y procedimientos seguidos en forma de juicio en los que se establezca como regla la oralidad, bastará con que quede constancia de ellos en cualquier medio que dé certeza de su contenido y del cumplimiento de lo previsto en este párrafo. </w:t>
      </w:r>
    </w:p>
    <w:p w:rsidR="006B4068" w:rsidRPr="00386289" w:rsidRDefault="006B4068">
      <w:pPr>
        <w:spacing w:line="360" w:lineRule="auto"/>
        <w:ind w:left="567" w:right="616"/>
        <w:jc w:val="both"/>
        <w:rPr>
          <w:rFonts w:ascii="Palatino Linotype" w:eastAsia="Palatino Linotype" w:hAnsi="Palatino Linotype" w:cs="Palatino Linotype"/>
          <w:i/>
          <w:sz w:val="22"/>
          <w:szCs w:val="22"/>
        </w:rPr>
      </w:pPr>
    </w:p>
    <w:p w:rsidR="006B4068" w:rsidRPr="00386289" w:rsidRDefault="000B6FEB">
      <w:pPr>
        <w:spacing w:line="360" w:lineRule="auto"/>
        <w:ind w:left="567" w:right="616"/>
        <w:jc w:val="both"/>
        <w:rPr>
          <w:rFonts w:ascii="Palatino Linotype" w:eastAsia="Palatino Linotype" w:hAnsi="Palatino Linotype" w:cs="Palatino Linotype"/>
          <w:i/>
          <w:sz w:val="22"/>
          <w:szCs w:val="22"/>
        </w:rPr>
      </w:pPr>
      <w:r w:rsidRPr="00386289">
        <w:rPr>
          <w:rFonts w:ascii="Palatino Linotype" w:eastAsia="Palatino Linotype" w:hAnsi="Palatino Linotype" w:cs="Palatino Linotype"/>
          <w:b/>
          <w:i/>
          <w:sz w:val="22"/>
          <w:szCs w:val="22"/>
        </w:rPr>
        <w:t>Toda persona tiene derecho a la protección de sus datos personales, al acceso, rectificación y cancelación de los mismos, así como a manifestar su oposición,</w:t>
      </w:r>
      <w:r w:rsidRPr="00386289">
        <w:rPr>
          <w:rFonts w:ascii="Palatino Linotype" w:eastAsia="Palatino Linotype" w:hAnsi="Palatino Linotype" w:cs="Palatino Linotype"/>
          <w:i/>
          <w:sz w:val="22"/>
          <w:szCs w:val="22"/>
        </w:rPr>
        <w:t xml:space="preserve"> en los términos que fije la ley, la cual establecerá los supuestos de excepción a los principios que rijan el tratamiento de datos, por razones de seguridad nacional, disposiciones de orden público, seguridad y salud públicas o para proteger los derechos de terceros.</w:t>
      </w:r>
    </w:p>
    <w:p w:rsidR="006B4068" w:rsidRPr="00386289" w:rsidRDefault="006B4068">
      <w:pPr>
        <w:spacing w:line="360" w:lineRule="auto"/>
        <w:jc w:val="both"/>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Hasta lo expuesto en líneas anteriores, se determina que toda persona tiene derecho a la protección de sus datos personales que son el </w:t>
      </w:r>
      <w:r w:rsidRPr="00386289">
        <w:rPr>
          <w:rFonts w:ascii="Palatino Linotype" w:eastAsia="Palatino Linotype" w:hAnsi="Palatino Linotype" w:cs="Palatino Linotype"/>
          <w:b/>
          <w:color w:val="000000"/>
        </w:rPr>
        <w:t>acceso, rectificación</w:t>
      </w:r>
      <w:r w:rsidRPr="00386289">
        <w:rPr>
          <w:rFonts w:ascii="Palatino Linotype" w:eastAsia="Palatino Linotype" w:hAnsi="Palatino Linotype" w:cs="Palatino Linotype"/>
          <w:b/>
          <w:i/>
          <w:color w:val="000000"/>
        </w:rPr>
        <w:t xml:space="preserve"> </w:t>
      </w:r>
      <w:r w:rsidRPr="00386289">
        <w:rPr>
          <w:rFonts w:ascii="Palatino Linotype" w:eastAsia="Palatino Linotype" w:hAnsi="Palatino Linotype" w:cs="Palatino Linotype"/>
          <w:b/>
          <w:color w:val="000000"/>
        </w:rPr>
        <w:t>cancelación y oposición,</w:t>
      </w:r>
      <w:r w:rsidRPr="00386289">
        <w:rPr>
          <w:rFonts w:ascii="Palatino Linotype" w:eastAsia="Palatino Linotype" w:hAnsi="Palatino Linotype" w:cs="Palatino Linotype"/>
          <w:color w:val="000000"/>
        </w:rPr>
        <w:t xml:space="preserve"> los cuales serán garantizados por un Órgano Autónomo, para el caso del Estado de México, es el Instituto de Transparencia, Acceso a la Información Pública y Protección de Datos Personales del Estado de México y Municipios.</w:t>
      </w:r>
    </w:p>
    <w:p w:rsidR="00CB431B" w:rsidRPr="00386289" w:rsidRDefault="00CB431B" w:rsidP="00CB431B">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6B4068" w:rsidRPr="00386289" w:rsidRDefault="000B6FEB">
      <w:pPr>
        <w:numPr>
          <w:ilvl w:val="0"/>
          <w:numId w:val="10"/>
        </w:numPr>
        <w:pBdr>
          <w:top w:val="nil"/>
          <w:left w:val="nil"/>
          <w:bottom w:val="nil"/>
          <w:right w:val="nil"/>
          <w:between w:val="nil"/>
        </w:pBdr>
        <w:spacing w:line="360" w:lineRule="auto"/>
        <w:jc w:val="both"/>
        <w:rPr>
          <w:rFonts w:ascii="Palatino Linotype" w:eastAsia="Palatino Linotype" w:hAnsi="Palatino Linotype" w:cs="Palatino Linotype"/>
          <w:b/>
          <w:color w:val="000000"/>
          <w:sz w:val="22"/>
          <w:szCs w:val="22"/>
        </w:rPr>
      </w:pPr>
      <w:r w:rsidRPr="00386289">
        <w:rPr>
          <w:rFonts w:ascii="Palatino Linotype" w:eastAsia="Palatino Linotype" w:hAnsi="Palatino Linotype" w:cs="Palatino Linotype"/>
          <w:b/>
          <w:color w:val="000000"/>
          <w:sz w:val="22"/>
          <w:szCs w:val="22"/>
        </w:rPr>
        <w:t>Del acceso a datos personales.</w:t>
      </w:r>
    </w:p>
    <w:p w:rsidR="006B4068" w:rsidRPr="00386289" w:rsidRDefault="000B6FEB">
      <w:pPr>
        <w:numPr>
          <w:ilvl w:val="0"/>
          <w:numId w:val="5"/>
        </w:numPr>
        <w:pBdr>
          <w:top w:val="nil"/>
          <w:left w:val="nil"/>
          <w:bottom w:val="nil"/>
          <w:right w:val="nil"/>
          <w:between w:val="nil"/>
        </w:pBdr>
        <w:spacing w:line="360" w:lineRule="auto"/>
        <w:ind w:left="1276"/>
        <w:jc w:val="both"/>
        <w:rPr>
          <w:rFonts w:ascii="Palatino Linotype" w:eastAsia="Palatino Linotype" w:hAnsi="Palatino Linotype" w:cs="Palatino Linotype"/>
          <w:b/>
          <w:color w:val="000000"/>
          <w:sz w:val="22"/>
          <w:szCs w:val="22"/>
        </w:rPr>
      </w:pPr>
      <w:r w:rsidRPr="00386289">
        <w:rPr>
          <w:rFonts w:ascii="Palatino Linotype" w:eastAsia="Palatino Linotype" w:hAnsi="Palatino Linotype" w:cs="Palatino Linotype"/>
          <w:b/>
          <w:color w:val="000000"/>
          <w:sz w:val="22"/>
          <w:szCs w:val="22"/>
        </w:rPr>
        <w:t>Del agravio del Recurrente</w:t>
      </w: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i/>
          <w:color w:val="000000"/>
          <w:sz w:val="22"/>
          <w:szCs w:val="22"/>
        </w:rPr>
      </w:pPr>
      <w:r w:rsidRPr="00386289">
        <w:rPr>
          <w:rFonts w:ascii="Palatino Linotype" w:eastAsia="Palatino Linotype" w:hAnsi="Palatino Linotype" w:cs="Palatino Linotype"/>
          <w:color w:val="000000"/>
        </w:rPr>
        <w:t>Conocida la respuesta, el Recurrente promovió recurso de revisión manifestando su inconformidad por que no se entregó el dictamen de riesgo de trabajo</w:t>
      </w:r>
    </w:p>
    <w:p w:rsidR="006B4068" w:rsidRPr="00386289" w:rsidRDefault="006B4068">
      <w:pPr>
        <w:pBdr>
          <w:top w:val="nil"/>
          <w:left w:val="nil"/>
          <w:bottom w:val="nil"/>
          <w:right w:val="nil"/>
          <w:between w:val="nil"/>
        </w:pBdr>
        <w:spacing w:line="360" w:lineRule="auto"/>
        <w:jc w:val="both"/>
        <w:rPr>
          <w:rFonts w:ascii="Palatino Linotype" w:eastAsia="Palatino Linotype" w:hAnsi="Palatino Linotype" w:cs="Palatino Linotype"/>
          <w:i/>
          <w:color w:val="000000"/>
          <w:sz w:val="22"/>
          <w:szCs w:val="22"/>
        </w:rPr>
      </w:pPr>
    </w:p>
    <w:p w:rsidR="006B4068" w:rsidRPr="00386289" w:rsidRDefault="000B6FEB">
      <w:pPr>
        <w:numPr>
          <w:ilvl w:val="0"/>
          <w:numId w:val="4"/>
        </w:numPr>
        <w:pBdr>
          <w:top w:val="nil"/>
          <w:left w:val="nil"/>
          <w:bottom w:val="nil"/>
          <w:right w:val="nil"/>
          <w:between w:val="nil"/>
        </w:pBdr>
        <w:spacing w:line="360" w:lineRule="auto"/>
        <w:ind w:left="0" w:right="49" w:firstLine="0"/>
        <w:jc w:val="both"/>
        <w:rPr>
          <w:rFonts w:ascii="Palatino Linotype" w:eastAsia="Palatino Linotype" w:hAnsi="Palatino Linotype" w:cs="Palatino Linotype"/>
          <w:color w:val="000000"/>
          <w:sz w:val="22"/>
          <w:szCs w:val="22"/>
        </w:rPr>
      </w:pPr>
      <w:r w:rsidRPr="00386289">
        <w:rPr>
          <w:rFonts w:ascii="Palatino Linotype" w:eastAsia="Palatino Linotype" w:hAnsi="Palatino Linotype" w:cs="Palatino Linotype"/>
          <w:color w:val="000000"/>
        </w:rPr>
        <w:t>Cabe referir que, el derecho de acceso a datos personales</w:t>
      </w:r>
      <w:r w:rsidRPr="00386289">
        <w:rPr>
          <w:rFonts w:ascii="Palatino Linotype" w:eastAsia="Palatino Linotype" w:hAnsi="Palatino Linotype" w:cs="Palatino Linotype"/>
          <w:color w:val="000000"/>
          <w:sz w:val="22"/>
          <w:szCs w:val="22"/>
        </w:rPr>
        <w:t xml:space="preserve"> es</w:t>
      </w:r>
      <w:r w:rsidRPr="00386289">
        <w:rPr>
          <w:rFonts w:ascii="Palatino Linotype" w:eastAsia="Palatino Linotype" w:hAnsi="Palatino Linotype" w:cs="Palatino Linotype"/>
          <w:i/>
          <w:color w:val="000000"/>
          <w:sz w:val="22"/>
          <w:szCs w:val="22"/>
        </w:rPr>
        <w:t xml:space="preserve"> aquel mediante el cual el titular tiene derecho a solicitar y ser informado sobre sus datos personales, el origen de los mismos, el tratamiento del cual son objeto, las cesiones realizadas o que se pretendan realizar, así como a tener acceso al aviso de privacidad al que está sujeto el tratamiento. </w:t>
      </w:r>
    </w:p>
    <w:p w:rsidR="006B4068" w:rsidRPr="00386289" w:rsidRDefault="006B4068">
      <w:pPr>
        <w:pBdr>
          <w:top w:val="nil"/>
          <w:left w:val="nil"/>
          <w:bottom w:val="nil"/>
          <w:right w:val="nil"/>
          <w:between w:val="nil"/>
        </w:pBdr>
        <w:spacing w:line="360" w:lineRule="auto"/>
        <w:ind w:left="720"/>
        <w:rPr>
          <w:rFonts w:ascii="Palatino Linotype" w:eastAsia="Palatino Linotype" w:hAnsi="Palatino Linotype" w:cs="Palatino Linotype"/>
          <w:color w:val="000000"/>
          <w:sz w:val="22"/>
          <w:szCs w:val="22"/>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lastRenderedPageBreak/>
        <w:t xml:space="preserve">Es así que, en cuanto al ejercicio del acceso a los datos personales, se procederá para que el titular sea informado sobre sus datos personales </w:t>
      </w:r>
      <w:r w:rsidRPr="00386289">
        <w:rPr>
          <w:rFonts w:ascii="Palatino Linotype" w:eastAsia="Palatino Linotype" w:hAnsi="Palatino Linotype" w:cs="Palatino Linotype"/>
          <w:b/>
          <w:color w:val="000000"/>
        </w:rPr>
        <w:t>que se encuentren en posesión del Sujeto Obligado, pues para el efectivo ejercicio del derecho, es necesario la existencia de los mismos en archivos del Sujeto Obligado.</w:t>
      </w:r>
    </w:p>
    <w:p w:rsidR="006B4068" w:rsidRPr="00386289" w:rsidRDefault="006B4068" w:rsidP="00862A68">
      <w:pPr>
        <w:pBdr>
          <w:top w:val="nil"/>
          <w:left w:val="nil"/>
          <w:bottom w:val="nil"/>
          <w:right w:val="nil"/>
          <w:between w:val="nil"/>
        </w:pBdr>
        <w:spacing w:line="360" w:lineRule="auto"/>
        <w:ind w:left="720"/>
        <w:rPr>
          <w:rFonts w:ascii="Palatino Linotype" w:eastAsia="Palatino Linotype" w:hAnsi="Palatino Linotype" w:cs="Palatino Linotype"/>
          <w:color w:val="000000"/>
        </w:rPr>
      </w:pPr>
    </w:p>
    <w:p w:rsidR="006B4068" w:rsidRPr="00386289" w:rsidRDefault="000B6FE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Dicho lo anterior y a simple lectura de la respuesta, si bien se trata indudablemente de un acceso a datos personales, lo cierto es que a manifestación del Sujeto Obligado no cuenta con la misma.</w:t>
      </w:r>
    </w:p>
    <w:p w:rsidR="00CB431B" w:rsidRPr="00386289" w:rsidRDefault="00CB431B" w:rsidP="00CB431B">
      <w:pPr>
        <w:pStyle w:val="Prrafodelista"/>
        <w:rPr>
          <w:rFonts w:ascii="Palatino Linotype" w:eastAsia="Palatino Linotype" w:hAnsi="Palatino Linotype" w:cs="Palatino Linotype"/>
          <w:color w:val="000000"/>
        </w:rPr>
      </w:pPr>
    </w:p>
    <w:p w:rsidR="00CB431B" w:rsidRPr="00386289" w:rsidRDefault="00CB431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Resulta importante mencionar, que en Informe Justificado el Sujeto Obligado, adjunto en archivo electrónico la Resolución del Comité de Transparencia, número CT/ISSEMYM-A01-16E/2024, de fecha quince de abril de dos mil veinticuatro, en la cual se resolvió aprobar la Declaratoria de Inexistencia, de la información solicitada, ello previo a la búsqueda realizada de los archivos del Sujeto Obligado, no fue localizado el dictamen de incapacidad por riesgo de trabajo del Hospital Regional de Tlalnepantla, iniciando en el año 2015 de la Recurrente. </w:t>
      </w:r>
    </w:p>
    <w:p w:rsidR="00CB431B" w:rsidRPr="00386289" w:rsidRDefault="00CB431B" w:rsidP="00CB431B">
      <w:pPr>
        <w:pStyle w:val="Prrafodelista"/>
        <w:rPr>
          <w:rFonts w:ascii="Palatino Linotype" w:eastAsia="Palatino Linotype" w:hAnsi="Palatino Linotype" w:cs="Palatino Linotype"/>
          <w:color w:val="000000"/>
        </w:rPr>
      </w:pPr>
    </w:p>
    <w:p w:rsidR="00CB431B" w:rsidRPr="00386289" w:rsidRDefault="00CB431B">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t xml:space="preserve">Ahora bien, en relatadas argumentaciones, se puede afirmar que cuando la información requerida por un particular no exista en los archivos de los Sujetos Obligados, se requiere de un mecanismo para brindar certeza jurídica y a la vez para </w:t>
      </w:r>
      <w:r w:rsidRPr="00386289">
        <w:rPr>
          <w:rFonts w:ascii="Palatino Linotype" w:eastAsia="Palatino Linotype" w:hAnsi="Palatino Linotype" w:cs="Palatino Linotype"/>
          <w:b/>
          <w:color w:val="000000"/>
        </w:rPr>
        <w:t>determinar el tipo y grado de responsabilidad de los servidores públicos</w:t>
      </w:r>
      <w:r w:rsidR="00071966" w:rsidRPr="00386289">
        <w:rPr>
          <w:rFonts w:ascii="Palatino Linotype" w:eastAsia="Palatino Linotype" w:hAnsi="Palatino Linotype" w:cs="Palatino Linotype"/>
          <w:color w:val="000000"/>
        </w:rPr>
        <w:t xml:space="preserve"> que intervienen en el proceso de elaboración de la información.</w:t>
      </w:r>
    </w:p>
    <w:p w:rsidR="00071966" w:rsidRPr="00386289" w:rsidRDefault="00071966" w:rsidP="00071966">
      <w:pPr>
        <w:pStyle w:val="Prrafodelista"/>
        <w:rPr>
          <w:rFonts w:ascii="Palatino Linotype" w:eastAsia="Palatino Linotype" w:hAnsi="Palatino Linotype" w:cs="Palatino Linotype"/>
          <w:color w:val="000000"/>
        </w:rPr>
      </w:pPr>
    </w:p>
    <w:p w:rsidR="00071966" w:rsidRPr="00386289" w:rsidRDefault="00071966" w:rsidP="00364C93">
      <w:pPr>
        <w:numPr>
          <w:ilvl w:val="0"/>
          <w:numId w:val="4"/>
        </w:numPr>
        <w:pBdr>
          <w:top w:val="nil"/>
          <w:left w:val="nil"/>
          <w:bottom w:val="nil"/>
          <w:right w:val="nil"/>
          <w:between w:val="nil"/>
        </w:pBdr>
        <w:spacing w:line="360" w:lineRule="auto"/>
        <w:ind w:left="0" w:firstLine="0"/>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color w:val="000000"/>
        </w:rPr>
        <w:lastRenderedPageBreak/>
        <w:t xml:space="preserve">En esa tesitura, para mejor proveer del presente asunto, resulta necesario, analizar el contenido vertido por el </w:t>
      </w:r>
      <w:r w:rsidRPr="00386289">
        <w:rPr>
          <w:rFonts w:ascii="Palatino Linotype" w:eastAsia="Palatino Linotype" w:hAnsi="Palatino Linotype" w:cs="Palatino Linotype"/>
          <w:b/>
          <w:color w:val="000000"/>
        </w:rPr>
        <w:t>Sujeto Obligad</w:t>
      </w:r>
      <w:r w:rsidR="000B6FEB" w:rsidRPr="00386289">
        <w:rPr>
          <w:rFonts w:ascii="Palatino Linotype" w:eastAsia="Palatino Linotype" w:hAnsi="Palatino Linotype" w:cs="Palatino Linotype"/>
          <w:b/>
          <w:color w:val="000000"/>
        </w:rPr>
        <w:t xml:space="preserve">o, </w:t>
      </w:r>
      <w:r w:rsidR="00364C93" w:rsidRPr="00386289">
        <w:rPr>
          <w:rFonts w:ascii="Palatino Linotype" w:eastAsia="Palatino Linotype" w:hAnsi="Palatino Linotype" w:cs="Palatino Linotype"/>
          <w:color w:val="000000"/>
        </w:rPr>
        <w:t>en la resolución previamente referida, mediante la inexistencia de la información solicitada, a fin de confirmar lo anteriormente mencionado:</w:t>
      </w:r>
    </w:p>
    <w:p w:rsidR="00C048A8" w:rsidRPr="00386289" w:rsidRDefault="00C048A8" w:rsidP="00C048A8">
      <w:pPr>
        <w:pStyle w:val="Prrafodelista"/>
        <w:rPr>
          <w:rFonts w:ascii="Palatino Linotype" w:eastAsia="Palatino Linotype" w:hAnsi="Palatino Linotype" w:cs="Palatino Linotype"/>
          <w:color w:val="000000"/>
        </w:rPr>
      </w:pPr>
    </w:p>
    <w:tbl>
      <w:tblPr>
        <w:tblW w:w="9072"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2410"/>
        <w:gridCol w:w="1134"/>
        <w:gridCol w:w="5528"/>
      </w:tblGrid>
      <w:tr w:rsidR="00C048A8" w:rsidRPr="00386289" w:rsidTr="00C048A8">
        <w:trPr>
          <w:jc w:val="center"/>
        </w:trPr>
        <w:tc>
          <w:tcPr>
            <w:tcW w:w="2410" w:type="dxa"/>
            <w:tcBorders>
              <w:top w:val="nil"/>
              <w:left w:val="nil"/>
            </w:tcBorders>
          </w:tcPr>
          <w:p w:rsidR="00C048A8" w:rsidRPr="00386289" w:rsidRDefault="00C048A8" w:rsidP="00473E0D">
            <w:pPr>
              <w:pBdr>
                <w:top w:val="nil"/>
                <w:left w:val="nil"/>
                <w:bottom w:val="nil"/>
                <w:right w:val="nil"/>
                <w:between w:val="nil"/>
              </w:pBdr>
              <w:ind w:left="47"/>
              <w:jc w:val="both"/>
              <w:rPr>
                <w:rFonts w:ascii="Palatino Linotype" w:eastAsia="Palatino Linotype" w:hAnsi="Palatino Linotype" w:cs="Palatino Linotype"/>
                <w:b/>
              </w:rPr>
            </w:pPr>
          </w:p>
        </w:tc>
        <w:tc>
          <w:tcPr>
            <w:tcW w:w="1134" w:type="dxa"/>
            <w:tcBorders>
              <w:bottom w:val="single" w:sz="4" w:space="0" w:color="000000"/>
            </w:tcBorders>
            <w:shd w:val="clear" w:color="auto" w:fill="DBE5F1"/>
            <w:vAlign w:val="bottom"/>
          </w:tcPr>
          <w:p w:rsidR="00C048A8" w:rsidRPr="00386289" w:rsidRDefault="00C048A8" w:rsidP="00C048A8">
            <w:pPr>
              <w:pBdr>
                <w:top w:val="nil"/>
                <w:left w:val="nil"/>
                <w:bottom w:val="nil"/>
                <w:right w:val="nil"/>
                <w:between w:val="nil"/>
              </w:pBdr>
              <w:ind w:left="-108" w:right="-44"/>
              <w:jc w:val="center"/>
              <w:rPr>
                <w:rFonts w:ascii="Palatino Linotype" w:eastAsia="Palatino Linotype" w:hAnsi="Palatino Linotype" w:cs="Palatino Linotype"/>
                <w:b/>
                <w:sz w:val="22"/>
                <w:szCs w:val="22"/>
              </w:rPr>
            </w:pPr>
            <w:r w:rsidRPr="00386289">
              <w:rPr>
                <w:rFonts w:ascii="Palatino Linotype" w:eastAsia="Palatino Linotype" w:hAnsi="Palatino Linotype" w:cs="Palatino Linotype"/>
                <w:b/>
                <w:sz w:val="22"/>
                <w:szCs w:val="22"/>
              </w:rPr>
              <w:t>Cumplió:</w:t>
            </w:r>
          </w:p>
        </w:tc>
        <w:tc>
          <w:tcPr>
            <w:tcW w:w="5528" w:type="dxa"/>
            <w:tcBorders>
              <w:bottom w:val="single" w:sz="4" w:space="0" w:color="000000"/>
            </w:tcBorders>
            <w:shd w:val="clear" w:color="auto" w:fill="DBE5F1"/>
            <w:vAlign w:val="bottom"/>
          </w:tcPr>
          <w:p w:rsidR="00C048A8" w:rsidRPr="00386289" w:rsidRDefault="00C048A8" w:rsidP="00473E0D">
            <w:pPr>
              <w:pBdr>
                <w:top w:val="nil"/>
                <w:left w:val="nil"/>
                <w:bottom w:val="nil"/>
                <w:right w:val="nil"/>
                <w:between w:val="nil"/>
              </w:pBd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Contenido</w:t>
            </w:r>
          </w:p>
        </w:tc>
      </w:tr>
      <w:tr w:rsidR="00C048A8" w:rsidRPr="00386289" w:rsidTr="00C048A8">
        <w:trPr>
          <w:jc w:val="center"/>
        </w:trPr>
        <w:tc>
          <w:tcPr>
            <w:tcW w:w="2410" w:type="dxa"/>
            <w:vAlign w:val="center"/>
          </w:tcPr>
          <w:p w:rsidR="00C048A8" w:rsidRPr="00386289" w:rsidRDefault="00C048A8" w:rsidP="00473E0D">
            <w:pPr>
              <w:jc w:val="both"/>
              <w:rPr>
                <w:rFonts w:ascii="Palatino Linotype" w:eastAsia="Palatino Linotype" w:hAnsi="Palatino Linotype" w:cs="Palatino Linotype"/>
                <w:b/>
              </w:rPr>
            </w:pPr>
            <w:r w:rsidRPr="00386289">
              <w:rPr>
                <w:rFonts w:ascii="Palatino Linotype" w:eastAsia="Palatino Linotype" w:hAnsi="Palatino Linotype" w:cs="Palatino Linotype"/>
                <w:b/>
              </w:rPr>
              <w:t>Número de folio de la solicitud.</w:t>
            </w:r>
          </w:p>
        </w:tc>
        <w:tc>
          <w:tcPr>
            <w:tcW w:w="1134" w:type="dxa"/>
            <w:tcBorders>
              <w:top w:val="single" w:sz="4" w:space="0" w:color="000000"/>
            </w:tcBorders>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tcBorders>
              <w:top w:val="single" w:sz="4" w:space="0" w:color="000000"/>
            </w:tcBorders>
            <w:vAlign w:val="center"/>
          </w:tcPr>
          <w:p w:rsidR="00C048A8" w:rsidRPr="00386289" w:rsidRDefault="00C048A8" w:rsidP="00473E0D">
            <w:pPr>
              <w:jc w:val="both"/>
              <w:rPr>
                <w:rFonts w:ascii="Palatino Linotype" w:eastAsia="Palatino Linotype" w:hAnsi="Palatino Linotype" w:cs="Palatino Linotype"/>
              </w:rPr>
            </w:pPr>
          </w:p>
          <w:p w:rsidR="00C048A8" w:rsidRPr="00386289" w:rsidRDefault="00C048A8" w:rsidP="00473E0D">
            <w:pPr>
              <w:jc w:val="both"/>
              <w:rPr>
                <w:rFonts w:ascii="Palatino Linotype" w:eastAsia="Palatino Linotype" w:hAnsi="Palatino Linotype" w:cs="Palatino Linotype"/>
              </w:rPr>
            </w:pPr>
            <w:r w:rsidRPr="00386289">
              <w:rPr>
                <w:rFonts w:ascii="Palatino Linotype" w:eastAsia="Palatino Linotype" w:hAnsi="Palatino Linotype" w:cs="Palatino Linotype"/>
                <w:noProof/>
              </w:rPr>
              <w:drawing>
                <wp:inline distT="0" distB="0" distL="0" distR="0" wp14:anchorId="550B5691" wp14:editId="2F04D67D">
                  <wp:extent cx="3069204" cy="289492"/>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3116752" cy="293977"/>
                          </a:xfrm>
                          <a:prstGeom prst="rect">
                            <a:avLst/>
                          </a:prstGeom>
                        </pic:spPr>
                      </pic:pic>
                    </a:graphicData>
                  </a:graphic>
                </wp:inline>
              </w:drawing>
            </w:r>
          </w:p>
          <w:p w:rsidR="00C048A8" w:rsidRPr="00386289" w:rsidRDefault="00C048A8" w:rsidP="00473E0D">
            <w:pPr>
              <w:ind w:left="-115"/>
              <w:jc w:val="both"/>
              <w:rPr>
                <w:rFonts w:ascii="Palatino Linotype" w:eastAsia="Palatino Linotype" w:hAnsi="Palatino Linotype" w:cs="Palatino Linotype"/>
              </w:rPr>
            </w:pPr>
          </w:p>
        </w:tc>
      </w:tr>
      <w:tr w:rsidR="00C048A8" w:rsidRPr="00386289" w:rsidTr="00C048A8">
        <w:trPr>
          <w:jc w:val="center"/>
        </w:trPr>
        <w:tc>
          <w:tcPr>
            <w:tcW w:w="2410" w:type="dxa"/>
            <w:vAlign w:val="center"/>
          </w:tcPr>
          <w:p w:rsidR="00C048A8" w:rsidRPr="00386289" w:rsidRDefault="00C048A8" w:rsidP="00473E0D">
            <w:pPr>
              <w:jc w:val="both"/>
              <w:rPr>
                <w:rFonts w:ascii="Palatino Linotype" w:eastAsia="Palatino Linotype" w:hAnsi="Palatino Linotype" w:cs="Palatino Linotype"/>
                <w:b/>
              </w:rPr>
            </w:pPr>
            <w:r w:rsidRPr="00386289">
              <w:rPr>
                <w:rFonts w:ascii="Palatino Linotype" w:eastAsia="Palatino Linotype" w:hAnsi="Palatino Linotype" w:cs="Palatino Linotype"/>
                <w:b/>
              </w:rPr>
              <w:t>Referencia de la información solicitada.</w:t>
            </w:r>
          </w:p>
        </w:tc>
        <w:tc>
          <w:tcPr>
            <w:tcW w:w="1134" w:type="dxa"/>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vAlign w:val="center"/>
          </w:tcPr>
          <w:p w:rsidR="00C048A8" w:rsidRPr="00386289" w:rsidRDefault="00386289" w:rsidP="00C048A8">
            <w:pPr>
              <w:ind w:left="-31"/>
              <w:jc w:val="center"/>
              <w:rPr>
                <w:rFonts w:ascii="Palatino Linotype" w:hAnsi="Palatino Linotype"/>
              </w:rPr>
            </w:pPr>
            <w:r w:rsidRPr="00386289">
              <w:rPr>
                <w:rFonts w:ascii="Palatino Linotype" w:hAnsi="Palatino Linotype"/>
                <w:noProof/>
              </w:rPr>
              <w:drawing>
                <wp:inline distT="0" distB="0" distL="0" distR="0" wp14:anchorId="29085004" wp14:editId="498F4557">
                  <wp:extent cx="3373120" cy="51562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3373120" cy="515620"/>
                          </a:xfrm>
                          <a:prstGeom prst="rect">
                            <a:avLst/>
                          </a:prstGeom>
                        </pic:spPr>
                      </pic:pic>
                    </a:graphicData>
                  </a:graphic>
                </wp:inline>
              </w:drawing>
            </w:r>
          </w:p>
        </w:tc>
      </w:tr>
      <w:tr w:rsidR="00C048A8" w:rsidRPr="00386289" w:rsidTr="00C048A8">
        <w:trPr>
          <w:jc w:val="center"/>
        </w:trPr>
        <w:tc>
          <w:tcPr>
            <w:tcW w:w="2410" w:type="dxa"/>
            <w:vAlign w:val="center"/>
          </w:tcPr>
          <w:p w:rsidR="00C048A8" w:rsidRPr="00386289" w:rsidRDefault="00C048A8" w:rsidP="00473E0D">
            <w:pPr>
              <w:tabs>
                <w:tab w:val="left" w:pos="317"/>
              </w:tabs>
              <w:jc w:val="both"/>
              <w:rPr>
                <w:rFonts w:ascii="Palatino Linotype" w:eastAsia="Palatino Linotype" w:hAnsi="Palatino Linotype" w:cs="Palatino Linotype"/>
                <w:b/>
              </w:rPr>
            </w:pPr>
            <w:r w:rsidRPr="00386289">
              <w:rPr>
                <w:rFonts w:ascii="Palatino Linotype" w:eastAsia="Palatino Linotype" w:hAnsi="Palatino Linotype" w:cs="Palatino Linotype"/>
                <w:b/>
              </w:rPr>
              <w:t>Fundamento y Motivación Legal.</w:t>
            </w:r>
          </w:p>
        </w:tc>
        <w:tc>
          <w:tcPr>
            <w:tcW w:w="1134" w:type="dxa"/>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tcPr>
          <w:p w:rsidR="00C048A8" w:rsidRPr="00386289" w:rsidRDefault="00C048A8" w:rsidP="00473E0D">
            <w:pPr>
              <w:ind w:left="-31"/>
              <w:jc w:val="center"/>
              <w:rPr>
                <w:rFonts w:ascii="Palatino Linotype" w:eastAsia="Palatino Linotype" w:hAnsi="Palatino Linotype" w:cs="Palatino Linotype"/>
                <w:b/>
              </w:rPr>
            </w:pPr>
          </w:p>
          <w:p w:rsidR="00C048A8" w:rsidRPr="00386289" w:rsidRDefault="00C048A8" w:rsidP="00473E0D">
            <w:pPr>
              <w:ind w:left="-31"/>
              <w:jc w:val="center"/>
              <w:rPr>
                <w:rFonts w:ascii="Palatino Linotype" w:hAnsi="Palatino Linotype"/>
              </w:rPr>
            </w:pPr>
            <w:r w:rsidRPr="00386289">
              <w:rPr>
                <w:rFonts w:ascii="Palatino Linotype" w:hAnsi="Palatino Linotype"/>
                <w:noProof/>
              </w:rPr>
              <w:drawing>
                <wp:inline distT="0" distB="0" distL="0" distR="0" wp14:anchorId="675512EC" wp14:editId="45C3DF05">
                  <wp:extent cx="3332480" cy="537845"/>
                  <wp:effectExtent l="0" t="0" r="127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332480" cy="537845"/>
                          </a:xfrm>
                          <a:prstGeom prst="rect">
                            <a:avLst/>
                          </a:prstGeom>
                        </pic:spPr>
                      </pic:pic>
                    </a:graphicData>
                  </a:graphic>
                </wp:inline>
              </w:drawing>
            </w:r>
          </w:p>
          <w:p w:rsidR="00C048A8" w:rsidRPr="00386289" w:rsidRDefault="00C048A8" w:rsidP="00473E0D">
            <w:pPr>
              <w:ind w:left="-31"/>
              <w:jc w:val="center"/>
              <w:rPr>
                <w:rFonts w:ascii="Palatino Linotype" w:eastAsia="Palatino Linotype" w:hAnsi="Palatino Linotype" w:cs="Palatino Linotype"/>
                <w:b/>
              </w:rPr>
            </w:pPr>
          </w:p>
        </w:tc>
      </w:tr>
      <w:tr w:rsidR="00C048A8" w:rsidRPr="00386289" w:rsidTr="00C048A8">
        <w:trPr>
          <w:jc w:val="center"/>
        </w:trPr>
        <w:tc>
          <w:tcPr>
            <w:tcW w:w="2410" w:type="dxa"/>
            <w:vAlign w:val="center"/>
          </w:tcPr>
          <w:p w:rsidR="00C048A8" w:rsidRPr="00386289" w:rsidRDefault="00C048A8" w:rsidP="00473E0D">
            <w:pPr>
              <w:jc w:val="both"/>
              <w:rPr>
                <w:rFonts w:ascii="Palatino Linotype" w:eastAsia="Palatino Linotype" w:hAnsi="Palatino Linotype" w:cs="Palatino Linotype"/>
                <w:b/>
              </w:rPr>
            </w:pPr>
            <w:r w:rsidRPr="00386289">
              <w:rPr>
                <w:rFonts w:ascii="Palatino Linotype" w:eastAsia="Palatino Linotype" w:hAnsi="Palatino Linotype" w:cs="Palatino Linotype"/>
                <w:b/>
              </w:rPr>
              <w:t>Conexión entre los fundamentos y motivos que dieron origen a la inexistencia de la información.</w:t>
            </w:r>
          </w:p>
        </w:tc>
        <w:tc>
          <w:tcPr>
            <w:tcW w:w="1134" w:type="dxa"/>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vAlign w:val="center"/>
          </w:tcPr>
          <w:p w:rsidR="00C048A8" w:rsidRPr="00386289" w:rsidRDefault="0012746E" w:rsidP="00473E0D">
            <w:pPr>
              <w:pBdr>
                <w:top w:val="nil"/>
                <w:left w:val="nil"/>
                <w:bottom w:val="nil"/>
                <w:right w:val="nil"/>
                <w:between w:val="nil"/>
              </w:pBdr>
              <w:ind w:left="29" w:firstLine="18"/>
              <w:jc w:val="center"/>
              <w:rPr>
                <w:rFonts w:ascii="Palatino Linotype" w:eastAsia="Palatino Linotype" w:hAnsi="Palatino Linotype" w:cs="Palatino Linotype"/>
              </w:rPr>
            </w:pPr>
            <w:r w:rsidRPr="0012746E">
              <w:rPr>
                <w:rFonts w:ascii="Palatino Linotype" w:eastAsia="Palatino Linotype" w:hAnsi="Palatino Linotype" w:cs="Palatino Linotype"/>
              </w:rPr>
              <w:drawing>
                <wp:inline distT="0" distB="0" distL="0" distR="0" wp14:anchorId="2A780C19" wp14:editId="005F3EDE">
                  <wp:extent cx="3373120" cy="870585"/>
                  <wp:effectExtent l="0" t="0" r="0" b="571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3373120" cy="870585"/>
                          </a:xfrm>
                          <a:prstGeom prst="rect">
                            <a:avLst/>
                          </a:prstGeom>
                        </pic:spPr>
                      </pic:pic>
                    </a:graphicData>
                  </a:graphic>
                </wp:inline>
              </w:drawing>
            </w:r>
          </w:p>
          <w:p w:rsidR="00C048A8" w:rsidRPr="00386289" w:rsidRDefault="00C048A8" w:rsidP="00473E0D">
            <w:pPr>
              <w:pBdr>
                <w:top w:val="nil"/>
                <w:left w:val="nil"/>
                <w:bottom w:val="nil"/>
                <w:right w:val="nil"/>
                <w:between w:val="nil"/>
              </w:pBdr>
              <w:ind w:left="29" w:firstLine="18"/>
              <w:jc w:val="center"/>
              <w:rPr>
                <w:rFonts w:ascii="Palatino Linotype" w:eastAsia="Palatino Linotype" w:hAnsi="Palatino Linotype" w:cs="Palatino Linotype"/>
              </w:rPr>
            </w:pPr>
            <w:r w:rsidRPr="00386289">
              <w:rPr>
                <w:rFonts w:ascii="Palatino Linotype" w:eastAsia="Palatino Linotype" w:hAnsi="Palatino Linotype" w:cs="Palatino Linotype"/>
                <w:noProof/>
              </w:rPr>
              <w:lastRenderedPageBreak/>
              <w:drawing>
                <wp:inline distT="0" distB="0" distL="0" distR="0" wp14:anchorId="228AFB29" wp14:editId="48D21CBA">
                  <wp:extent cx="3332480" cy="3362325"/>
                  <wp:effectExtent l="0" t="0" r="1270" b="9525"/>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332480" cy="3362325"/>
                          </a:xfrm>
                          <a:prstGeom prst="rect">
                            <a:avLst/>
                          </a:prstGeom>
                        </pic:spPr>
                      </pic:pic>
                    </a:graphicData>
                  </a:graphic>
                </wp:inline>
              </w:drawing>
            </w:r>
          </w:p>
          <w:p w:rsidR="00C048A8" w:rsidRPr="00386289" w:rsidRDefault="00386289" w:rsidP="00473E0D">
            <w:pPr>
              <w:pBdr>
                <w:top w:val="nil"/>
                <w:left w:val="nil"/>
                <w:bottom w:val="nil"/>
                <w:right w:val="nil"/>
                <w:between w:val="nil"/>
              </w:pBdr>
              <w:ind w:left="29" w:firstLine="18"/>
              <w:jc w:val="center"/>
              <w:rPr>
                <w:rFonts w:ascii="Palatino Linotype" w:eastAsia="Palatino Linotype" w:hAnsi="Palatino Linotype" w:cs="Palatino Linotype"/>
              </w:rPr>
            </w:pPr>
            <w:r w:rsidRPr="00386289">
              <w:rPr>
                <w:rFonts w:ascii="Palatino Linotype" w:eastAsia="Palatino Linotype" w:hAnsi="Palatino Linotype" w:cs="Palatino Linotype"/>
                <w:noProof/>
              </w:rPr>
              <w:drawing>
                <wp:inline distT="0" distB="0" distL="0" distR="0" wp14:anchorId="21D004CC" wp14:editId="3CCE9079">
                  <wp:extent cx="3373120" cy="1560195"/>
                  <wp:effectExtent l="0" t="0" r="0" b="190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3373120" cy="1560195"/>
                          </a:xfrm>
                          <a:prstGeom prst="rect">
                            <a:avLst/>
                          </a:prstGeom>
                        </pic:spPr>
                      </pic:pic>
                    </a:graphicData>
                  </a:graphic>
                </wp:inline>
              </w:drawing>
            </w:r>
          </w:p>
        </w:tc>
      </w:tr>
      <w:tr w:rsidR="00C048A8" w:rsidRPr="00386289" w:rsidTr="00C048A8">
        <w:trPr>
          <w:jc w:val="center"/>
        </w:trPr>
        <w:tc>
          <w:tcPr>
            <w:tcW w:w="2410" w:type="dxa"/>
            <w:vAlign w:val="center"/>
          </w:tcPr>
          <w:p w:rsidR="00C048A8" w:rsidRPr="00386289" w:rsidRDefault="00C048A8" w:rsidP="00473E0D">
            <w:pPr>
              <w:tabs>
                <w:tab w:val="left" w:pos="317"/>
              </w:tabs>
              <w:jc w:val="both"/>
              <w:rPr>
                <w:rFonts w:ascii="Palatino Linotype" w:eastAsia="Palatino Linotype" w:hAnsi="Palatino Linotype" w:cs="Palatino Linotype"/>
                <w:b/>
              </w:rPr>
            </w:pPr>
            <w:r w:rsidRPr="00386289">
              <w:rPr>
                <w:rFonts w:ascii="Palatino Linotype" w:eastAsia="Palatino Linotype" w:hAnsi="Palatino Linotype" w:cs="Palatino Linotype"/>
                <w:b/>
              </w:rPr>
              <w:lastRenderedPageBreak/>
              <w:t>Notificación al órgano interno de control o equivalente del sujeto obligado quien, en su caso, deberá iniciar el procedimiento de responsabilidad administrativa que corresponda.</w:t>
            </w:r>
          </w:p>
        </w:tc>
        <w:tc>
          <w:tcPr>
            <w:tcW w:w="1134" w:type="dxa"/>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vAlign w:val="center"/>
          </w:tcPr>
          <w:p w:rsidR="00C048A8" w:rsidRPr="00386289" w:rsidRDefault="00C048A8" w:rsidP="00473E0D">
            <w:pPr>
              <w:pBdr>
                <w:top w:val="nil"/>
                <w:left w:val="nil"/>
                <w:bottom w:val="nil"/>
                <w:right w:val="nil"/>
                <w:between w:val="nil"/>
              </w:pBdr>
              <w:ind w:left="29" w:firstLine="18"/>
              <w:jc w:val="both"/>
              <w:rPr>
                <w:rFonts w:ascii="Palatino Linotype" w:eastAsia="Palatino Linotype" w:hAnsi="Palatino Linotype" w:cs="Palatino Linotype"/>
              </w:rPr>
            </w:pPr>
            <w:r w:rsidRPr="00386289">
              <w:rPr>
                <w:rFonts w:ascii="Palatino Linotype" w:eastAsia="Palatino Linotype" w:hAnsi="Palatino Linotype" w:cs="Palatino Linotype"/>
                <w:noProof/>
              </w:rPr>
              <w:drawing>
                <wp:inline distT="0" distB="0" distL="0" distR="0" wp14:anchorId="0B4BE23F" wp14:editId="7933506B">
                  <wp:extent cx="3332480" cy="363855"/>
                  <wp:effectExtent l="0" t="0" r="127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332480" cy="363855"/>
                          </a:xfrm>
                          <a:prstGeom prst="rect">
                            <a:avLst/>
                          </a:prstGeom>
                        </pic:spPr>
                      </pic:pic>
                    </a:graphicData>
                  </a:graphic>
                </wp:inline>
              </w:drawing>
            </w:r>
          </w:p>
        </w:tc>
      </w:tr>
      <w:tr w:rsidR="00C048A8" w:rsidRPr="00386289" w:rsidTr="00C048A8">
        <w:trPr>
          <w:trHeight w:val="3517"/>
          <w:jc w:val="center"/>
        </w:trPr>
        <w:tc>
          <w:tcPr>
            <w:tcW w:w="2410" w:type="dxa"/>
            <w:vAlign w:val="center"/>
          </w:tcPr>
          <w:p w:rsidR="00C048A8" w:rsidRPr="00386289" w:rsidRDefault="00C048A8" w:rsidP="00473E0D">
            <w:pPr>
              <w:tabs>
                <w:tab w:val="left" w:pos="317"/>
              </w:tabs>
              <w:jc w:val="center"/>
              <w:rPr>
                <w:rFonts w:ascii="Palatino Linotype" w:eastAsia="Palatino Linotype" w:hAnsi="Palatino Linotype" w:cs="Palatino Linotype"/>
                <w:b/>
              </w:rPr>
            </w:pPr>
            <w:r w:rsidRPr="00386289">
              <w:rPr>
                <w:rFonts w:ascii="Palatino Linotype" w:eastAsia="Palatino Linotype" w:hAnsi="Palatino Linotype" w:cs="Palatino Linotype"/>
                <w:b/>
              </w:rPr>
              <w:lastRenderedPageBreak/>
              <w:t>Autoridades competentes.</w:t>
            </w:r>
          </w:p>
        </w:tc>
        <w:tc>
          <w:tcPr>
            <w:tcW w:w="1134" w:type="dxa"/>
            <w:vAlign w:val="center"/>
          </w:tcPr>
          <w:p w:rsidR="00C048A8" w:rsidRPr="00386289" w:rsidRDefault="00C048A8" w:rsidP="00473E0D">
            <w:pPr>
              <w:ind w:left="47"/>
              <w:jc w:val="center"/>
              <w:rPr>
                <w:rFonts w:ascii="Palatino Linotype" w:eastAsia="Palatino Linotype" w:hAnsi="Palatino Linotype" w:cs="Palatino Linotype"/>
                <w:b/>
              </w:rPr>
            </w:pPr>
            <w:r w:rsidRPr="00386289">
              <w:rPr>
                <w:rFonts w:ascii="Palatino Linotype" w:eastAsia="Palatino Linotype" w:hAnsi="Palatino Linotype" w:cs="Palatino Linotype"/>
                <w:b/>
              </w:rPr>
              <w:t>Sí</w:t>
            </w:r>
          </w:p>
        </w:tc>
        <w:tc>
          <w:tcPr>
            <w:tcW w:w="5528" w:type="dxa"/>
          </w:tcPr>
          <w:p w:rsidR="00C048A8" w:rsidRPr="00386289" w:rsidRDefault="00C048A8" w:rsidP="00473E0D">
            <w:pPr>
              <w:jc w:val="center"/>
              <w:rPr>
                <w:rFonts w:ascii="Palatino Linotype" w:hAnsi="Palatino Linotype"/>
              </w:rPr>
            </w:pPr>
            <w:r w:rsidRPr="00386289">
              <w:rPr>
                <w:rFonts w:ascii="Palatino Linotype" w:hAnsi="Palatino Linotype"/>
                <w:noProof/>
              </w:rPr>
              <w:drawing>
                <wp:inline distT="0" distB="0" distL="0" distR="0" wp14:anchorId="40A1084A" wp14:editId="7CC7DC9D">
                  <wp:extent cx="3332480" cy="2316480"/>
                  <wp:effectExtent l="0" t="0" r="1270" b="762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332480" cy="2316480"/>
                          </a:xfrm>
                          <a:prstGeom prst="rect">
                            <a:avLst/>
                          </a:prstGeom>
                        </pic:spPr>
                      </pic:pic>
                    </a:graphicData>
                  </a:graphic>
                </wp:inline>
              </w:drawing>
            </w:r>
          </w:p>
        </w:tc>
      </w:tr>
    </w:tbl>
    <w:p w:rsidR="00C048A8" w:rsidRPr="00386289" w:rsidRDefault="00C048A8" w:rsidP="00C048A8">
      <w:pPr>
        <w:pStyle w:val="Prrafodelista"/>
        <w:spacing w:line="360" w:lineRule="auto"/>
        <w:rPr>
          <w:rFonts w:ascii="Palatino Linotype" w:eastAsia="Palatino Linotype" w:hAnsi="Palatino Linotype" w:cs="Palatino Linotype"/>
          <w:color w:val="000000"/>
        </w:rPr>
      </w:pPr>
    </w:p>
    <w:p w:rsidR="00C048A8" w:rsidRPr="00386289" w:rsidRDefault="00C048A8" w:rsidP="00C048A8">
      <w:pPr>
        <w:pStyle w:val="Prrafodelista"/>
        <w:numPr>
          <w:ilvl w:val="0"/>
          <w:numId w:val="4"/>
        </w:numPr>
        <w:spacing w:line="360" w:lineRule="auto"/>
        <w:ind w:left="0" w:right="141" w:firstLine="0"/>
        <w:jc w:val="both"/>
        <w:rPr>
          <w:rFonts w:ascii="Palatino Linotype" w:eastAsia="Palatino Linotype" w:hAnsi="Palatino Linotype" w:cs="Palatino Linotype"/>
          <w:sz w:val="24"/>
        </w:rPr>
      </w:pPr>
      <w:r w:rsidRPr="00386289">
        <w:rPr>
          <w:rFonts w:ascii="Palatino Linotype" w:eastAsia="Palatino Linotype" w:hAnsi="Palatino Linotype" w:cs="Palatino Linotype"/>
          <w:sz w:val="24"/>
        </w:rPr>
        <w:t>En efecto, del cuadro de análisis que antecede, se determina que el Comité de Transparencia cumplió con la totalidad de disposiciones establecidas por la Ley de Protección de Datos Personales En Posesión De Sujetos Obligados  Del Estado De México y Municipios; Ley de Transparencia y Acceso a la Información Pública del Estado de México y Municipios</w:t>
      </w:r>
      <w:r w:rsidR="009642D3" w:rsidRPr="00386289">
        <w:rPr>
          <w:rFonts w:ascii="Palatino Linotype" w:eastAsia="Palatino Linotype" w:hAnsi="Palatino Linotype" w:cs="Palatino Linotype"/>
          <w:i/>
          <w:sz w:val="24"/>
        </w:rPr>
        <w:t>.</w:t>
      </w:r>
    </w:p>
    <w:p w:rsidR="00C048A8" w:rsidRPr="00386289" w:rsidRDefault="00C048A8" w:rsidP="00C048A8">
      <w:pPr>
        <w:pStyle w:val="Prrafodelista"/>
        <w:spacing w:line="360" w:lineRule="auto"/>
        <w:ind w:left="644" w:right="141"/>
        <w:jc w:val="both"/>
        <w:rPr>
          <w:rFonts w:ascii="Palatino Linotype" w:eastAsia="Palatino Linotype" w:hAnsi="Palatino Linotype" w:cs="Palatino Linotype"/>
          <w:sz w:val="24"/>
        </w:rPr>
      </w:pPr>
    </w:p>
    <w:p w:rsidR="00C048A8" w:rsidRPr="00386289" w:rsidRDefault="009642D3" w:rsidP="00C048A8">
      <w:pPr>
        <w:pStyle w:val="Prrafodelista"/>
        <w:numPr>
          <w:ilvl w:val="0"/>
          <w:numId w:val="4"/>
        </w:numPr>
        <w:spacing w:line="360" w:lineRule="auto"/>
        <w:ind w:left="0" w:right="141" w:firstLine="0"/>
        <w:jc w:val="both"/>
        <w:rPr>
          <w:rFonts w:ascii="Palatino Linotype" w:eastAsiaTheme="minorHAnsi" w:hAnsi="Palatino Linotype" w:cs="Tahoma"/>
          <w:bCs/>
          <w:iCs/>
          <w:color w:val="000000" w:themeColor="text1"/>
          <w:sz w:val="24"/>
          <w:lang w:val="es-ES" w:eastAsia="en-US"/>
        </w:rPr>
      </w:pPr>
      <w:r w:rsidRPr="00386289">
        <w:rPr>
          <w:rFonts w:ascii="Palatino Linotype" w:eastAsiaTheme="minorHAnsi" w:hAnsi="Palatino Linotype" w:cs="Tahoma"/>
          <w:bCs/>
          <w:iCs/>
          <w:color w:val="000000" w:themeColor="text1"/>
          <w:sz w:val="24"/>
          <w:lang w:val="es-ES" w:eastAsia="en-US"/>
        </w:rPr>
        <w:t>De tal forma que, con la información proporcionada y al haberse atendido con ello en su totalidad la información, se debe tener por colmado el requerimiento de información</w:t>
      </w:r>
      <w:r w:rsidR="00C048A8" w:rsidRPr="00386289">
        <w:rPr>
          <w:rFonts w:ascii="Palatino Linotype" w:eastAsiaTheme="minorHAnsi" w:hAnsi="Palatino Linotype" w:cs="Tahoma"/>
          <w:bCs/>
          <w:iCs/>
          <w:color w:val="000000" w:themeColor="text1"/>
          <w:sz w:val="24"/>
          <w:lang w:val="es-ES" w:eastAsia="en-US"/>
        </w:rPr>
        <w:t>.</w:t>
      </w:r>
    </w:p>
    <w:p w:rsidR="009642D3" w:rsidRPr="00386289" w:rsidRDefault="009642D3" w:rsidP="009642D3">
      <w:pPr>
        <w:pStyle w:val="Prrafodelista"/>
        <w:rPr>
          <w:rFonts w:ascii="Palatino Linotype" w:eastAsiaTheme="minorHAnsi" w:hAnsi="Palatino Linotype" w:cs="Tahoma"/>
          <w:bCs/>
          <w:iCs/>
          <w:color w:val="000000" w:themeColor="text1"/>
          <w:sz w:val="24"/>
          <w:lang w:val="es-ES" w:eastAsia="en-US"/>
        </w:rPr>
      </w:pPr>
    </w:p>
    <w:p w:rsidR="00D94593" w:rsidRPr="00386289" w:rsidRDefault="009642D3" w:rsidP="00D94593">
      <w:pPr>
        <w:pStyle w:val="Prrafodelista"/>
        <w:numPr>
          <w:ilvl w:val="0"/>
          <w:numId w:val="4"/>
        </w:numPr>
        <w:spacing w:line="360" w:lineRule="auto"/>
        <w:ind w:left="0" w:right="141" w:firstLine="0"/>
        <w:jc w:val="both"/>
        <w:rPr>
          <w:rFonts w:ascii="Palatino Linotype" w:hAnsi="Palatino Linotype"/>
          <w:color w:val="000000" w:themeColor="text1"/>
        </w:rPr>
      </w:pPr>
      <w:r w:rsidRPr="00386289">
        <w:rPr>
          <w:rFonts w:ascii="Palatino Linotype" w:eastAsiaTheme="minorHAnsi" w:hAnsi="Palatino Linotype" w:cs="Tahoma"/>
          <w:bCs/>
          <w:iCs/>
          <w:color w:val="000000" w:themeColor="text1"/>
          <w:sz w:val="24"/>
          <w:lang w:val="es-ES" w:eastAsia="en-US"/>
        </w:rPr>
        <w:t xml:space="preserve">Consecuentemente, conviene recordar que la Ley de Transparencia de la entidad, en su artículo 192, contempla la figura jurídica del sobreseimiento, y específicamente en su hipótesis contenida en la fracción V, refiere que se sobreseerá el asunto cuando el recurso de revisión quede sin materia por cualquier motivo; lo que en el presente caso ocurrió, puesto que </w:t>
      </w:r>
      <w:r w:rsidR="00D94593" w:rsidRPr="00386289">
        <w:rPr>
          <w:rFonts w:ascii="Palatino Linotype" w:eastAsiaTheme="minorHAnsi" w:hAnsi="Palatino Linotype" w:cs="Tahoma"/>
          <w:bCs/>
          <w:iCs/>
          <w:color w:val="000000" w:themeColor="text1"/>
          <w:sz w:val="24"/>
          <w:lang w:val="es-ES" w:eastAsia="en-US"/>
        </w:rPr>
        <w:t xml:space="preserve">la información remitida mediante </w:t>
      </w:r>
      <w:r w:rsidR="00D94593" w:rsidRPr="00386289">
        <w:rPr>
          <w:rFonts w:ascii="Palatino Linotype" w:eastAsiaTheme="minorHAnsi" w:hAnsi="Palatino Linotype" w:cs="Tahoma"/>
          <w:bCs/>
          <w:iCs/>
          <w:color w:val="000000" w:themeColor="text1"/>
          <w:sz w:val="24"/>
          <w:lang w:val="es-ES" w:eastAsia="en-US"/>
        </w:rPr>
        <w:lastRenderedPageBreak/>
        <w:t>informe justificado, subsanó la respuesta otorgada en un primer momento, ello debido a que si bien, en la respuesta inicial del Sujeto Obligado no anexo la totalidad de la información, se aprecia que en el informe justificado proporcionó la misma, modificando con ello el sentido de la presente resolución.</w:t>
      </w:r>
    </w:p>
    <w:p w:rsidR="00D94593" w:rsidRPr="00386289" w:rsidRDefault="00D94593" w:rsidP="00D94593">
      <w:pPr>
        <w:pStyle w:val="Prrafodelista"/>
        <w:rPr>
          <w:rFonts w:ascii="Palatino Linotype" w:hAnsi="Palatino Linotype"/>
          <w:color w:val="000000" w:themeColor="text1"/>
        </w:rPr>
      </w:pPr>
    </w:p>
    <w:p w:rsidR="009642D3" w:rsidRPr="00386289" w:rsidRDefault="00D94593" w:rsidP="00D94593">
      <w:pPr>
        <w:pStyle w:val="Prrafodelista"/>
        <w:numPr>
          <w:ilvl w:val="0"/>
          <w:numId w:val="4"/>
        </w:numPr>
        <w:spacing w:line="360" w:lineRule="auto"/>
        <w:ind w:left="0" w:right="49" w:firstLine="0"/>
        <w:jc w:val="both"/>
        <w:rPr>
          <w:rFonts w:ascii="Palatino Linotype" w:eastAsia="MS Mincho" w:hAnsi="Palatino Linotype"/>
          <w:b/>
          <w:color w:val="000000" w:themeColor="text1"/>
          <w:sz w:val="24"/>
          <w:lang w:eastAsia="es-ES_tradnl"/>
        </w:rPr>
      </w:pPr>
      <w:r w:rsidRPr="00386289">
        <w:rPr>
          <w:rFonts w:ascii="Palatino Linotype" w:hAnsi="Palatino Linotype"/>
          <w:color w:val="000000" w:themeColor="text1"/>
          <w:sz w:val="24"/>
        </w:rPr>
        <w:t xml:space="preserve">Señalado lo </w:t>
      </w:r>
      <w:r w:rsidR="009642D3" w:rsidRPr="00386289">
        <w:rPr>
          <w:rFonts w:ascii="Palatino Linotype" w:hAnsi="Palatino Linotype"/>
          <w:color w:val="000000" w:themeColor="text1"/>
          <w:sz w:val="24"/>
        </w:rPr>
        <w:t xml:space="preserve">anterior es importante precisar que </w:t>
      </w:r>
      <w:r w:rsidR="009642D3" w:rsidRPr="00386289">
        <w:rPr>
          <w:rFonts w:ascii="Palatino Linotype" w:eastAsia="MS Mincho" w:hAnsi="Palatino Linotype"/>
          <w:color w:val="000000" w:themeColor="text1"/>
          <w:sz w:val="24"/>
          <w:lang w:eastAsia="es-ES_tradnl"/>
        </w:rPr>
        <w:t xml:space="preserve">este órgano no está facultado para pronunciarse sobre la veracidad de la información que los Sujetos Obligados ponen a disposición de los solicitantes; situación que se aleja de las atribuciones de este Instituto máxime que al momento que ponen a disposición ésta, la misma tiene el carácter oficial y se presume veraz, tan es así que la misma queda registrada en el </w:t>
      </w:r>
      <w:r w:rsidR="0091576B" w:rsidRPr="00386289">
        <w:rPr>
          <w:rFonts w:ascii="Palatino Linotype" w:eastAsia="Palatino Linotype" w:hAnsi="Palatino Linotype" w:cs="Palatino Linotype"/>
          <w:color w:val="000000"/>
          <w:sz w:val="24"/>
        </w:rPr>
        <w:t>Sistema de Acceso, Rectificación, Cancelación y Oposición de Datos Personales del Estado de México (</w:t>
      </w:r>
      <w:r w:rsidR="0091576B" w:rsidRPr="00386289">
        <w:rPr>
          <w:rFonts w:ascii="Palatino Linotype" w:eastAsia="Palatino Linotype" w:hAnsi="Palatino Linotype" w:cs="Palatino Linotype"/>
          <w:b/>
          <w:color w:val="000000"/>
          <w:sz w:val="24"/>
        </w:rPr>
        <w:t>SARCOEM)</w:t>
      </w:r>
      <w:r w:rsidR="009642D3" w:rsidRPr="00386289">
        <w:rPr>
          <w:rFonts w:ascii="Palatino Linotype" w:eastAsia="MS Mincho" w:hAnsi="Palatino Linotype"/>
          <w:b/>
          <w:color w:val="000000" w:themeColor="text1"/>
          <w:sz w:val="24"/>
          <w:lang w:eastAsia="es-ES_tradnl"/>
        </w:rPr>
        <w:t>.</w:t>
      </w:r>
    </w:p>
    <w:p w:rsidR="009642D3" w:rsidRPr="00386289" w:rsidRDefault="009642D3" w:rsidP="009642D3">
      <w:pPr>
        <w:spacing w:line="360" w:lineRule="auto"/>
        <w:ind w:right="49"/>
        <w:contextualSpacing/>
        <w:jc w:val="both"/>
        <w:rPr>
          <w:rFonts w:ascii="Palatino Linotype" w:hAnsi="Palatino Linotype" w:cs="Arial"/>
          <w:color w:val="000000" w:themeColor="text1"/>
        </w:rPr>
      </w:pPr>
    </w:p>
    <w:p w:rsidR="009642D3" w:rsidRPr="00386289" w:rsidRDefault="009642D3" w:rsidP="00D94593">
      <w:pPr>
        <w:pStyle w:val="Prrafodelista"/>
        <w:numPr>
          <w:ilvl w:val="0"/>
          <w:numId w:val="4"/>
        </w:numPr>
        <w:spacing w:line="360" w:lineRule="auto"/>
        <w:ind w:left="0" w:right="49" w:firstLine="0"/>
        <w:jc w:val="both"/>
        <w:rPr>
          <w:rFonts w:ascii="Palatino Linotype" w:hAnsi="Palatino Linotype" w:cs="Arial"/>
          <w:color w:val="000000" w:themeColor="text1"/>
          <w:sz w:val="24"/>
        </w:rPr>
      </w:pPr>
      <w:r w:rsidRPr="00386289">
        <w:rPr>
          <w:rFonts w:ascii="Palatino Linotype" w:eastAsia="MS Mincho" w:hAnsi="Palatino Linotype"/>
          <w:color w:val="000000" w:themeColor="text1"/>
          <w:sz w:val="24"/>
          <w:lang w:eastAsia="es-ES_tradnl"/>
        </w:rPr>
        <w:t>Sirviendo de apoyo a lo anterior por analogía, el criterio 31-10 emitido por el ahora Instituto Nacional de Transparencia, Acceso a la Información y Protección de Datos Personales, que a la letra dice:</w:t>
      </w:r>
    </w:p>
    <w:p w:rsidR="009642D3" w:rsidRPr="00386289" w:rsidRDefault="009642D3" w:rsidP="009642D3">
      <w:pPr>
        <w:spacing w:line="360" w:lineRule="auto"/>
        <w:ind w:right="49"/>
        <w:contextualSpacing/>
        <w:jc w:val="both"/>
        <w:rPr>
          <w:rFonts w:ascii="Palatino Linotype" w:hAnsi="Palatino Linotype" w:cs="Arial"/>
          <w:color w:val="000000" w:themeColor="text1"/>
        </w:rPr>
      </w:pPr>
    </w:p>
    <w:p w:rsidR="009642D3" w:rsidRPr="00386289" w:rsidRDefault="009642D3" w:rsidP="009642D3">
      <w:pPr>
        <w:widowControl w:val="0"/>
        <w:autoSpaceDE w:val="0"/>
        <w:autoSpaceDN w:val="0"/>
        <w:adjustRightInd w:val="0"/>
        <w:spacing w:line="360" w:lineRule="auto"/>
        <w:ind w:left="567" w:right="567"/>
        <w:jc w:val="both"/>
        <w:rPr>
          <w:rFonts w:ascii="Palatino Linotype" w:eastAsia="MS Mincho" w:hAnsi="Palatino Linotype"/>
          <w:i/>
          <w:color w:val="000000" w:themeColor="text1"/>
          <w:sz w:val="22"/>
          <w:lang w:eastAsia="es-ES_tradnl"/>
        </w:rPr>
      </w:pPr>
      <w:r w:rsidRPr="00386289">
        <w:rPr>
          <w:rFonts w:ascii="Palatino Linotype" w:eastAsia="MS Mincho" w:hAnsi="Palatino Linotype"/>
          <w:b/>
          <w:i/>
          <w:color w:val="000000" w:themeColor="text1"/>
          <w:sz w:val="22"/>
          <w:lang w:eastAsia="es-ES_tradnl"/>
        </w:rPr>
        <w:t xml:space="preserve">“El Instituto Federal de Acceso a la Información y Protección de Datos no cuenta con facultades para pronunciarse respecto de la veracidad de los documentos proporcionados por los sujetos obligados. </w:t>
      </w:r>
      <w:r w:rsidRPr="00386289">
        <w:rPr>
          <w:rFonts w:ascii="Palatino Linotype" w:eastAsia="MS Mincho" w:hAnsi="Palatino Linotype"/>
          <w:i/>
          <w:color w:val="000000" w:themeColor="text1"/>
          <w:sz w:val="22"/>
          <w:lang w:eastAsia="es-ES_tradnl"/>
        </w:rPr>
        <w:t xml:space="preserve">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w:t>
      </w:r>
      <w:r w:rsidRPr="00386289">
        <w:rPr>
          <w:rFonts w:ascii="Palatino Linotype" w:eastAsia="MS Mincho" w:hAnsi="Palatino Linotype"/>
          <w:i/>
          <w:color w:val="000000" w:themeColor="text1"/>
          <w:sz w:val="22"/>
          <w:lang w:eastAsia="es-ES_tradnl"/>
        </w:rPr>
        <w:lastRenderedPageBreak/>
        <w:t>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
    <w:p w:rsidR="0028463B" w:rsidRPr="00386289" w:rsidRDefault="0028463B" w:rsidP="0028463B">
      <w:pPr>
        <w:widowControl w:val="0"/>
        <w:autoSpaceDE w:val="0"/>
        <w:autoSpaceDN w:val="0"/>
        <w:adjustRightInd w:val="0"/>
        <w:spacing w:line="360" w:lineRule="auto"/>
        <w:ind w:right="567"/>
        <w:jc w:val="both"/>
        <w:rPr>
          <w:rFonts w:ascii="Palatino Linotype" w:eastAsia="MS Mincho" w:hAnsi="Palatino Linotype"/>
          <w:i/>
          <w:color w:val="000000" w:themeColor="text1"/>
          <w:lang w:eastAsia="es-ES_tradnl"/>
        </w:rPr>
      </w:pPr>
    </w:p>
    <w:p w:rsidR="009642D3" w:rsidRPr="00386289" w:rsidRDefault="009642D3" w:rsidP="00D94593">
      <w:pPr>
        <w:pStyle w:val="Prrafodelista"/>
        <w:widowControl w:val="0"/>
        <w:numPr>
          <w:ilvl w:val="0"/>
          <w:numId w:val="4"/>
        </w:numPr>
        <w:autoSpaceDE w:val="0"/>
        <w:autoSpaceDN w:val="0"/>
        <w:adjustRightInd w:val="0"/>
        <w:spacing w:line="360" w:lineRule="auto"/>
        <w:ind w:left="0" w:firstLine="0"/>
        <w:jc w:val="both"/>
        <w:rPr>
          <w:rFonts w:ascii="Palatino Linotype" w:eastAsia="MS Mincho" w:hAnsi="Palatino Linotype"/>
          <w:color w:val="000000" w:themeColor="text1"/>
          <w:sz w:val="24"/>
          <w:lang w:eastAsia="es-ES_tradnl"/>
        </w:rPr>
      </w:pPr>
      <w:r w:rsidRPr="00386289">
        <w:rPr>
          <w:rFonts w:ascii="Palatino Linotype" w:eastAsia="MS Mincho" w:hAnsi="Palatino Linotype"/>
          <w:color w:val="000000" w:themeColor="text1"/>
          <w:sz w:val="24"/>
          <w:lang w:eastAsia="es-ES_tradnl"/>
        </w:rPr>
        <w:t xml:space="preserve">Numerales que compelen al </w:t>
      </w:r>
      <w:r w:rsidRPr="00386289">
        <w:rPr>
          <w:rFonts w:ascii="Palatino Linotype" w:eastAsia="MS Mincho" w:hAnsi="Palatino Linotype"/>
          <w:b/>
          <w:color w:val="000000" w:themeColor="text1"/>
          <w:sz w:val="24"/>
          <w:lang w:eastAsia="es-ES_tradnl"/>
        </w:rPr>
        <w:t>SUJETO OBLIGADO</w:t>
      </w:r>
      <w:r w:rsidRPr="00386289">
        <w:rPr>
          <w:rFonts w:ascii="Palatino Linotype" w:eastAsia="MS Mincho" w:hAnsi="Palatino Linotype"/>
          <w:color w:val="000000" w:themeColor="text1"/>
          <w:sz w:val="24"/>
          <w:lang w:eastAsia="es-ES_tradnl"/>
        </w:rPr>
        <w:t xml:space="preserve"> a apegarse en todo momento a los criterios ya expuestos, impidiendo a este Órgano Colegiado cuestionar la veracidad de la información.</w:t>
      </w:r>
    </w:p>
    <w:p w:rsidR="009642D3" w:rsidRPr="00386289" w:rsidRDefault="009642D3" w:rsidP="009642D3">
      <w:pPr>
        <w:widowControl w:val="0"/>
        <w:autoSpaceDE w:val="0"/>
        <w:autoSpaceDN w:val="0"/>
        <w:adjustRightInd w:val="0"/>
        <w:spacing w:line="360" w:lineRule="auto"/>
        <w:contextualSpacing/>
        <w:jc w:val="both"/>
        <w:rPr>
          <w:rFonts w:ascii="Palatino Linotype" w:eastAsia="MS Mincho" w:hAnsi="Palatino Linotype"/>
          <w:color w:val="000000" w:themeColor="text1"/>
          <w:lang w:eastAsia="es-ES_tradnl"/>
        </w:rPr>
      </w:pPr>
    </w:p>
    <w:p w:rsidR="009642D3" w:rsidRPr="00386289" w:rsidRDefault="009642D3" w:rsidP="00D94593">
      <w:pPr>
        <w:pStyle w:val="Prrafodelista"/>
        <w:numPr>
          <w:ilvl w:val="0"/>
          <w:numId w:val="4"/>
        </w:numPr>
        <w:spacing w:line="360" w:lineRule="auto"/>
        <w:ind w:left="0" w:right="49" w:firstLine="0"/>
        <w:jc w:val="both"/>
        <w:rPr>
          <w:rFonts w:ascii="Palatino Linotype" w:hAnsi="Palatino Linotype"/>
          <w:color w:val="000000" w:themeColor="text1"/>
          <w:sz w:val="24"/>
          <w:lang w:val="es-ES"/>
        </w:rPr>
      </w:pPr>
      <w:r w:rsidRPr="00386289">
        <w:rPr>
          <w:rFonts w:ascii="Palatino Linotype" w:hAnsi="Palatino Linotype"/>
          <w:color w:val="000000" w:themeColor="text1"/>
          <w:sz w:val="24"/>
          <w:lang w:val="es-ES"/>
        </w:rPr>
        <w:t xml:space="preserve">En conclusión, toda vez que el Sujeto Obligado colmó </w:t>
      </w:r>
      <w:r w:rsidR="004A6CAE" w:rsidRPr="00386289">
        <w:rPr>
          <w:rFonts w:ascii="Palatino Linotype" w:hAnsi="Palatino Linotype"/>
          <w:color w:val="000000" w:themeColor="text1"/>
          <w:sz w:val="24"/>
          <w:lang w:val="es-ES"/>
        </w:rPr>
        <w:t>e</w:t>
      </w:r>
      <w:r w:rsidRPr="00386289">
        <w:rPr>
          <w:rFonts w:ascii="Palatino Linotype" w:hAnsi="Palatino Linotype"/>
          <w:color w:val="000000" w:themeColor="text1"/>
          <w:sz w:val="24"/>
          <w:lang w:val="es-ES"/>
        </w:rPr>
        <w:t xml:space="preserve">l requerimiento del Recurrente plasmado en la solicitud de información </w:t>
      </w:r>
      <w:r w:rsidR="004A6CAE" w:rsidRPr="00386289">
        <w:rPr>
          <w:rFonts w:ascii="Palatino Linotype" w:eastAsia="Palatino Linotype" w:hAnsi="Palatino Linotype" w:cs="Palatino Linotype"/>
          <w:b/>
          <w:color w:val="000000"/>
        </w:rPr>
        <w:t>00134/ISSEMYM/AD/2024</w:t>
      </w:r>
      <w:r w:rsidRPr="00386289">
        <w:rPr>
          <w:rFonts w:ascii="Palatino Linotype" w:hAnsi="Palatino Linotype"/>
          <w:color w:val="000000" w:themeColor="text1"/>
          <w:sz w:val="24"/>
          <w:lang w:val="es-ES_tradnl"/>
        </w:rPr>
        <w:t>,</w:t>
      </w:r>
      <w:r w:rsidRPr="00386289">
        <w:rPr>
          <w:rFonts w:ascii="Palatino Linotype" w:hAnsi="Palatino Linotype"/>
          <w:bCs/>
          <w:color w:val="000000" w:themeColor="text1"/>
          <w:sz w:val="24"/>
          <w:lang w:val="es-ES_tradnl"/>
        </w:rPr>
        <w:t xml:space="preserve"> </w:t>
      </w:r>
      <w:r w:rsidRPr="00386289">
        <w:rPr>
          <w:rFonts w:ascii="Palatino Linotype" w:hAnsi="Palatino Linotype"/>
          <w:color w:val="000000" w:themeColor="text1"/>
          <w:sz w:val="24"/>
          <w:lang w:val="es-ES"/>
        </w:rPr>
        <w:t>con la rendición del Informe Justificado; por ende, se considera que no existen ya extremos legales para la procedencia del recurso de revisión derivado, al haber quedado sin materia, lo que conlleva a decretar el sobreseimiento. Es así como se advierte que en el caso en concreto se actualiza la causal de sobreseimiento prevista en la fracción III, del artículo 192, de la Ley de Transparencia y Acceso a la Información Pública del Estado de México y Municipio, que a la letra establece:</w:t>
      </w:r>
    </w:p>
    <w:p w:rsidR="009642D3" w:rsidRPr="00386289" w:rsidRDefault="009642D3" w:rsidP="009642D3">
      <w:pPr>
        <w:spacing w:line="360" w:lineRule="auto"/>
        <w:ind w:right="49"/>
        <w:contextualSpacing/>
        <w:jc w:val="both"/>
        <w:rPr>
          <w:rFonts w:ascii="Palatino Linotype" w:hAnsi="Palatino Linotype"/>
          <w:color w:val="000000" w:themeColor="text1"/>
          <w:lang w:val="es-ES_tradnl"/>
        </w:rPr>
      </w:pPr>
    </w:p>
    <w:p w:rsidR="00A46883" w:rsidRPr="00386289" w:rsidRDefault="00A46883" w:rsidP="00A46883">
      <w:pPr>
        <w:spacing w:line="276" w:lineRule="auto"/>
        <w:ind w:left="851" w:right="1105"/>
        <w:contextualSpacing/>
        <w:jc w:val="both"/>
        <w:rPr>
          <w:rFonts w:ascii="Palatino Linotype" w:hAnsi="Palatino Linotype"/>
          <w:i/>
          <w:color w:val="000000" w:themeColor="text1"/>
          <w:sz w:val="22"/>
          <w:szCs w:val="22"/>
          <w:lang w:val="es-ES_tradnl"/>
        </w:rPr>
      </w:pPr>
      <w:r w:rsidRPr="00386289">
        <w:rPr>
          <w:rFonts w:ascii="Palatino Linotype" w:hAnsi="Palatino Linotype"/>
          <w:b/>
          <w:i/>
          <w:color w:val="000000" w:themeColor="text1"/>
          <w:sz w:val="22"/>
          <w:szCs w:val="22"/>
          <w:lang w:val="es-ES_tradnl"/>
        </w:rPr>
        <w:t xml:space="preserve">Artículo 129. </w:t>
      </w:r>
      <w:r w:rsidRPr="00386289">
        <w:rPr>
          <w:rFonts w:ascii="Palatino Linotype" w:hAnsi="Palatino Linotype"/>
          <w:i/>
          <w:color w:val="000000" w:themeColor="text1"/>
          <w:sz w:val="22"/>
          <w:szCs w:val="22"/>
          <w:lang w:val="es-ES_tradnl"/>
        </w:rPr>
        <w:t>El recurso de revisión procederá en los supuestos siguientes:</w:t>
      </w:r>
    </w:p>
    <w:p w:rsidR="00A46883" w:rsidRPr="00386289" w:rsidRDefault="00A46883" w:rsidP="00A46883">
      <w:pPr>
        <w:spacing w:line="276" w:lineRule="auto"/>
        <w:ind w:left="851" w:right="1105"/>
        <w:contextualSpacing/>
        <w:jc w:val="both"/>
        <w:rPr>
          <w:rFonts w:ascii="Palatino Linotype" w:hAnsi="Palatino Linotype"/>
          <w:i/>
          <w:color w:val="000000" w:themeColor="text1"/>
          <w:sz w:val="22"/>
          <w:szCs w:val="22"/>
          <w:lang w:val="es-ES"/>
        </w:rPr>
      </w:pPr>
      <w:r w:rsidRPr="00386289">
        <w:rPr>
          <w:rFonts w:ascii="Palatino Linotype" w:hAnsi="Palatino Linotype"/>
          <w:i/>
          <w:color w:val="000000" w:themeColor="text1"/>
          <w:sz w:val="22"/>
          <w:szCs w:val="22"/>
          <w:lang w:val="es-ES"/>
        </w:rPr>
        <w:t xml:space="preserve"> […]</w:t>
      </w:r>
    </w:p>
    <w:p w:rsidR="00A46883" w:rsidRPr="00386289" w:rsidRDefault="00A46883" w:rsidP="00A46883">
      <w:pPr>
        <w:spacing w:line="276" w:lineRule="auto"/>
        <w:ind w:left="851" w:right="1105"/>
        <w:contextualSpacing/>
        <w:jc w:val="both"/>
        <w:rPr>
          <w:rFonts w:ascii="Palatino Linotype" w:hAnsi="Palatino Linotype"/>
          <w:b/>
          <w:i/>
          <w:color w:val="000000" w:themeColor="text1"/>
          <w:sz w:val="22"/>
          <w:szCs w:val="22"/>
          <w:lang w:val="es-ES_tradnl"/>
        </w:rPr>
      </w:pPr>
      <w:r w:rsidRPr="00386289">
        <w:rPr>
          <w:rFonts w:ascii="Palatino Linotype" w:hAnsi="Palatino Linotype"/>
          <w:b/>
          <w:i/>
          <w:color w:val="000000" w:themeColor="text1"/>
          <w:sz w:val="22"/>
          <w:szCs w:val="22"/>
          <w:lang w:val="es-ES_tradnl"/>
        </w:rPr>
        <w:t>II. Se declare la inexistencia de los datos personales;</w:t>
      </w:r>
    </w:p>
    <w:p w:rsidR="009642D3" w:rsidRPr="00386289" w:rsidRDefault="009642D3" w:rsidP="009642D3">
      <w:pPr>
        <w:spacing w:line="360" w:lineRule="auto"/>
        <w:ind w:right="49"/>
        <w:contextualSpacing/>
        <w:jc w:val="both"/>
        <w:rPr>
          <w:rFonts w:ascii="Palatino Linotype" w:hAnsi="Palatino Linotype"/>
          <w:i/>
          <w:color w:val="000000" w:themeColor="text1"/>
          <w:lang w:val="es-ES_tradnl"/>
        </w:rPr>
      </w:pPr>
    </w:p>
    <w:p w:rsidR="009642D3" w:rsidRPr="00386289" w:rsidRDefault="009642D3" w:rsidP="00D94593">
      <w:pPr>
        <w:pStyle w:val="Prrafodelista"/>
        <w:numPr>
          <w:ilvl w:val="0"/>
          <w:numId w:val="4"/>
        </w:numPr>
        <w:spacing w:line="360" w:lineRule="auto"/>
        <w:ind w:left="0" w:right="49" w:firstLine="0"/>
        <w:jc w:val="both"/>
        <w:rPr>
          <w:rFonts w:ascii="Palatino Linotype" w:eastAsia="Palatino Linotype" w:hAnsi="Palatino Linotype" w:cs="Palatino Linotype"/>
          <w:b/>
          <w:color w:val="000000" w:themeColor="text1"/>
          <w:sz w:val="24"/>
        </w:rPr>
      </w:pPr>
      <w:r w:rsidRPr="00386289">
        <w:rPr>
          <w:rFonts w:ascii="Palatino Linotype" w:hAnsi="Palatino Linotype"/>
          <w:color w:val="000000" w:themeColor="text1"/>
          <w:sz w:val="24"/>
          <w:lang w:val="es-ES"/>
        </w:rPr>
        <w:lastRenderedPageBreak/>
        <w:t xml:space="preserve">Lo anterior es así, ya que el Pleno ha determinado que cuando el Sujeto Obligado mediante entrega, complemento o </w:t>
      </w:r>
      <w:r w:rsidR="004A6CAE" w:rsidRPr="00386289">
        <w:rPr>
          <w:rFonts w:ascii="Palatino Linotype" w:hAnsi="Palatino Linotype"/>
          <w:color w:val="000000" w:themeColor="text1"/>
          <w:sz w:val="24"/>
          <w:lang w:val="es-ES"/>
        </w:rPr>
        <w:t xml:space="preserve">es preciso en </w:t>
      </w:r>
      <w:r w:rsidRPr="00386289">
        <w:rPr>
          <w:rFonts w:ascii="Palatino Linotype" w:hAnsi="Palatino Linotype"/>
          <w:color w:val="000000" w:themeColor="text1"/>
          <w:sz w:val="24"/>
          <w:lang w:val="es-ES"/>
        </w:rPr>
        <w:t>proporciona</w:t>
      </w:r>
      <w:r w:rsidR="004A6CAE" w:rsidRPr="00386289">
        <w:rPr>
          <w:rFonts w:ascii="Palatino Linotype" w:hAnsi="Palatino Linotype"/>
          <w:color w:val="000000" w:themeColor="text1"/>
          <w:sz w:val="24"/>
          <w:lang w:val="es-ES"/>
        </w:rPr>
        <w:t>r</w:t>
      </w:r>
      <w:r w:rsidRPr="00386289">
        <w:rPr>
          <w:rFonts w:ascii="Palatino Linotype" w:hAnsi="Palatino Linotype"/>
          <w:color w:val="000000" w:themeColor="text1"/>
          <w:sz w:val="24"/>
          <w:lang w:val="es-ES"/>
        </w:rPr>
        <w:t xml:space="preserve"> la respuesta a la solicitud de información planteada, y la misma es coincidente con lo requerido por el solicitante, debe entenderse que este rubro queda sin materia al haber colmado el requerimiento inicial planteado. Como consecuencia de lo anterior, es dable establecer el sobreseimiento total por lo que respecta al recurso de revisión </w:t>
      </w:r>
      <w:r w:rsidRPr="00386289">
        <w:rPr>
          <w:rFonts w:ascii="Palatino Linotype" w:eastAsia="Palatino Linotype" w:hAnsi="Palatino Linotype" w:cs="Palatino Linotype"/>
          <w:b/>
          <w:color w:val="000000" w:themeColor="text1"/>
          <w:sz w:val="24"/>
        </w:rPr>
        <w:t>0</w:t>
      </w:r>
      <w:r w:rsidR="004A6CAE" w:rsidRPr="00386289">
        <w:rPr>
          <w:rFonts w:ascii="Palatino Linotype" w:eastAsia="Palatino Linotype" w:hAnsi="Palatino Linotype" w:cs="Palatino Linotype"/>
          <w:b/>
          <w:color w:val="000000" w:themeColor="text1"/>
          <w:sz w:val="24"/>
        </w:rPr>
        <w:t>1</w:t>
      </w:r>
      <w:r w:rsidRPr="00386289">
        <w:rPr>
          <w:rFonts w:ascii="Palatino Linotype" w:eastAsia="Palatino Linotype" w:hAnsi="Palatino Linotype" w:cs="Palatino Linotype"/>
          <w:b/>
          <w:color w:val="000000" w:themeColor="text1"/>
          <w:sz w:val="24"/>
        </w:rPr>
        <w:t>4</w:t>
      </w:r>
      <w:r w:rsidR="004A6CAE" w:rsidRPr="00386289">
        <w:rPr>
          <w:rFonts w:ascii="Palatino Linotype" w:eastAsia="Palatino Linotype" w:hAnsi="Palatino Linotype" w:cs="Palatino Linotype"/>
          <w:b/>
          <w:color w:val="000000" w:themeColor="text1"/>
          <w:sz w:val="24"/>
        </w:rPr>
        <w:t>28</w:t>
      </w:r>
      <w:r w:rsidRPr="00386289">
        <w:rPr>
          <w:rFonts w:ascii="Palatino Linotype" w:eastAsia="Palatino Linotype" w:hAnsi="Palatino Linotype" w:cs="Palatino Linotype"/>
          <w:b/>
          <w:color w:val="000000" w:themeColor="text1"/>
          <w:sz w:val="24"/>
        </w:rPr>
        <w:t>/INFOEM/</w:t>
      </w:r>
      <w:r w:rsidR="004A6CAE" w:rsidRPr="00386289">
        <w:rPr>
          <w:rFonts w:ascii="Palatino Linotype" w:eastAsia="Palatino Linotype" w:hAnsi="Palatino Linotype" w:cs="Palatino Linotype"/>
          <w:b/>
          <w:color w:val="000000" w:themeColor="text1"/>
          <w:sz w:val="24"/>
        </w:rPr>
        <w:t>AD</w:t>
      </w:r>
      <w:r w:rsidRPr="00386289">
        <w:rPr>
          <w:rFonts w:ascii="Palatino Linotype" w:eastAsia="Palatino Linotype" w:hAnsi="Palatino Linotype" w:cs="Palatino Linotype"/>
          <w:b/>
          <w:color w:val="000000" w:themeColor="text1"/>
          <w:sz w:val="24"/>
        </w:rPr>
        <w:t>/RR/2024.</w:t>
      </w:r>
    </w:p>
    <w:p w:rsidR="009642D3" w:rsidRPr="00386289" w:rsidRDefault="009642D3" w:rsidP="009642D3">
      <w:pPr>
        <w:spacing w:line="360" w:lineRule="auto"/>
        <w:contextualSpacing/>
        <w:jc w:val="both"/>
        <w:rPr>
          <w:rFonts w:ascii="Palatino Linotype" w:eastAsia="Calibri" w:hAnsi="Palatino Linotype"/>
          <w:color w:val="FF0000"/>
        </w:rPr>
      </w:pPr>
    </w:p>
    <w:p w:rsidR="009642D3" w:rsidRPr="00386289" w:rsidRDefault="009642D3" w:rsidP="00D94593">
      <w:pPr>
        <w:pStyle w:val="Prrafodelista"/>
        <w:numPr>
          <w:ilvl w:val="0"/>
          <w:numId w:val="4"/>
        </w:numPr>
        <w:spacing w:line="360" w:lineRule="auto"/>
        <w:ind w:left="0" w:firstLine="0"/>
        <w:jc w:val="both"/>
        <w:rPr>
          <w:rFonts w:ascii="Palatino Linotype" w:eastAsia="Calibri" w:hAnsi="Palatino Linotype"/>
          <w:color w:val="000000" w:themeColor="text1"/>
          <w:sz w:val="24"/>
        </w:rPr>
      </w:pPr>
      <w:r w:rsidRPr="00386289">
        <w:rPr>
          <w:rFonts w:ascii="Palatino Linotype" w:eastAsia="Calibri" w:hAnsi="Palatino Linotype"/>
          <w:color w:val="000000" w:themeColor="text1"/>
          <w:sz w:val="24"/>
          <w:lang w:val="es-CO"/>
        </w:rPr>
        <w:t xml:space="preserve">Bajo ese tenor y en términos del artículo 186 fracción I este Pleno determina el </w:t>
      </w:r>
      <w:r w:rsidRPr="00386289">
        <w:rPr>
          <w:rFonts w:ascii="Palatino Linotype" w:eastAsia="Calibri" w:hAnsi="Palatino Linotype"/>
          <w:b/>
          <w:color w:val="000000" w:themeColor="text1"/>
          <w:sz w:val="24"/>
          <w:lang w:val="es-CO"/>
        </w:rPr>
        <w:t xml:space="preserve">SOBRESEIMIENTO </w:t>
      </w:r>
      <w:r w:rsidRPr="00386289">
        <w:rPr>
          <w:rFonts w:ascii="Palatino Linotype" w:eastAsia="Calibri" w:hAnsi="Palatino Linotype"/>
          <w:color w:val="000000" w:themeColor="text1"/>
          <w:sz w:val="24"/>
          <w:lang w:val="es-CO"/>
        </w:rPr>
        <w:t>del presente recurso de revisión, toda vez que la afectación al derecho de acceso a la información pública establecido constitucionalmente a favor del particular, ha sido resarcida.</w:t>
      </w:r>
    </w:p>
    <w:p w:rsidR="009642D3" w:rsidRPr="00386289" w:rsidRDefault="009642D3" w:rsidP="009642D3"/>
    <w:p w:rsidR="009642D3" w:rsidRPr="00386289" w:rsidRDefault="009642D3" w:rsidP="009642D3"/>
    <w:p w:rsidR="009642D3" w:rsidRPr="00386289" w:rsidRDefault="009642D3" w:rsidP="009642D3"/>
    <w:p w:rsidR="009642D3" w:rsidRPr="00386289" w:rsidRDefault="009642D3" w:rsidP="009642D3">
      <w:pPr>
        <w:spacing w:line="360" w:lineRule="auto"/>
        <w:ind w:right="-28"/>
        <w:jc w:val="center"/>
        <w:rPr>
          <w:rFonts w:ascii="Palatino Linotype" w:eastAsia="Calibri" w:hAnsi="Palatino Linotype" w:cs="Tahoma"/>
          <w:b/>
          <w:bCs/>
        </w:rPr>
      </w:pPr>
      <w:r w:rsidRPr="00386289">
        <w:rPr>
          <w:rFonts w:ascii="Palatino Linotype" w:eastAsia="Calibri" w:hAnsi="Palatino Linotype" w:cs="Tahoma"/>
          <w:b/>
          <w:bCs/>
        </w:rPr>
        <w:t>R E S U E L V E:</w:t>
      </w:r>
    </w:p>
    <w:p w:rsidR="009642D3" w:rsidRPr="00386289" w:rsidRDefault="009642D3" w:rsidP="009642D3">
      <w:pPr>
        <w:spacing w:line="360" w:lineRule="auto"/>
        <w:rPr>
          <w:rFonts w:ascii="Palatino Linotype" w:hAnsi="Palatino Linotype"/>
          <w:lang w:val="es-ES" w:eastAsia="es-ES_tradnl"/>
        </w:rPr>
      </w:pPr>
    </w:p>
    <w:p w:rsidR="00A46883" w:rsidRPr="00386289" w:rsidRDefault="009642D3" w:rsidP="00A46883">
      <w:pPr>
        <w:pBdr>
          <w:top w:val="nil"/>
          <w:left w:val="nil"/>
          <w:bottom w:val="nil"/>
          <w:right w:val="nil"/>
          <w:between w:val="nil"/>
        </w:pBdr>
        <w:spacing w:line="360" w:lineRule="auto"/>
        <w:jc w:val="both"/>
        <w:rPr>
          <w:rFonts w:ascii="Palatino Linotype" w:eastAsia="Palatino Linotype" w:hAnsi="Palatino Linotype" w:cs="Palatino Linotype"/>
          <w:color w:val="000000"/>
        </w:rPr>
      </w:pPr>
      <w:r w:rsidRPr="00386289">
        <w:rPr>
          <w:rFonts w:ascii="Palatino Linotype" w:eastAsia="Palatino Linotype" w:hAnsi="Palatino Linotype" w:cs="Palatino Linotype"/>
          <w:b/>
          <w:color w:val="000000"/>
        </w:rPr>
        <w:t xml:space="preserve">PRIMERO. </w:t>
      </w:r>
      <w:r w:rsidR="00A46883" w:rsidRPr="00386289">
        <w:rPr>
          <w:rFonts w:ascii="Palatino Linotype" w:eastAsia="Palatino Linotype" w:hAnsi="Palatino Linotype" w:cs="Palatino Linotype"/>
          <w:color w:val="000000"/>
        </w:rPr>
        <w:t xml:space="preserve">Se </w:t>
      </w:r>
      <w:r w:rsidR="00A46883" w:rsidRPr="00386289">
        <w:rPr>
          <w:rFonts w:ascii="Palatino Linotype" w:eastAsia="Palatino Linotype" w:hAnsi="Palatino Linotype" w:cs="Palatino Linotype"/>
          <w:b/>
          <w:color w:val="000000"/>
        </w:rPr>
        <w:t>SOBRESEE</w:t>
      </w:r>
      <w:r w:rsidR="00A46883" w:rsidRPr="00386289">
        <w:rPr>
          <w:rFonts w:ascii="Palatino Linotype" w:eastAsia="Palatino Linotype" w:hAnsi="Palatino Linotype" w:cs="Palatino Linotype"/>
          <w:color w:val="000000"/>
        </w:rPr>
        <w:t xml:space="preserve"> el Recurso de Revisión número </w:t>
      </w:r>
      <w:r w:rsidR="00A46883" w:rsidRPr="00386289">
        <w:rPr>
          <w:rFonts w:ascii="Palatino Linotype" w:eastAsia="Palatino Linotype" w:hAnsi="Palatino Linotype" w:cs="Palatino Linotype"/>
          <w:b/>
          <w:color w:val="000000"/>
        </w:rPr>
        <w:t>01428/INFOEM/AD/RR/2024</w:t>
      </w:r>
      <w:r w:rsidR="00A46883" w:rsidRPr="00386289">
        <w:rPr>
          <w:rFonts w:ascii="Palatino Linotype" w:eastAsia="Palatino Linotype" w:hAnsi="Palatino Linotype" w:cs="Palatino Linotype"/>
          <w:color w:val="000000"/>
        </w:rPr>
        <w:t xml:space="preserve">, conforme al artículo 138 fracción IV, 139 fracción IV de la </w:t>
      </w:r>
      <w:r w:rsidR="00A46883" w:rsidRPr="00386289">
        <w:rPr>
          <w:rFonts w:ascii="Palatino Linotype" w:hAnsi="Palatino Linotype" w:cs="Arial"/>
        </w:rPr>
        <w:t>Ley de Protección de Datos Personales en Posesión de Sujetos Obligados del Estado de México y Municipios</w:t>
      </w:r>
      <w:r w:rsidR="00A46883" w:rsidRPr="00386289">
        <w:rPr>
          <w:rFonts w:ascii="Palatino Linotype" w:eastAsia="Palatino Linotype" w:hAnsi="Palatino Linotype" w:cs="Palatino Linotype"/>
          <w:color w:val="000000"/>
        </w:rPr>
        <w:t xml:space="preserve">, porque al modificar la respuesta, el Recurso de Revisión quedó sin materia en términos del  </w:t>
      </w:r>
      <w:r w:rsidR="00A46883" w:rsidRPr="00386289">
        <w:rPr>
          <w:rFonts w:ascii="Palatino Linotype" w:eastAsia="Palatino Linotype" w:hAnsi="Palatino Linotype" w:cs="Palatino Linotype"/>
          <w:b/>
          <w:color w:val="000000"/>
        </w:rPr>
        <w:t>Considerando CUARTO</w:t>
      </w:r>
      <w:r w:rsidR="00A46883" w:rsidRPr="00386289">
        <w:rPr>
          <w:rFonts w:ascii="Palatino Linotype" w:eastAsia="Palatino Linotype" w:hAnsi="Palatino Linotype" w:cs="Palatino Linotype"/>
          <w:color w:val="000000"/>
        </w:rPr>
        <w:t xml:space="preserve"> de la presente Resolución.</w:t>
      </w:r>
    </w:p>
    <w:p w:rsidR="009642D3" w:rsidRPr="00386289" w:rsidRDefault="009642D3" w:rsidP="009642D3">
      <w:pPr>
        <w:pBdr>
          <w:top w:val="nil"/>
          <w:left w:val="nil"/>
          <w:bottom w:val="nil"/>
          <w:right w:val="nil"/>
          <w:between w:val="nil"/>
        </w:pBdr>
        <w:spacing w:line="360" w:lineRule="auto"/>
        <w:jc w:val="both"/>
        <w:rPr>
          <w:rFonts w:ascii="Palatino Linotype" w:eastAsia="Palatino Linotype" w:hAnsi="Palatino Linotype" w:cs="Palatino Linotype"/>
          <w:color w:val="000000"/>
        </w:rPr>
      </w:pPr>
    </w:p>
    <w:p w:rsidR="009642D3" w:rsidRPr="00386289" w:rsidRDefault="009642D3" w:rsidP="009642D3">
      <w:pPr>
        <w:spacing w:line="360" w:lineRule="auto"/>
        <w:contextualSpacing/>
        <w:jc w:val="both"/>
        <w:rPr>
          <w:rFonts w:ascii="Palatino Linotype" w:eastAsia="Palatino Linotype" w:hAnsi="Palatino Linotype" w:cs="Palatino Linotype"/>
          <w:b/>
          <w:color w:val="000000" w:themeColor="text1"/>
        </w:rPr>
      </w:pPr>
    </w:p>
    <w:p w:rsidR="00E072F7" w:rsidRPr="00386289" w:rsidRDefault="009642D3" w:rsidP="00E072F7">
      <w:pPr>
        <w:spacing w:line="360" w:lineRule="auto"/>
        <w:jc w:val="both"/>
        <w:rPr>
          <w:rFonts w:ascii="Palatino Linotype" w:hAnsi="Palatino Linotype"/>
        </w:rPr>
      </w:pPr>
      <w:r w:rsidRPr="00386289">
        <w:rPr>
          <w:rFonts w:ascii="Palatino Linotype" w:eastAsia="Palatino Linotype" w:hAnsi="Palatino Linotype" w:cs="Palatino Linotype"/>
          <w:b/>
        </w:rPr>
        <w:lastRenderedPageBreak/>
        <w:t>SEGUNDO</w:t>
      </w:r>
      <w:r w:rsidRPr="00386289">
        <w:rPr>
          <w:rFonts w:ascii="Palatino Linotype" w:eastAsia="Palatino Linotype" w:hAnsi="Palatino Linotype" w:cs="Palatino Linotype"/>
        </w:rPr>
        <w:t xml:space="preserve">. </w:t>
      </w:r>
      <w:r w:rsidR="00E072F7" w:rsidRPr="00386289">
        <w:rPr>
          <w:rFonts w:ascii="Palatino Linotype" w:hAnsi="Palatino Linotype"/>
        </w:rPr>
        <w:t xml:space="preserve">Notifíquese vía Sistema de Acceso a la Información Mexiquense </w:t>
      </w:r>
      <w:r w:rsidR="00E072F7" w:rsidRPr="00386289">
        <w:rPr>
          <w:rFonts w:ascii="Palatino Linotype" w:hAnsi="Palatino Linotype"/>
          <w:b/>
          <w:bCs/>
        </w:rPr>
        <w:t>SAIMEX</w:t>
      </w:r>
      <w:r w:rsidR="00E072F7" w:rsidRPr="00386289">
        <w:rPr>
          <w:rFonts w:ascii="Palatino Linotype" w:hAnsi="Palatino Linotype"/>
        </w:rPr>
        <w:t xml:space="preserve"> a la Titular de la Unidad de Transparencia del </w:t>
      </w:r>
      <w:r w:rsidR="00E072F7" w:rsidRPr="00386289">
        <w:rPr>
          <w:rFonts w:ascii="Palatino Linotype" w:hAnsi="Palatino Linotype"/>
          <w:b/>
          <w:bCs/>
        </w:rPr>
        <w:t>SUJETO</w:t>
      </w:r>
      <w:r w:rsidR="00E072F7" w:rsidRPr="00386289">
        <w:rPr>
          <w:rFonts w:ascii="Palatino Linotype" w:hAnsi="Palatino Linotype"/>
        </w:rPr>
        <w:t xml:space="preserve"> </w:t>
      </w:r>
      <w:r w:rsidR="00E072F7" w:rsidRPr="00386289">
        <w:rPr>
          <w:rFonts w:ascii="Palatino Linotype" w:hAnsi="Palatino Linotype"/>
          <w:b/>
          <w:bCs/>
        </w:rPr>
        <w:t>OBLIGADO</w:t>
      </w:r>
      <w:r w:rsidR="00E072F7" w:rsidRPr="00386289">
        <w:rPr>
          <w:rFonts w:ascii="Palatino Linotype" w:hAnsi="Palatino Linotype"/>
        </w:rPr>
        <w:t xml:space="preserve"> para su conocimiento. </w:t>
      </w:r>
    </w:p>
    <w:p w:rsidR="00E072F7" w:rsidRPr="00386289" w:rsidRDefault="00E072F7" w:rsidP="00E072F7">
      <w:pPr>
        <w:widowControl w:val="0"/>
        <w:spacing w:line="360" w:lineRule="auto"/>
        <w:jc w:val="both"/>
        <w:rPr>
          <w:rFonts w:ascii="Palatino Linotype" w:hAnsi="Palatino Linotype"/>
        </w:rPr>
      </w:pPr>
    </w:p>
    <w:p w:rsidR="00A46883" w:rsidRPr="00386289" w:rsidRDefault="00A46883" w:rsidP="00A46883">
      <w:pPr>
        <w:widowControl w:val="0"/>
        <w:spacing w:line="360" w:lineRule="auto"/>
        <w:jc w:val="both"/>
        <w:rPr>
          <w:rFonts w:ascii="Palatino Linotype" w:hAnsi="Palatino Linotype"/>
          <w:b/>
        </w:rPr>
      </w:pPr>
      <w:r w:rsidRPr="00386289">
        <w:rPr>
          <w:rFonts w:ascii="Palatino Linotype" w:hAnsi="Palatino Linotype"/>
          <w:b/>
          <w:bCs/>
        </w:rPr>
        <w:t>TERCERO</w:t>
      </w:r>
      <w:r w:rsidRPr="00386289">
        <w:rPr>
          <w:rFonts w:ascii="Palatino Linotype" w:hAnsi="Palatino Linotype"/>
        </w:rPr>
        <w:t xml:space="preserve">. Notifíquese a </w:t>
      </w:r>
      <w:r w:rsidRPr="00386289">
        <w:rPr>
          <w:rFonts w:ascii="Palatino Linotype" w:hAnsi="Palatino Linotype"/>
          <w:b/>
          <w:iCs/>
        </w:rPr>
        <w:t>LA PARTE RECURRENTE</w:t>
      </w:r>
      <w:r w:rsidRPr="00386289">
        <w:rPr>
          <w:rFonts w:ascii="Palatino Linotype" w:hAnsi="Palatino Linotype"/>
          <w:b/>
          <w:bCs/>
          <w:iCs/>
        </w:rPr>
        <w:t xml:space="preserve"> </w:t>
      </w:r>
      <w:r w:rsidRPr="00386289">
        <w:rPr>
          <w:rFonts w:ascii="Palatino Linotype" w:hAnsi="Palatino Linotype"/>
        </w:rPr>
        <w:t>la presente resolución vía</w:t>
      </w:r>
      <w:r w:rsidR="00E12FDF" w:rsidRPr="00386289">
        <w:rPr>
          <w:rFonts w:ascii="Palatino Linotype" w:hAnsi="Palatino Linotype"/>
        </w:rPr>
        <w:t xml:space="preserve"> </w:t>
      </w:r>
      <w:r w:rsidR="00E12FDF" w:rsidRPr="00386289">
        <w:rPr>
          <w:rFonts w:ascii="Palatino Linotype" w:hAnsi="Palatino Linotype"/>
          <w:b/>
        </w:rPr>
        <w:t>SARCOEM</w:t>
      </w:r>
      <w:r w:rsidRPr="00386289">
        <w:rPr>
          <w:rFonts w:ascii="Palatino Linotype" w:hAnsi="Palatino Linotype"/>
          <w:b/>
        </w:rPr>
        <w:t>.</w:t>
      </w:r>
    </w:p>
    <w:p w:rsidR="00A46883" w:rsidRPr="00386289" w:rsidRDefault="00A46883" w:rsidP="00A46883">
      <w:pPr>
        <w:widowControl w:val="0"/>
        <w:spacing w:line="360" w:lineRule="auto"/>
        <w:jc w:val="both"/>
        <w:rPr>
          <w:rFonts w:ascii="Palatino Linotype" w:hAnsi="Palatino Linotype"/>
          <w:b/>
        </w:rPr>
      </w:pPr>
    </w:p>
    <w:p w:rsidR="005B29FF" w:rsidRPr="00386289" w:rsidRDefault="00A46883" w:rsidP="00A46883">
      <w:pPr>
        <w:widowControl w:val="0"/>
        <w:spacing w:line="360" w:lineRule="auto"/>
        <w:jc w:val="both"/>
        <w:rPr>
          <w:rFonts w:ascii="Palatino Linotype" w:hAnsi="Palatino Linotype"/>
        </w:rPr>
      </w:pPr>
      <w:r w:rsidRPr="00386289">
        <w:rPr>
          <w:rFonts w:ascii="Palatino Linotype" w:hAnsi="Palatino Linotype"/>
          <w:b/>
        </w:rPr>
        <w:t xml:space="preserve">CUARTO.- </w:t>
      </w:r>
      <w:r w:rsidRPr="00386289">
        <w:rPr>
          <w:rFonts w:ascii="Palatino Linotype" w:hAnsi="Palatino Linotype"/>
        </w:rPr>
        <w:t xml:space="preserve">Se hace de su conocimiento a la </w:t>
      </w:r>
      <w:r w:rsidRPr="00386289">
        <w:rPr>
          <w:rFonts w:ascii="Palatino Linotype" w:hAnsi="Palatino Linotype"/>
          <w:b/>
        </w:rPr>
        <w:t xml:space="preserve">PARTE RECURRENTE </w:t>
      </w:r>
      <w:r w:rsidRPr="00386289">
        <w:rPr>
          <w:rFonts w:ascii="Palatino Linotype" w:hAnsi="Palatino Linotype"/>
        </w:rPr>
        <w:t>que, de conformidad con lo establecido en el artículo 142 de la Ley de Protección de Datos Personales en Posesión de Sujetos Obligados del Estado de México y Municipios, en caso de que considere que la resolución le cause algún perjuicio podrá impugnarla vía Juicio de Amparo en los t</w:t>
      </w:r>
      <w:r w:rsidR="005B29FF" w:rsidRPr="00386289">
        <w:rPr>
          <w:rFonts w:ascii="Palatino Linotype" w:hAnsi="Palatino Linotype"/>
        </w:rPr>
        <w:t>érminos de las leyes aplicables o bien; vía recurso de inconformidad ante el Instituto Nacional de Transparencia, Acceso a la Información y Protección de Datos Personales (INAI) en términos del artículo 118 fracción III de la Ley General de Protección de Datos Personales en Posesión de Sujetos Obligados y, 142 la Ley de Protección de Datos Personales en Posesión de Sujetos Obligados del Estado de México Y Municipios.</w:t>
      </w:r>
    </w:p>
    <w:p w:rsidR="00E072F7" w:rsidRPr="00386289" w:rsidRDefault="00E072F7" w:rsidP="00E072F7">
      <w:pPr>
        <w:spacing w:line="360" w:lineRule="auto"/>
        <w:jc w:val="both"/>
        <w:rPr>
          <w:rFonts w:ascii="Palatino Linotype" w:eastAsia="Palatino Linotype" w:hAnsi="Palatino Linotype" w:cs="Palatino Linotype"/>
          <w:color w:val="000000"/>
        </w:rPr>
      </w:pPr>
    </w:p>
    <w:p w:rsidR="00E12FDF" w:rsidRPr="003C7186" w:rsidRDefault="00E12FDF" w:rsidP="00E12FDF">
      <w:pPr>
        <w:spacing w:line="360" w:lineRule="auto"/>
        <w:ind w:left="-142" w:right="-234" w:firstLine="1"/>
        <w:jc w:val="both"/>
        <w:rPr>
          <w:rFonts w:ascii="Palatino Linotype" w:hAnsi="Palatino Linotype"/>
        </w:rPr>
      </w:pPr>
      <w:r w:rsidRPr="00386289">
        <w:rPr>
          <w:rFonts w:ascii="Palatino Linotype" w:hAnsi="Palatino Linotype"/>
        </w:rPr>
        <w:t xml:space="preserve">ASÍ LO RESUELVE, POR UNANIMIDAD DE VOTOS, EL PLENO DEL INSTITUTO DE TRANSPARENCIA, ACCESO A LA INFORMACIÓN PÚBLICA Y PROTECCIÓN DE DATOS PERSONALES DEL ESTADO DE MÉXICO Y MUNICIPIOS, CONFORMADO POR LOS COMISIONADOS JOSÉ MARTÍNEZ VILCHIS; MARÍA DEL </w:t>
      </w:r>
      <w:bookmarkStart w:id="7" w:name="_GoBack"/>
      <w:r w:rsidRPr="00386289">
        <w:rPr>
          <w:rFonts w:ascii="Palatino Linotype" w:hAnsi="Palatino Linotype"/>
        </w:rPr>
        <w:t>ROSA</w:t>
      </w:r>
      <w:bookmarkEnd w:id="7"/>
      <w:r w:rsidRPr="00386289">
        <w:rPr>
          <w:rFonts w:ascii="Palatino Linotype" w:hAnsi="Palatino Linotype"/>
        </w:rPr>
        <w:t xml:space="preserve">RIO MEJÍA AYALA; SHARON CRISTINA MORALES MARTÍNEZ; LUIS GUSTAVO PARRA </w:t>
      </w:r>
      <w:r w:rsidRPr="00386289">
        <w:rPr>
          <w:rFonts w:ascii="Palatino Linotype" w:hAnsi="Palatino Linotype"/>
        </w:rPr>
        <w:lastRenderedPageBreak/>
        <w:t>NORIEGA Y GUADALUPE RAMÍREZ PEÑA; EN LA CUADRAGÉSIMA CUARTA SESIÓN ORDINARIA CELEBRADA EL DIECIOCHO (18) DE DICIEMBRE DE DOS MIL VEINTICUATRO, ANTE EL SECRETARIO TÉCNICO DEL PLENO ALEXIS TAPIA RAMÍREZ.</w:t>
      </w:r>
      <w:r w:rsidRPr="003C7186">
        <w:rPr>
          <w:rFonts w:ascii="Palatino Linotype" w:hAnsi="Palatino Linotype"/>
        </w:rPr>
        <w:t xml:space="preserve"> </w:t>
      </w:r>
    </w:p>
    <w:p w:rsidR="00E072F7" w:rsidRPr="00E072F7" w:rsidRDefault="00E072F7" w:rsidP="00E12FDF">
      <w:pPr>
        <w:spacing w:line="360" w:lineRule="auto"/>
        <w:jc w:val="both"/>
        <w:rPr>
          <w:rFonts w:ascii="Palatino Linotype" w:eastAsia="Palatino Linotype" w:hAnsi="Palatino Linotype" w:cs="Palatino Linotype"/>
          <w:color w:val="000000"/>
        </w:rPr>
      </w:pPr>
    </w:p>
    <w:sectPr w:rsidR="00E072F7" w:rsidRPr="00E072F7">
      <w:headerReference w:type="even" r:id="rId16"/>
      <w:headerReference w:type="default" r:id="rId17"/>
      <w:footerReference w:type="default" r:id="rId18"/>
      <w:headerReference w:type="first" r:id="rId19"/>
      <w:footerReference w:type="first" r:id="rId20"/>
      <w:pgSz w:w="12240" w:h="15840"/>
      <w:pgMar w:top="80" w:right="1608" w:bottom="1418" w:left="1588" w:header="709" w:footer="919" w:gutter="0"/>
      <w:pgNumType w:start="1"/>
      <w:cols w:space="720"/>
      <w:titlePg/>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9D3F2F" w:rsidRDefault="009D3F2F">
      <w:r>
        <w:separator/>
      </w:r>
    </w:p>
  </w:endnote>
  <w:endnote w:type="continuationSeparator" w:id="0">
    <w:p w:rsidR="009D3F2F" w:rsidRDefault="009D3F2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Noto Sans Symbols">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Mincho">
    <w:altName w:val="MS Gothic"/>
    <w:panose1 w:val="02020609040205080304"/>
    <w:charset w:val="80"/>
    <w:family w:val="roman"/>
    <w:notTrueType/>
    <w:pitch w:val="fixed"/>
    <w:sig w:usb0="00000000" w:usb1="08070000" w:usb2="00000010" w:usb3="00000000" w:csb0="00020000" w:csb1="00000000"/>
  </w:font>
  <w:font w:name="Garamond">
    <w:panose1 w:val="020204040303010108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FEB" w:rsidRDefault="000B6FE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2746E">
      <w:rPr>
        <w:b/>
        <w:noProof/>
        <w:color w:val="000000"/>
      </w:rPr>
      <w:t>25</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2746E">
      <w:rPr>
        <w:b/>
        <w:noProof/>
        <w:color w:val="000000"/>
      </w:rPr>
      <w:t>25</w:t>
    </w:r>
    <w:r>
      <w:rPr>
        <w:b/>
        <w:color w:val="000000"/>
      </w:rPr>
      <w:fldChar w:fldCharType="end"/>
    </w:r>
  </w:p>
  <w:p w:rsidR="000B6FEB" w:rsidRDefault="000B6FEB">
    <w:pPr>
      <w:pBdr>
        <w:top w:val="nil"/>
        <w:left w:val="nil"/>
        <w:bottom w:val="nil"/>
        <w:right w:val="nil"/>
        <w:between w:val="nil"/>
      </w:pBdr>
      <w:tabs>
        <w:tab w:val="center" w:pos="4419"/>
        <w:tab w:val="right" w:pos="8838"/>
      </w:tabs>
      <w:rPr>
        <w:color w:val="000000"/>
      </w:rP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FEB" w:rsidRDefault="000B6FEB">
    <w:pPr>
      <w:pBdr>
        <w:top w:val="nil"/>
        <w:left w:val="nil"/>
        <w:bottom w:val="nil"/>
        <w:right w:val="nil"/>
        <w:between w:val="nil"/>
      </w:pBdr>
      <w:tabs>
        <w:tab w:val="center" w:pos="4419"/>
        <w:tab w:val="right" w:pos="8838"/>
      </w:tabs>
      <w:jc w:val="right"/>
      <w:rPr>
        <w:color w:val="000000"/>
      </w:rPr>
    </w:pPr>
    <w:r>
      <w:rPr>
        <w:color w:val="000000"/>
      </w:rPr>
      <w:t xml:space="preserve">Página </w:t>
    </w:r>
    <w:r>
      <w:rPr>
        <w:b/>
        <w:color w:val="000000"/>
      </w:rPr>
      <w:fldChar w:fldCharType="begin"/>
    </w:r>
    <w:r>
      <w:rPr>
        <w:b/>
        <w:color w:val="000000"/>
      </w:rPr>
      <w:instrText>PAGE</w:instrText>
    </w:r>
    <w:r>
      <w:rPr>
        <w:b/>
        <w:color w:val="000000"/>
      </w:rPr>
      <w:fldChar w:fldCharType="separate"/>
    </w:r>
    <w:r w:rsidR="0012746E">
      <w:rPr>
        <w:b/>
        <w:noProof/>
        <w:color w:val="000000"/>
      </w:rPr>
      <w:t>1</w:t>
    </w:r>
    <w:r>
      <w:rPr>
        <w:b/>
        <w:color w:val="000000"/>
      </w:rPr>
      <w:fldChar w:fldCharType="end"/>
    </w:r>
    <w:r>
      <w:rPr>
        <w:color w:val="000000"/>
      </w:rPr>
      <w:t xml:space="preserve"> de </w:t>
    </w:r>
    <w:r>
      <w:rPr>
        <w:b/>
        <w:color w:val="000000"/>
      </w:rPr>
      <w:fldChar w:fldCharType="begin"/>
    </w:r>
    <w:r>
      <w:rPr>
        <w:b/>
        <w:color w:val="000000"/>
      </w:rPr>
      <w:instrText>NUMPAGES</w:instrText>
    </w:r>
    <w:r>
      <w:rPr>
        <w:b/>
        <w:color w:val="000000"/>
      </w:rPr>
      <w:fldChar w:fldCharType="separate"/>
    </w:r>
    <w:r w:rsidR="0012746E">
      <w:rPr>
        <w:b/>
        <w:noProof/>
        <w:color w:val="000000"/>
      </w:rPr>
      <w:t>25</w:t>
    </w:r>
    <w:r>
      <w:rPr>
        <w:b/>
        <w:color w:val="000000"/>
      </w:rPr>
      <w:fldChar w:fldCharType="end"/>
    </w:r>
  </w:p>
  <w:p w:rsidR="000B6FEB" w:rsidRDefault="000B6FEB">
    <w:pPr>
      <w:pBdr>
        <w:top w:val="nil"/>
        <w:left w:val="nil"/>
        <w:bottom w:val="nil"/>
        <w:right w:val="nil"/>
        <w:between w:val="nil"/>
      </w:pBdr>
      <w:tabs>
        <w:tab w:val="center" w:pos="4419"/>
        <w:tab w:val="right" w:pos="8838"/>
      </w:tabs>
      <w:rPr>
        <w:color w:val="000000"/>
      </w:rP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9D3F2F" w:rsidRDefault="009D3F2F">
      <w:r>
        <w:separator/>
      </w:r>
    </w:p>
  </w:footnote>
  <w:footnote w:type="continuationSeparator" w:id="0">
    <w:p w:rsidR="009D3F2F" w:rsidRDefault="009D3F2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FEB" w:rsidRDefault="009D3F2F">
    <w:pPr>
      <w:pBdr>
        <w:top w:val="nil"/>
        <w:left w:val="nil"/>
        <w:bottom w:val="nil"/>
        <w:right w:val="nil"/>
        <w:between w:val="nil"/>
      </w:pBdr>
      <w:tabs>
        <w:tab w:val="center" w:pos="4419"/>
        <w:tab w:val="right" w:pos="8838"/>
      </w:tabs>
      <w:rPr>
        <w:color w:val="000000"/>
      </w:rPr>
    </w:pPr>
    <w:r>
      <w:rPr>
        <w:color w:val="000000"/>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2049" type="#_x0000_t75" alt="" style="position:absolute;margin-left:0;margin-top:0;width:589.8pt;height:768pt;z-index:-251657728;mso-position-horizontal:center;mso-position-horizontal-relative:margin;mso-position-vertical:center;mso-position-vertical-relative:margin">
          <v:imagedata r:id="rId1" o:title="image1"/>
          <w10:wrap anchorx="margin" anchory="margin"/>
        </v:shape>
      </w:pic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FEB" w:rsidRDefault="000B6FEB">
    <w:pPr>
      <w:widowControl w:val="0"/>
      <w:pBdr>
        <w:top w:val="nil"/>
        <w:left w:val="nil"/>
        <w:bottom w:val="nil"/>
        <w:right w:val="nil"/>
        <w:between w:val="nil"/>
      </w:pBdr>
      <w:spacing w:line="276" w:lineRule="auto"/>
      <w:rPr>
        <w:color w:val="000000"/>
      </w:rPr>
    </w:pPr>
  </w:p>
  <w:tbl>
    <w:tblPr>
      <w:tblStyle w:val="a"/>
      <w:tblW w:w="9214" w:type="dxa"/>
      <w:tblInd w:w="0" w:type="dxa"/>
      <w:tblLayout w:type="fixed"/>
      <w:tblLook w:val="0400" w:firstRow="0" w:lastRow="0" w:firstColumn="0" w:lastColumn="0" w:noHBand="0" w:noVBand="1"/>
    </w:tblPr>
    <w:tblGrid>
      <w:gridCol w:w="2268"/>
      <w:gridCol w:w="6946"/>
    </w:tblGrid>
    <w:tr w:rsidR="000B6FEB">
      <w:trPr>
        <w:trHeight w:val="1435"/>
      </w:trPr>
      <w:tc>
        <w:tcPr>
          <w:tcW w:w="2268" w:type="dxa"/>
          <w:shd w:val="clear" w:color="auto" w:fill="auto"/>
        </w:tcPr>
        <w:p w:rsidR="000B6FEB" w:rsidRDefault="000B6FEB">
          <w:pPr>
            <w:tabs>
              <w:tab w:val="right" w:pos="4273"/>
            </w:tabs>
            <w:rPr>
              <w:rFonts w:ascii="Garamond" w:eastAsia="Garamond" w:hAnsi="Garamond" w:cs="Garamond"/>
              <w:sz w:val="16"/>
              <w:szCs w:val="16"/>
            </w:rPr>
          </w:pPr>
        </w:p>
      </w:tc>
      <w:tc>
        <w:tcPr>
          <w:tcW w:w="6946" w:type="dxa"/>
          <w:shd w:val="clear" w:color="auto" w:fill="auto"/>
        </w:tcPr>
        <w:p w:rsidR="000B6FEB" w:rsidRDefault="000B6FEB"/>
        <w:tbl>
          <w:tblPr>
            <w:tblStyle w:val="a0"/>
            <w:tblW w:w="6662" w:type="dxa"/>
            <w:tblInd w:w="40" w:type="dxa"/>
            <w:tblLayout w:type="fixed"/>
            <w:tblLook w:val="0400" w:firstRow="0" w:lastRow="0" w:firstColumn="0" w:lastColumn="0" w:noHBand="0" w:noVBand="1"/>
          </w:tblPr>
          <w:tblGrid>
            <w:gridCol w:w="2551"/>
            <w:gridCol w:w="4111"/>
          </w:tblGrid>
          <w:tr w:rsidR="000B6FEB">
            <w:trPr>
              <w:trHeight w:val="150"/>
            </w:trPr>
            <w:tc>
              <w:tcPr>
                <w:tcW w:w="2551" w:type="dxa"/>
                <w:shd w:val="clear" w:color="auto" w:fill="auto"/>
              </w:tcPr>
              <w:p w:rsidR="000B6FEB" w:rsidRDefault="000B6FE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111" w:type="dxa"/>
                <w:shd w:val="clear" w:color="auto" w:fill="auto"/>
              </w:tcPr>
              <w:p w:rsidR="000B6FEB" w:rsidRDefault="000B6FEB">
                <w:pPr>
                  <w:tabs>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01428/INFOEM/AD/RR/2024</w:t>
                </w:r>
              </w:p>
            </w:tc>
          </w:tr>
          <w:tr w:rsidR="000B6FEB">
            <w:trPr>
              <w:trHeight w:val="295"/>
            </w:trPr>
            <w:tc>
              <w:tcPr>
                <w:tcW w:w="2551" w:type="dxa"/>
                <w:shd w:val="clear" w:color="auto" w:fill="auto"/>
              </w:tcPr>
              <w:p w:rsidR="000B6FEB" w:rsidRDefault="000B6FE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111" w:type="dxa"/>
                <w:shd w:val="clear" w:color="auto" w:fill="auto"/>
              </w:tcPr>
              <w:p w:rsidR="000B6FEB" w:rsidRDefault="000B6FEB">
                <w:pPr>
                  <w:tabs>
                    <w:tab w:val="left" w:pos="2834"/>
                    <w:tab w:val="right" w:pos="8838"/>
                  </w:tabs>
                  <w:ind w:left="-108" w:right="-102"/>
                  <w:jc w:val="both"/>
                  <w:rPr>
                    <w:rFonts w:ascii="Palatino Linotype" w:eastAsia="Palatino Linotype" w:hAnsi="Palatino Linotype" w:cs="Palatino Linotype"/>
                    <w:sz w:val="22"/>
                    <w:szCs w:val="22"/>
                  </w:rPr>
                </w:pPr>
                <w:r>
                  <w:rPr>
                    <w:rFonts w:ascii="Palatino Linotype" w:eastAsia="Palatino Linotype" w:hAnsi="Palatino Linotype" w:cs="Palatino Linotype"/>
                  </w:rPr>
                  <w:t>Instituto de Seguridad Social del Estado de México y Municipios</w:t>
                </w:r>
              </w:p>
            </w:tc>
          </w:tr>
          <w:tr w:rsidR="000B6FEB">
            <w:trPr>
              <w:trHeight w:val="295"/>
            </w:trPr>
            <w:tc>
              <w:tcPr>
                <w:tcW w:w="2551" w:type="dxa"/>
                <w:shd w:val="clear" w:color="auto" w:fill="auto"/>
              </w:tcPr>
              <w:p w:rsidR="000B6FEB" w:rsidRDefault="000B6FEB">
                <w:pPr>
                  <w:tabs>
                    <w:tab w:val="right" w:pos="8838"/>
                  </w:tabs>
                  <w:ind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111" w:type="dxa"/>
                <w:shd w:val="clear" w:color="auto" w:fill="auto"/>
              </w:tcPr>
              <w:p w:rsidR="000B6FEB" w:rsidRDefault="000B6FEB">
                <w:pPr>
                  <w:tabs>
                    <w:tab w:val="right" w:pos="8838"/>
                  </w:tabs>
                  <w:ind w:left="-108" w:right="171"/>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B6FEB" w:rsidRDefault="000B6FEB">
                <w:pPr>
                  <w:tabs>
                    <w:tab w:val="right" w:pos="8838"/>
                  </w:tabs>
                  <w:ind w:left="-108" w:right="171"/>
                  <w:jc w:val="both"/>
                  <w:rPr>
                    <w:rFonts w:ascii="Palatino Linotype" w:eastAsia="Palatino Linotype" w:hAnsi="Palatino Linotype" w:cs="Palatino Linotype"/>
                    <w:b/>
                    <w:sz w:val="22"/>
                    <w:szCs w:val="22"/>
                  </w:rPr>
                </w:pPr>
              </w:p>
            </w:tc>
          </w:tr>
        </w:tbl>
        <w:p w:rsidR="000B6FEB" w:rsidRDefault="000B6FEB">
          <w:pPr>
            <w:tabs>
              <w:tab w:val="right" w:pos="8838"/>
            </w:tabs>
            <w:ind w:left="-28"/>
            <w:jc w:val="both"/>
            <w:rPr>
              <w:rFonts w:ascii="Arial" w:eastAsia="Arial" w:hAnsi="Arial" w:cs="Arial"/>
              <w:b/>
              <w:sz w:val="22"/>
              <w:szCs w:val="22"/>
            </w:rPr>
          </w:pPr>
        </w:p>
      </w:tc>
    </w:tr>
  </w:tbl>
  <w:p w:rsidR="000B6FEB" w:rsidRDefault="009D3F2F">
    <w:pPr>
      <w:pBdr>
        <w:top w:val="nil"/>
        <w:left w:val="nil"/>
        <w:bottom w:val="nil"/>
        <w:right w:val="nil"/>
        <w:between w:val="nil"/>
      </w:pBdr>
      <w:tabs>
        <w:tab w:val="center" w:pos="4419"/>
        <w:tab w:val="right" w:pos="8838"/>
      </w:tabs>
      <w:rPr>
        <w:color w:val="000000"/>
        <w:sz w:val="14"/>
        <w:szCs w:val="14"/>
      </w:rPr>
    </w:pPr>
    <w:r>
      <w:rPr>
        <w:color w:val="000000"/>
        <w:sz w:val="14"/>
        <w:szCs w:val="14"/>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3" o:spid="_x0000_s2051" type="#_x0000_t75" alt="" style="position:absolute;margin-left:-68.8pt;margin-top:-120.5pt;width:589.8pt;height:768pt;z-index:-251659776;mso-position-horizontal:absolute;mso-position-horizontal-relative:margin;mso-position-vertical:absolute;mso-position-vertical-relative:margin">
          <v:imagedata r:id="rId1" o:title="image1"/>
          <w10:wrap anchorx="margin" anchory="margin"/>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6FEB" w:rsidRDefault="000B6FEB">
    <w:pPr>
      <w:widowControl w:val="0"/>
      <w:pBdr>
        <w:top w:val="nil"/>
        <w:left w:val="nil"/>
        <w:bottom w:val="nil"/>
        <w:right w:val="nil"/>
        <w:between w:val="nil"/>
      </w:pBdr>
      <w:spacing w:line="276" w:lineRule="auto"/>
      <w:rPr>
        <w:color w:val="000000"/>
        <w:sz w:val="14"/>
        <w:szCs w:val="14"/>
      </w:rPr>
    </w:pPr>
  </w:p>
  <w:tbl>
    <w:tblPr>
      <w:tblStyle w:val="a1"/>
      <w:tblW w:w="9072" w:type="dxa"/>
      <w:tblInd w:w="0" w:type="dxa"/>
      <w:tblLayout w:type="fixed"/>
      <w:tblLook w:val="0400" w:firstRow="0" w:lastRow="0" w:firstColumn="0" w:lastColumn="0" w:noHBand="0" w:noVBand="1"/>
    </w:tblPr>
    <w:tblGrid>
      <w:gridCol w:w="2268"/>
      <w:gridCol w:w="6804"/>
    </w:tblGrid>
    <w:tr w:rsidR="000B6FEB">
      <w:trPr>
        <w:trHeight w:val="1435"/>
      </w:trPr>
      <w:tc>
        <w:tcPr>
          <w:tcW w:w="2268" w:type="dxa"/>
          <w:shd w:val="clear" w:color="auto" w:fill="auto"/>
        </w:tcPr>
        <w:p w:rsidR="000B6FEB" w:rsidRDefault="000B6FEB">
          <w:pPr>
            <w:tabs>
              <w:tab w:val="right" w:pos="4273"/>
            </w:tabs>
            <w:rPr>
              <w:rFonts w:ascii="Garamond" w:eastAsia="Garamond" w:hAnsi="Garamond" w:cs="Garamond"/>
              <w:sz w:val="22"/>
              <w:szCs w:val="22"/>
            </w:rPr>
          </w:pPr>
        </w:p>
      </w:tc>
      <w:tc>
        <w:tcPr>
          <w:tcW w:w="6804" w:type="dxa"/>
          <w:shd w:val="clear" w:color="auto" w:fill="auto"/>
        </w:tcPr>
        <w:p w:rsidR="000B6FEB" w:rsidRDefault="000B6FEB">
          <w:pPr>
            <w:widowControl w:val="0"/>
            <w:pBdr>
              <w:top w:val="nil"/>
              <w:left w:val="nil"/>
              <w:bottom w:val="nil"/>
              <w:right w:val="nil"/>
              <w:between w:val="nil"/>
            </w:pBdr>
            <w:spacing w:line="276" w:lineRule="auto"/>
            <w:rPr>
              <w:rFonts w:ascii="Garamond" w:eastAsia="Garamond" w:hAnsi="Garamond" w:cs="Garamond"/>
              <w:sz w:val="22"/>
              <w:szCs w:val="22"/>
            </w:rPr>
          </w:pPr>
        </w:p>
        <w:tbl>
          <w:tblPr>
            <w:tblStyle w:val="a2"/>
            <w:tblW w:w="6662" w:type="dxa"/>
            <w:tblInd w:w="40" w:type="dxa"/>
            <w:tblLayout w:type="fixed"/>
            <w:tblLook w:val="0400" w:firstRow="0" w:lastRow="0" w:firstColumn="0" w:lastColumn="0" w:noHBand="0" w:noVBand="1"/>
          </w:tblPr>
          <w:tblGrid>
            <w:gridCol w:w="2444"/>
            <w:gridCol w:w="4218"/>
          </w:tblGrid>
          <w:tr w:rsidR="000B6FEB">
            <w:trPr>
              <w:trHeight w:val="144"/>
            </w:trPr>
            <w:tc>
              <w:tcPr>
                <w:tcW w:w="2444" w:type="dxa"/>
                <w:shd w:val="clear" w:color="auto" w:fill="auto"/>
              </w:tcPr>
              <w:p w:rsidR="000B6FEB" w:rsidRDefault="000B6FEB">
                <w:pPr>
                  <w:tabs>
                    <w:tab w:val="right" w:pos="8838"/>
                  </w:tabs>
                  <w:ind w:left="-264" w:right="-105" w:firstLine="19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4218" w:type="dxa"/>
                <w:shd w:val="clear" w:color="auto" w:fill="auto"/>
              </w:tcPr>
              <w:p w:rsidR="000B6FEB" w:rsidRDefault="000B6FEB">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01428/INFOEM/AD/RR/2024</w:t>
                </w:r>
              </w:p>
            </w:tc>
          </w:tr>
          <w:tr w:rsidR="000B6FEB">
            <w:trPr>
              <w:trHeight w:val="144"/>
            </w:trPr>
            <w:tc>
              <w:tcPr>
                <w:tcW w:w="2444" w:type="dxa"/>
                <w:shd w:val="clear" w:color="auto" w:fill="auto"/>
              </w:tcPr>
              <w:p w:rsidR="000B6FEB" w:rsidRDefault="000B6FEB">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4218" w:type="dxa"/>
                <w:shd w:val="clear" w:color="auto" w:fill="auto"/>
              </w:tcPr>
              <w:p w:rsidR="000B6FEB" w:rsidRDefault="00386289">
                <w:pPr>
                  <w:tabs>
                    <w:tab w:val="left" w:pos="3122"/>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XXXXXXXXX</w:t>
                </w:r>
              </w:p>
            </w:tc>
          </w:tr>
          <w:tr w:rsidR="000B6FEB">
            <w:trPr>
              <w:trHeight w:val="283"/>
            </w:trPr>
            <w:tc>
              <w:tcPr>
                <w:tcW w:w="2444" w:type="dxa"/>
                <w:shd w:val="clear" w:color="auto" w:fill="auto"/>
              </w:tcPr>
              <w:p w:rsidR="000B6FEB" w:rsidRDefault="000B6FEB">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4218" w:type="dxa"/>
                <w:shd w:val="clear" w:color="auto" w:fill="auto"/>
              </w:tcPr>
              <w:p w:rsidR="000B6FEB" w:rsidRDefault="000B6FEB">
                <w:pPr>
                  <w:tabs>
                    <w:tab w:val="left" w:pos="2834"/>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Instituto de Seguridad Social del Estado de México y Municipios</w:t>
                </w:r>
              </w:p>
            </w:tc>
          </w:tr>
          <w:tr w:rsidR="000B6FEB">
            <w:trPr>
              <w:trHeight w:val="283"/>
            </w:trPr>
            <w:tc>
              <w:tcPr>
                <w:tcW w:w="2444" w:type="dxa"/>
                <w:shd w:val="clear" w:color="auto" w:fill="auto"/>
              </w:tcPr>
              <w:p w:rsidR="000B6FEB" w:rsidRDefault="000B6FEB">
                <w:pPr>
                  <w:tabs>
                    <w:tab w:val="right" w:pos="8838"/>
                  </w:tabs>
                  <w:ind w:left="-74" w:right="-105"/>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Comisionado ponente:</w:t>
                </w:r>
              </w:p>
            </w:tc>
            <w:tc>
              <w:tcPr>
                <w:tcW w:w="4218" w:type="dxa"/>
                <w:shd w:val="clear" w:color="auto" w:fill="auto"/>
              </w:tcPr>
              <w:p w:rsidR="000B6FEB" w:rsidRDefault="000B6FEB">
                <w:pPr>
                  <w:tabs>
                    <w:tab w:val="right" w:pos="8838"/>
                  </w:tabs>
                  <w:ind w:left="-74" w:right="-105"/>
                  <w:jc w:val="both"/>
                  <w:rPr>
                    <w:rFonts w:ascii="Palatino Linotype" w:eastAsia="Palatino Linotype" w:hAnsi="Palatino Linotype" w:cs="Palatino Linotype"/>
                    <w:sz w:val="22"/>
                    <w:szCs w:val="22"/>
                  </w:rPr>
                </w:pPr>
                <w:r>
                  <w:rPr>
                    <w:rFonts w:ascii="Palatino Linotype" w:eastAsia="Palatino Linotype" w:hAnsi="Palatino Linotype" w:cs="Palatino Linotype"/>
                    <w:sz w:val="22"/>
                    <w:szCs w:val="22"/>
                  </w:rPr>
                  <w:t>María del Rosario Mejía Ayala</w:t>
                </w:r>
              </w:p>
              <w:p w:rsidR="000B6FEB" w:rsidRDefault="000B6FEB">
                <w:pPr>
                  <w:tabs>
                    <w:tab w:val="right" w:pos="8838"/>
                  </w:tabs>
                  <w:ind w:left="-74" w:right="-105"/>
                  <w:jc w:val="both"/>
                  <w:rPr>
                    <w:rFonts w:ascii="Palatino Linotype" w:eastAsia="Palatino Linotype" w:hAnsi="Palatino Linotype" w:cs="Palatino Linotype"/>
                    <w:b/>
                    <w:sz w:val="22"/>
                    <w:szCs w:val="22"/>
                  </w:rPr>
                </w:pPr>
              </w:p>
            </w:tc>
          </w:tr>
        </w:tbl>
        <w:p w:rsidR="000B6FEB" w:rsidRDefault="000B6FEB">
          <w:pPr>
            <w:tabs>
              <w:tab w:val="right" w:pos="8838"/>
            </w:tabs>
            <w:ind w:left="-28"/>
            <w:jc w:val="both"/>
            <w:rPr>
              <w:rFonts w:ascii="Arial" w:eastAsia="Arial" w:hAnsi="Arial" w:cs="Arial"/>
              <w:b/>
              <w:sz w:val="22"/>
              <w:szCs w:val="22"/>
            </w:rPr>
          </w:pPr>
        </w:p>
      </w:tc>
    </w:tr>
  </w:tbl>
  <w:p w:rsidR="000B6FEB" w:rsidRDefault="009D3F2F">
    <w:pPr>
      <w:pBdr>
        <w:top w:val="nil"/>
        <w:left w:val="nil"/>
        <w:bottom w:val="nil"/>
        <w:right w:val="nil"/>
        <w:between w:val="nil"/>
      </w:pBdr>
      <w:tabs>
        <w:tab w:val="center" w:pos="4419"/>
        <w:tab w:val="right" w:pos="8838"/>
      </w:tabs>
      <w:rPr>
        <w:color w:val="000000"/>
        <w:sz w:val="2"/>
        <w:szCs w:val="2"/>
      </w:rPr>
    </w:pPr>
    <w:r>
      <w:rPr>
        <w:color w:val="000000"/>
        <w:sz w:val="2"/>
        <w:szCs w:val="2"/>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 o:spid="_x0000_s2050" type="#_x0000_t75" alt="" style="position:absolute;margin-left:-68.8pt;margin-top:-117.6pt;width:589.8pt;height:768pt;z-index:-251658752;mso-position-horizontal:absolute;mso-position-horizontal-relative:margin;mso-position-vertical:absolute;mso-position-vertical-relative:margin">
          <v:imagedata r:id="rId1" o:title="image1"/>
          <w10:wrap anchorx="margin" anchory="margin"/>
        </v:shape>
      </w:pic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7C4F80"/>
    <w:multiLevelType w:val="multilevel"/>
    <w:tmpl w:val="734CC8D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7670094"/>
    <w:multiLevelType w:val="multilevel"/>
    <w:tmpl w:val="9932B572"/>
    <w:lvl w:ilvl="0">
      <w:start w:val="1"/>
      <w:numFmt w:val="decimal"/>
      <w:lvlText w:val="%1."/>
      <w:lvlJc w:val="left"/>
      <w:pPr>
        <w:ind w:left="644" w:hanging="360"/>
      </w:pPr>
      <w:rPr>
        <w:rFonts w:ascii="Palatino Linotype" w:eastAsia="Palatino Linotype" w:hAnsi="Palatino Linotype" w:cs="Palatino Linotype"/>
        <w:b/>
        <w:i w:val="0"/>
        <w:color w:val="000000"/>
        <w:sz w:val="24"/>
        <w:szCs w:val="24"/>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F0775DD"/>
    <w:multiLevelType w:val="multilevel"/>
    <w:tmpl w:val="EE642556"/>
    <w:lvl w:ilvl="0">
      <w:start w:val="1"/>
      <w:numFmt w:val="upperRoman"/>
      <w:lvlText w:val="%1."/>
      <w:lvlJc w:val="left"/>
      <w:pPr>
        <w:ind w:left="1440" w:hanging="720"/>
      </w:pPr>
    </w:lvl>
    <w:lvl w:ilvl="1">
      <w:start w:val="1"/>
      <w:numFmt w:val="lowerLetter"/>
      <w:lvlText w:val="%2."/>
      <w:lvlJc w:val="left"/>
      <w:pPr>
        <w:ind w:left="1800" w:hanging="360"/>
      </w:pPr>
    </w:lvl>
    <w:lvl w:ilvl="2">
      <w:start w:val="1"/>
      <w:numFmt w:val="lowerRoman"/>
      <w:lvlText w:val="%3."/>
      <w:lvlJc w:val="right"/>
      <w:pPr>
        <w:ind w:left="2520" w:hanging="180"/>
      </w:p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80032C6"/>
    <w:multiLevelType w:val="multilevel"/>
    <w:tmpl w:val="47EA5A14"/>
    <w:lvl w:ilvl="0">
      <w:start w:val="1"/>
      <w:numFmt w:val="decimal"/>
      <w:lvlText w:val="%1."/>
      <w:lvlJc w:val="left"/>
      <w:pPr>
        <w:ind w:left="4330" w:hanging="360"/>
      </w:pPr>
      <w:rPr>
        <w:rFonts w:ascii="Palatino Linotype" w:eastAsia="Palatino Linotype" w:hAnsi="Palatino Linotype" w:cs="Palatino Linotype"/>
        <w:b/>
        <w:i w:val="0"/>
        <w:color w:val="000000"/>
        <w:sz w:val="24"/>
        <w:szCs w:val="24"/>
      </w:rPr>
    </w:lvl>
    <w:lvl w:ilvl="1">
      <w:start w:val="1"/>
      <w:numFmt w:val="upperRoman"/>
      <w:lvlText w:val="%2."/>
      <w:lvlJc w:val="left"/>
      <w:pPr>
        <w:ind w:left="1800" w:hanging="720"/>
      </w:pPr>
      <w:rPr>
        <w:rFonts w:ascii="Palatino Linotype" w:eastAsia="Palatino Linotype" w:hAnsi="Palatino Linotype" w:cs="Palatino Linotype"/>
        <w:b/>
        <w:color w:val="000000"/>
      </w:rPr>
    </w:lvl>
    <w:lvl w:ilvl="2">
      <w:start w:val="4"/>
      <w:numFmt w:val="lowerRoman"/>
      <w:lvlText w:val="%3."/>
      <w:lvlJc w:val="right"/>
      <w:pPr>
        <w:ind w:left="2160" w:hanging="180"/>
      </w:pPr>
    </w:lvl>
    <w:lvl w:ilvl="3">
      <w:start w:val="1"/>
      <w:numFmt w:val="lowerLetter"/>
      <w:lvlText w:val="%4)"/>
      <w:lvlJc w:val="left"/>
      <w:pPr>
        <w:ind w:left="2880" w:hanging="360"/>
      </w:pPr>
    </w:lvl>
    <w:lvl w:ilvl="4">
      <w:start w:val="104"/>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2436A35"/>
    <w:multiLevelType w:val="multilevel"/>
    <w:tmpl w:val="6D0CF916"/>
    <w:lvl w:ilvl="0">
      <w:start w:val="1"/>
      <w:numFmt w:val="low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5" w15:restartNumberingAfterBreak="0">
    <w:nsid w:val="514F03CC"/>
    <w:multiLevelType w:val="multilevel"/>
    <w:tmpl w:val="A362713A"/>
    <w:lvl w:ilvl="0">
      <w:start w:val="1"/>
      <w:numFmt w:val="upperLetter"/>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3541005"/>
    <w:multiLevelType w:val="multilevel"/>
    <w:tmpl w:val="9FAE604E"/>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7" w15:restartNumberingAfterBreak="0">
    <w:nsid w:val="539E1743"/>
    <w:multiLevelType w:val="multilevel"/>
    <w:tmpl w:val="454A9F60"/>
    <w:lvl w:ilvl="0">
      <w:start w:val="3"/>
      <w:numFmt w:val="bullet"/>
      <w:lvlText w:val="-"/>
      <w:lvlJc w:val="left"/>
      <w:pPr>
        <w:ind w:left="1211" w:hanging="360"/>
      </w:pPr>
      <w:rPr>
        <w:rFonts w:ascii="Palatino Linotype" w:eastAsia="Palatino Linotype" w:hAnsi="Palatino Linotype" w:cs="Palatino Linotype"/>
      </w:rPr>
    </w:lvl>
    <w:lvl w:ilvl="1">
      <w:start w:val="1"/>
      <w:numFmt w:val="bullet"/>
      <w:lvlText w:val="o"/>
      <w:lvlJc w:val="left"/>
      <w:pPr>
        <w:ind w:left="1931" w:hanging="360"/>
      </w:pPr>
      <w:rPr>
        <w:rFonts w:ascii="Courier New" w:eastAsia="Courier New" w:hAnsi="Courier New" w:cs="Courier New"/>
      </w:rPr>
    </w:lvl>
    <w:lvl w:ilvl="2">
      <w:start w:val="1"/>
      <w:numFmt w:val="bullet"/>
      <w:lvlText w:val="▪"/>
      <w:lvlJc w:val="left"/>
      <w:pPr>
        <w:ind w:left="2651" w:hanging="360"/>
      </w:pPr>
      <w:rPr>
        <w:rFonts w:ascii="Noto Sans Symbols" w:eastAsia="Noto Sans Symbols" w:hAnsi="Noto Sans Symbols" w:cs="Noto Sans Symbols"/>
      </w:rPr>
    </w:lvl>
    <w:lvl w:ilvl="3">
      <w:start w:val="1"/>
      <w:numFmt w:val="bullet"/>
      <w:lvlText w:val="●"/>
      <w:lvlJc w:val="left"/>
      <w:pPr>
        <w:ind w:left="3371" w:hanging="360"/>
      </w:pPr>
      <w:rPr>
        <w:rFonts w:ascii="Noto Sans Symbols" w:eastAsia="Noto Sans Symbols" w:hAnsi="Noto Sans Symbols" w:cs="Noto Sans Symbols"/>
      </w:rPr>
    </w:lvl>
    <w:lvl w:ilvl="4">
      <w:start w:val="1"/>
      <w:numFmt w:val="bullet"/>
      <w:lvlText w:val="o"/>
      <w:lvlJc w:val="left"/>
      <w:pPr>
        <w:ind w:left="4091" w:hanging="360"/>
      </w:pPr>
      <w:rPr>
        <w:rFonts w:ascii="Courier New" w:eastAsia="Courier New" w:hAnsi="Courier New" w:cs="Courier New"/>
      </w:rPr>
    </w:lvl>
    <w:lvl w:ilvl="5">
      <w:start w:val="1"/>
      <w:numFmt w:val="bullet"/>
      <w:lvlText w:val="▪"/>
      <w:lvlJc w:val="left"/>
      <w:pPr>
        <w:ind w:left="4811" w:hanging="360"/>
      </w:pPr>
      <w:rPr>
        <w:rFonts w:ascii="Noto Sans Symbols" w:eastAsia="Noto Sans Symbols" w:hAnsi="Noto Sans Symbols" w:cs="Noto Sans Symbols"/>
      </w:rPr>
    </w:lvl>
    <w:lvl w:ilvl="6">
      <w:start w:val="1"/>
      <w:numFmt w:val="bullet"/>
      <w:lvlText w:val="●"/>
      <w:lvlJc w:val="left"/>
      <w:pPr>
        <w:ind w:left="5531" w:hanging="360"/>
      </w:pPr>
      <w:rPr>
        <w:rFonts w:ascii="Noto Sans Symbols" w:eastAsia="Noto Sans Symbols" w:hAnsi="Noto Sans Symbols" w:cs="Noto Sans Symbols"/>
      </w:rPr>
    </w:lvl>
    <w:lvl w:ilvl="7">
      <w:start w:val="1"/>
      <w:numFmt w:val="bullet"/>
      <w:lvlText w:val="o"/>
      <w:lvlJc w:val="left"/>
      <w:pPr>
        <w:ind w:left="6251" w:hanging="360"/>
      </w:pPr>
      <w:rPr>
        <w:rFonts w:ascii="Courier New" w:eastAsia="Courier New" w:hAnsi="Courier New" w:cs="Courier New"/>
      </w:rPr>
    </w:lvl>
    <w:lvl w:ilvl="8">
      <w:start w:val="1"/>
      <w:numFmt w:val="bullet"/>
      <w:lvlText w:val="▪"/>
      <w:lvlJc w:val="left"/>
      <w:pPr>
        <w:ind w:left="6971" w:hanging="360"/>
      </w:pPr>
      <w:rPr>
        <w:rFonts w:ascii="Noto Sans Symbols" w:eastAsia="Noto Sans Symbols" w:hAnsi="Noto Sans Symbols" w:cs="Noto Sans Symbols"/>
      </w:rPr>
    </w:lvl>
  </w:abstractNum>
  <w:abstractNum w:abstractNumId="8" w15:restartNumberingAfterBreak="0">
    <w:nsid w:val="59AC5AA7"/>
    <w:multiLevelType w:val="multilevel"/>
    <w:tmpl w:val="022239EC"/>
    <w:lvl w:ilvl="0">
      <w:start w:val="1"/>
      <w:numFmt w:val="upperRoman"/>
      <w:lvlText w:val="%1."/>
      <w:lvlJc w:val="left"/>
      <w:pPr>
        <w:ind w:left="1287" w:hanging="720"/>
      </w:pPr>
      <w:rPr>
        <w:b/>
      </w:r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9" w15:restartNumberingAfterBreak="0">
    <w:nsid w:val="5EE834FA"/>
    <w:multiLevelType w:val="multilevel"/>
    <w:tmpl w:val="410E2DB0"/>
    <w:lvl w:ilvl="0">
      <w:start w:val="1"/>
      <w:numFmt w:val="bullet"/>
      <w:lvlText w:val="⮚"/>
      <w:lvlJc w:val="left"/>
      <w:pPr>
        <w:ind w:left="1069" w:hanging="360"/>
      </w:pPr>
      <w:rPr>
        <w:rFonts w:ascii="Noto Sans Symbols" w:eastAsia="Noto Sans Symbols" w:hAnsi="Noto Sans Symbols" w:cs="Noto Sans Symbols"/>
      </w:rPr>
    </w:lvl>
    <w:lvl w:ilvl="1">
      <w:start w:val="1"/>
      <w:numFmt w:val="lowerLetter"/>
      <w:lvlText w:val="%2."/>
      <w:lvlJc w:val="left"/>
      <w:pPr>
        <w:ind w:left="1789" w:hanging="360"/>
      </w:pPr>
    </w:lvl>
    <w:lvl w:ilvl="2">
      <w:start w:val="1"/>
      <w:numFmt w:val="lowerRoman"/>
      <w:lvlText w:val="%3."/>
      <w:lvlJc w:val="right"/>
      <w:pPr>
        <w:ind w:left="2509" w:hanging="180"/>
      </w:pPr>
    </w:lvl>
    <w:lvl w:ilvl="3">
      <w:start w:val="1"/>
      <w:numFmt w:val="decimal"/>
      <w:lvlText w:val="%4."/>
      <w:lvlJc w:val="left"/>
      <w:pPr>
        <w:ind w:left="3229" w:hanging="360"/>
      </w:pPr>
    </w:lvl>
    <w:lvl w:ilvl="4">
      <w:start w:val="1"/>
      <w:numFmt w:val="lowerLetter"/>
      <w:lvlText w:val="%5."/>
      <w:lvlJc w:val="left"/>
      <w:pPr>
        <w:ind w:left="3949" w:hanging="360"/>
      </w:pPr>
    </w:lvl>
    <w:lvl w:ilvl="5">
      <w:start w:val="1"/>
      <w:numFmt w:val="lowerRoman"/>
      <w:lvlText w:val="%6."/>
      <w:lvlJc w:val="right"/>
      <w:pPr>
        <w:ind w:left="4669" w:hanging="180"/>
      </w:pPr>
    </w:lvl>
    <w:lvl w:ilvl="6">
      <w:start w:val="1"/>
      <w:numFmt w:val="decimal"/>
      <w:lvlText w:val="%7."/>
      <w:lvlJc w:val="left"/>
      <w:pPr>
        <w:ind w:left="5389" w:hanging="360"/>
      </w:pPr>
    </w:lvl>
    <w:lvl w:ilvl="7">
      <w:start w:val="1"/>
      <w:numFmt w:val="lowerLetter"/>
      <w:lvlText w:val="%8."/>
      <w:lvlJc w:val="left"/>
      <w:pPr>
        <w:ind w:left="6109" w:hanging="360"/>
      </w:pPr>
    </w:lvl>
    <w:lvl w:ilvl="8">
      <w:start w:val="1"/>
      <w:numFmt w:val="lowerRoman"/>
      <w:lvlText w:val="%9."/>
      <w:lvlJc w:val="right"/>
      <w:pPr>
        <w:ind w:left="6829" w:hanging="180"/>
      </w:pPr>
    </w:lvl>
  </w:abstractNum>
  <w:abstractNum w:abstractNumId="10" w15:restartNumberingAfterBreak="0">
    <w:nsid w:val="7B472A4F"/>
    <w:multiLevelType w:val="multilevel"/>
    <w:tmpl w:val="72D493C8"/>
    <w:lvl w:ilvl="0">
      <w:start w:val="1"/>
      <w:numFmt w:val="decimal"/>
      <w:lvlText w:val="%1."/>
      <w:lvlJc w:val="left"/>
      <w:pPr>
        <w:ind w:left="644" w:hanging="358"/>
      </w:pPr>
      <w:rPr>
        <w:rFonts w:ascii="Palatino Linotype" w:eastAsia="Palatino Linotype" w:hAnsi="Palatino Linotype" w:cs="Palatino Linotype"/>
        <w:b/>
        <w:i w:val="0"/>
        <w:color w:val="000000"/>
        <w:sz w:val="24"/>
        <w:szCs w:val="24"/>
      </w:rPr>
    </w:lvl>
    <w:lvl w:ilvl="1">
      <w:start w:val="1"/>
      <w:numFmt w:val="upperRoman"/>
      <w:lvlText w:val="%2."/>
      <w:lvlJc w:val="right"/>
      <w:pPr>
        <w:ind w:left="7525" w:hanging="720"/>
      </w:pPr>
      <w:rPr>
        <w:b w:val="0"/>
      </w:rPr>
    </w:lvl>
    <w:lvl w:ilvl="2">
      <w:start w:val="4"/>
      <w:numFmt w:val="lowerLetter"/>
      <w:lvlText w:val="%3)"/>
      <w:lvlJc w:val="left"/>
      <w:pPr>
        <w:ind w:left="2340" w:hanging="360"/>
      </w:pPr>
    </w:lvl>
    <w:lvl w:ilvl="3">
      <w:start w:val="1"/>
      <w:numFmt w:val="decimal"/>
      <w:lvlText w:val="%4."/>
      <w:lvlJc w:val="left"/>
      <w:pPr>
        <w:ind w:left="2880" w:hanging="360"/>
      </w:pPr>
    </w:lvl>
    <w:lvl w:ilvl="4">
      <w:start w:val="104"/>
      <w:numFmt w:val="decimal"/>
      <w:lvlText w:val="%5"/>
      <w:lvlJc w:val="left"/>
      <w:pPr>
        <w:ind w:left="3600" w:hanging="360"/>
      </w:pPr>
      <w:rPr>
        <w:b/>
      </w:rPr>
    </w:lvl>
    <w:lvl w:ilvl="5">
      <w:start w:val="1"/>
      <w:numFmt w:val="lowerRoman"/>
      <w:lvlText w:val="%6."/>
      <w:lvlJc w:val="right"/>
      <w:pPr>
        <w:ind w:left="4320" w:hanging="180"/>
      </w:pPr>
    </w:lvl>
    <w:lvl w:ilvl="6">
      <w:start w:val="1"/>
      <w:numFmt w:val="decimal"/>
      <w:lvlText w:val="%7."/>
      <w:lvlJc w:val="left"/>
      <w:pPr>
        <w:ind w:left="5040" w:hanging="360"/>
      </w:pPr>
      <w:rPr>
        <w:b/>
      </w:r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1" w15:restartNumberingAfterBreak="0">
    <w:nsid w:val="7D365117"/>
    <w:multiLevelType w:val="multilevel"/>
    <w:tmpl w:val="297A90C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abstractNumId w:val="6"/>
  </w:num>
  <w:num w:numId="2">
    <w:abstractNumId w:val="11"/>
  </w:num>
  <w:num w:numId="3">
    <w:abstractNumId w:val="4"/>
  </w:num>
  <w:num w:numId="4">
    <w:abstractNumId w:val="3"/>
  </w:num>
  <w:num w:numId="5">
    <w:abstractNumId w:val="2"/>
  </w:num>
  <w:num w:numId="6">
    <w:abstractNumId w:val="9"/>
  </w:num>
  <w:num w:numId="7">
    <w:abstractNumId w:val="0"/>
  </w:num>
  <w:num w:numId="8">
    <w:abstractNumId w:val="7"/>
  </w:num>
  <w:num w:numId="9">
    <w:abstractNumId w:val="8"/>
  </w:num>
  <w:num w:numId="10">
    <w:abstractNumId w:val="5"/>
  </w:num>
  <w:num w:numId="11">
    <w:abstractNumId w:val="1"/>
  </w:num>
  <w:num w:numId="1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40"/>
  <w:proofState w:spelling="clean" w:grammar="clean"/>
  <w:defaultTabStop w:val="720"/>
  <w:hyphenationZone w:val="425"/>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B4068"/>
    <w:rsid w:val="000638F7"/>
    <w:rsid w:val="00071966"/>
    <w:rsid w:val="00086AD7"/>
    <w:rsid w:val="000B6FEB"/>
    <w:rsid w:val="0012746E"/>
    <w:rsid w:val="001345D4"/>
    <w:rsid w:val="00144572"/>
    <w:rsid w:val="0028463B"/>
    <w:rsid w:val="003521B8"/>
    <w:rsid w:val="00364C93"/>
    <w:rsid w:val="00386289"/>
    <w:rsid w:val="004A6CAE"/>
    <w:rsid w:val="005B29FF"/>
    <w:rsid w:val="005C7215"/>
    <w:rsid w:val="006B4068"/>
    <w:rsid w:val="0070098B"/>
    <w:rsid w:val="00862A68"/>
    <w:rsid w:val="0091576B"/>
    <w:rsid w:val="009642D3"/>
    <w:rsid w:val="009D196F"/>
    <w:rsid w:val="009D3F2F"/>
    <w:rsid w:val="00A46883"/>
    <w:rsid w:val="00C048A8"/>
    <w:rsid w:val="00CB431B"/>
    <w:rsid w:val="00CF6ED4"/>
    <w:rsid w:val="00D6701A"/>
    <w:rsid w:val="00D94593"/>
    <w:rsid w:val="00E072F7"/>
    <w:rsid w:val="00E12D2C"/>
    <w:rsid w:val="00E12FDF"/>
    <w:rsid w:val="00EE2ED8"/>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5:docId w15:val="{81761247-48AB-455C-8D6C-23E2512A8F3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s-MX" w:eastAsia="es-MX"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44613"/>
  </w:style>
  <w:style w:type="paragraph" w:styleId="Ttulo1">
    <w:name w:val="heading 1"/>
    <w:basedOn w:val="Normal"/>
    <w:next w:val="Normal"/>
    <w:link w:val="Ttulo1Car"/>
    <w:uiPriority w:val="9"/>
    <w:qFormat/>
    <w:rsid w:val="00275D1B"/>
    <w:pPr>
      <w:keepNext/>
      <w:keepLines/>
      <w:spacing w:before="240" w:line="259" w:lineRule="auto"/>
      <w:outlineLvl w:val="0"/>
    </w:pPr>
    <w:rPr>
      <w:rFonts w:ascii="Palatino Linotype" w:eastAsiaTheme="majorEastAsia" w:hAnsi="Palatino Linotype" w:cstheme="majorBidi"/>
      <w:b/>
      <w:szCs w:val="32"/>
      <w:lang w:eastAsia="en-US"/>
    </w:rPr>
  </w:style>
  <w:style w:type="paragraph" w:styleId="Ttulo2">
    <w:name w:val="heading 2"/>
    <w:basedOn w:val="Normal"/>
    <w:next w:val="Normal"/>
    <w:link w:val="Ttulo2Car"/>
    <w:uiPriority w:val="9"/>
    <w:unhideWhenUsed/>
    <w:qFormat/>
    <w:rsid w:val="00275D1B"/>
    <w:pPr>
      <w:keepNext/>
      <w:keepLines/>
      <w:spacing w:before="40" w:line="259" w:lineRule="auto"/>
      <w:outlineLvl w:val="1"/>
    </w:pPr>
    <w:rPr>
      <w:rFonts w:asciiTheme="majorHAnsi" w:eastAsiaTheme="majorEastAsia" w:hAnsiTheme="majorHAnsi" w:cstheme="majorBidi"/>
      <w:color w:val="2E74B5" w:themeColor="accent1" w:themeShade="BF"/>
      <w:sz w:val="26"/>
      <w:szCs w:val="26"/>
      <w:lang w:eastAsia="en-US"/>
    </w:rPr>
  </w:style>
  <w:style w:type="paragraph" w:styleId="Ttulo3">
    <w:name w:val="heading 3"/>
    <w:basedOn w:val="Normal"/>
    <w:next w:val="Normal"/>
    <w:pPr>
      <w:keepNext/>
      <w:keepLines/>
      <w:spacing w:before="280" w:after="80"/>
      <w:outlineLvl w:val="2"/>
    </w:pPr>
    <w:rPr>
      <w:b/>
      <w:sz w:val="28"/>
      <w:szCs w:val="28"/>
    </w:rPr>
  </w:style>
  <w:style w:type="paragraph" w:styleId="Ttulo4">
    <w:name w:val="heading 4"/>
    <w:basedOn w:val="Normal"/>
    <w:next w:val="Normal"/>
    <w:pPr>
      <w:keepNext/>
      <w:keepLines/>
      <w:spacing w:before="240" w:after="40"/>
      <w:outlineLvl w:val="3"/>
    </w:pPr>
    <w:rPr>
      <w:b/>
    </w:rPr>
  </w:style>
  <w:style w:type="paragraph" w:styleId="Ttulo5">
    <w:name w:val="heading 5"/>
    <w:basedOn w:val="Normal"/>
    <w:next w:val="Normal"/>
    <w:pPr>
      <w:keepNext/>
      <w:keepLines/>
      <w:spacing w:before="220" w:after="40"/>
      <w:outlineLvl w:val="4"/>
    </w:pPr>
    <w:rPr>
      <w:b/>
      <w:sz w:val="22"/>
      <w:szCs w:val="22"/>
    </w:rPr>
  </w:style>
  <w:style w:type="paragraph" w:styleId="Ttulo6">
    <w:name w:val="heading 6"/>
    <w:basedOn w:val="Normal"/>
    <w:next w:val="Normal"/>
    <w:pPr>
      <w:keepNext/>
      <w:keepLines/>
      <w:spacing w:before="200" w:after="40"/>
      <w:outlineLvl w:val="5"/>
    </w:pPr>
    <w:rPr>
      <w:b/>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Puesto">
    <w:name w:val="Title"/>
    <w:basedOn w:val="Normal"/>
    <w:next w:val="Normal"/>
    <w:pPr>
      <w:keepNext/>
      <w:keepLines/>
      <w:spacing w:before="480" w:after="120"/>
    </w:pPr>
    <w:rPr>
      <w:b/>
      <w:sz w:val="72"/>
      <w:szCs w:val="72"/>
    </w:rPr>
  </w:style>
  <w:style w:type="paragraph" w:styleId="Encabezado">
    <w:name w:val="header"/>
    <w:basedOn w:val="Normal"/>
    <w:link w:val="EncabezadoCar"/>
    <w:uiPriority w:val="99"/>
    <w:unhideWhenUsed/>
    <w:rsid w:val="00275D1B"/>
    <w:pPr>
      <w:tabs>
        <w:tab w:val="center" w:pos="4419"/>
        <w:tab w:val="right" w:pos="8838"/>
      </w:tabs>
    </w:pPr>
  </w:style>
  <w:style w:type="character" w:customStyle="1" w:styleId="EncabezadoCar">
    <w:name w:val="Encabezado Car"/>
    <w:basedOn w:val="Fuentedeprrafopredeter"/>
    <w:link w:val="Encabezado"/>
    <w:uiPriority w:val="99"/>
    <w:rsid w:val="00275D1B"/>
    <w:rPr>
      <w:rFonts w:ascii="Times New Roman" w:eastAsia="Times New Roman" w:hAnsi="Times New Roman" w:cs="Times New Roman"/>
      <w:sz w:val="24"/>
      <w:szCs w:val="24"/>
      <w:lang w:val="es-MX" w:eastAsia="es-MX"/>
    </w:rPr>
  </w:style>
  <w:style w:type="paragraph" w:styleId="Piedepgina">
    <w:name w:val="footer"/>
    <w:basedOn w:val="Normal"/>
    <w:link w:val="PiedepginaCar"/>
    <w:uiPriority w:val="99"/>
    <w:unhideWhenUsed/>
    <w:rsid w:val="00275D1B"/>
    <w:pPr>
      <w:tabs>
        <w:tab w:val="center" w:pos="4419"/>
        <w:tab w:val="right" w:pos="8838"/>
      </w:tabs>
    </w:pPr>
  </w:style>
  <w:style w:type="character" w:customStyle="1" w:styleId="PiedepginaCar">
    <w:name w:val="Pie de página Car"/>
    <w:basedOn w:val="Fuentedeprrafopredeter"/>
    <w:link w:val="Piedepgina"/>
    <w:uiPriority w:val="99"/>
    <w:rsid w:val="00275D1B"/>
    <w:rPr>
      <w:rFonts w:ascii="Times New Roman" w:eastAsia="Times New Roman" w:hAnsi="Times New Roman" w:cs="Times New Roman"/>
      <w:sz w:val="24"/>
      <w:szCs w:val="24"/>
      <w:lang w:val="es-MX" w:eastAsia="es-MX"/>
    </w:rPr>
  </w:style>
  <w:style w:type="paragraph" w:styleId="Prrafodelista">
    <w:name w:val="List Paragraph"/>
    <w:aliases w:val="lp1,List Paragraph1,Lista de nivel 1,4 Párrafo de lista,Figuras,Dot pt,No Spacing1,List Paragraph Char Char Char,Indicator Text,Numbered Para 1,DH1,Listas,Light Grid - Accent 31,Colorful List - Accent 11,Bullet 1,F5 List Paragraph,5.9.1"/>
    <w:basedOn w:val="Normal"/>
    <w:link w:val="PrrafodelistaCar"/>
    <w:uiPriority w:val="34"/>
    <w:qFormat/>
    <w:rsid w:val="00275D1B"/>
    <w:pPr>
      <w:ind w:left="720"/>
      <w:contextualSpacing/>
    </w:pPr>
    <w:rPr>
      <w:rFonts w:ascii="Century Gothic" w:hAnsi="Century Gothic"/>
      <w:sz w:val="22"/>
    </w:rPr>
  </w:style>
  <w:style w:type="character" w:customStyle="1" w:styleId="PrrafodelistaCar">
    <w:name w:val="Párrafo de lista Car"/>
    <w:aliases w:val="lp1 Car,List Paragraph1 Car,Lista de nivel 1 Car,4 Párrafo de lista Car,Figuras Car,Dot pt Car,No Spacing1 Car,List Paragraph Char Char Char Car,Indicator Text Car,Numbered Para 1 Car,DH1 Car,Listas Car,Light Grid - Accent 31 Car"/>
    <w:link w:val="Prrafodelista"/>
    <w:uiPriority w:val="34"/>
    <w:qFormat/>
    <w:rsid w:val="00275D1B"/>
    <w:rPr>
      <w:rFonts w:ascii="Century Gothic" w:eastAsia="Times New Roman" w:hAnsi="Century Gothic" w:cs="Times New Roman"/>
      <w:szCs w:val="24"/>
      <w:lang w:val="es-MX" w:eastAsia="es-MX"/>
    </w:rPr>
  </w:style>
  <w:style w:type="character" w:styleId="Hipervnculo">
    <w:name w:val="Hyperlink"/>
    <w:aliases w:val="Hipervínculo1,Hipervínculo11,Hipervínculo12,Hipervínculo13,Hipervínculo14,Hipervínculo15"/>
    <w:uiPriority w:val="99"/>
    <w:unhideWhenUsed/>
    <w:rsid w:val="00275D1B"/>
    <w:rPr>
      <w:color w:val="0563C1"/>
      <w:u w:val="single"/>
    </w:rPr>
  </w:style>
  <w:style w:type="paragraph" w:customStyle="1" w:styleId="Default">
    <w:name w:val="Default"/>
    <w:rsid w:val="00275D1B"/>
    <w:pPr>
      <w:autoSpaceDE w:val="0"/>
      <w:autoSpaceDN w:val="0"/>
      <w:adjustRightInd w:val="0"/>
    </w:pPr>
    <w:rPr>
      <w:rFonts w:ascii="Arial" w:hAnsi="Arial" w:cs="Arial"/>
      <w:color w:val="000000"/>
    </w:rPr>
  </w:style>
  <w:style w:type="character" w:customStyle="1" w:styleId="Ttulo1Car">
    <w:name w:val="Título 1 Car"/>
    <w:basedOn w:val="Fuentedeprrafopredeter"/>
    <w:link w:val="Ttulo1"/>
    <w:uiPriority w:val="9"/>
    <w:rsid w:val="00275D1B"/>
    <w:rPr>
      <w:rFonts w:ascii="Palatino Linotype" w:eastAsiaTheme="majorEastAsia" w:hAnsi="Palatino Linotype" w:cstheme="majorBidi"/>
      <w:b/>
      <w:sz w:val="24"/>
      <w:szCs w:val="32"/>
      <w:lang w:val="es-MX"/>
    </w:rPr>
  </w:style>
  <w:style w:type="character" w:customStyle="1" w:styleId="Ttulo2Car">
    <w:name w:val="Título 2 Car"/>
    <w:basedOn w:val="Fuentedeprrafopredeter"/>
    <w:link w:val="Ttulo2"/>
    <w:uiPriority w:val="9"/>
    <w:rsid w:val="00275D1B"/>
    <w:rPr>
      <w:rFonts w:asciiTheme="majorHAnsi" w:eastAsiaTheme="majorEastAsia" w:hAnsiTheme="majorHAnsi" w:cstheme="majorBidi"/>
      <w:color w:val="2E74B5" w:themeColor="accent1" w:themeShade="BF"/>
      <w:sz w:val="26"/>
      <w:szCs w:val="26"/>
      <w:lang w:val="es-MX"/>
    </w:rPr>
  </w:style>
  <w:style w:type="paragraph" w:styleId="TDC1">
    <w:name w:val="toc 1"/>
    <w:basedOn w:val="Normal"/>
    <w:next w:val="Normal"/>
    <w:autoRedefine/>
    <w:uiPriority w:val="39"/>
    <w:unhideWhenUsed/>
    <w:rsid w:val="00275D1B"/>
    <w:pPr>
      <w:spacing w:after="100"/>
    </w:pPr>
    <w:rPr>
      <w:rFonts w:asciiTheme="minorHAnsi" w:eastAsiaTheme="minorEastAsia" w:hAnsiTheme="minorHAnsi" w:cstheme="minorBidi"/>
      <w:lang w:val="es-ES_tradnl" w:eastAsia="es-ES"/>
    </w:rPr>
  </w:style>
  <w:style w:type="paragraph" w:styleId="TDC2">
    <w:name w:val="toc 2"/>
    <w:basedOn w:val="Normal"/>
    <w:next w:val="Normal"/>
    <w:autoRedefine/>
    <w:uiPriority w:val="39"/>
    <w:unhideWhenUsed/>
    <w:rsid w:val="00275D1B"/>
    <w:pPr>
      <w:tabs>
        <w:tab w:val="left" w:pos="567"/>
        <w:tab w:val="right" w:leader="dot" w:pos="8779"/>
      </w:tabs>
      <w:spacing w:after="100"/>
      <w:ind w:left="142"/>
    </w:pPr>
    <w:rPr>
      <w:rFonts w:asciiTheme="minorHAnsi" w:eastAsiaTheme="minorEastAsia" w:hAnsiTheme="minorHAnsi" w:cstheme="minorBidi"/>
      <w:lang w:val="es-ES_tradnl" w:eastAsia="es-ES"/>
    </w:rPr>
  </w:style>
  <w:style w:type="paragraph" w:styleId="TtulodeTDC">
    <w:name w:val="TOC Heading"/>
    <w:basedOn w:val="Ttulo1"/>
    <w:next w:val="Normal"/>
    <w:uiPriority w:val="39"/>
    <w:unhideWhenUsed/>
    <w:qFormat/>
    <w:rsid w:val="00275D1B"/>
    <w:pPr>
      <w:outlineLvl w:val="9"/>
    </w:pPr>
    <w:rPr>
      <w:lang w:eastAsia="es-MX"/>
    </w:rPr>
  </w:style>
  <w:style w:type="character" w:styleId="Refdenotaalpie">
    <w:name w:val="footnote reference"/>
    <w:aliases w:val="Footnotes refss,Texto de nota al pie,Ref. de nota al pie 2,Appel note de bas de page,referencia nota al pie,BVI fnr,Footnote number,4_G,16 Point,Superscript 6 Point,Texto nota al pie,Footnote Reference Char3,Ref,de nota al pie,註腳內容,f"/>
    <w:basedOn w:val="Fuentedeprrafopredeter"/>
    <w:uiPriority w:val="99"/>
    <w:unhideWhenUsed/>
    <w:qFormat/>
    <w:rsid w:val="00275D1B"/>
    <w:rPr>
      <w:vertAlign w:val="superscript"/>
    </w:rPr>
  </w:style>
  <w:style w:type="paragraph" w:styleId="Textonotapie">
    <w:name w:val="footnote text"/>
    <w:aliases w:val="Footnote Text Char Char Char Char Char,Footnote Text Char Char Char Char,Footnote reference,FA Fu,Footnote Text Char Char Char,Footnote Text Cha,FA Fußnotentext,FA Fu?notentext,Footnote Text Char Char,FA Fuﬂnotentext,Ca,FA Fu?notente,ADB"/>
    <w:basedOn w:val="Normal"/>
    <w:link w:val="TextonotapieCar"/>
    <w:uiPriority w:val="99"/>
    <w:unhideWhenUsed/>
    <w:qFormat/>
    <w:rsid w:val="00275D1B"/>
    <w:rPr>
      <w:rFonts w:asciiTheme="minorHAnsi" w:eastAsiaTheme="minorEastAsia" w:hAnsiTheme="minorHAnsi" w:cstheme="minorBidi"/>
      <w:sz w:val="20"/>
      <w:szCs w:val="20"/>
      <w:lang w:val="es-ES_tradnl" w:eastAsia="es-ES"/>
    </w:rPr>
  </w:style>
  <w:style w:type="character" w:customStyle="1" w:styleId="TextonotapieCar">
    <w:name w:val="Texto nota pie Car"/>
    <w:aliases w:val="Footnote Text Char Char Char Char Char Car,Footnote Text Char Char Char Char Car,Footnote reference Car,FA Fu Car,Footnote Text Char Char Char Car,Footnote Text Cha Car,FA Fußnotentext Car,FA Fu?notentext Car,FA Fuﬂnotentext Car"/>
    <w:basedOn w:val="Fuentedeprrafopredeter"/>
    <w:link w:val="Textonotapie"/>
    <w:uiPriority w:val="99"/>
    <w:qFormat/>
    <w:rsid w:val="00275D1B"/>
    <w:rPr>
      <w:rFonts w:eastAsiaTheme="minorEastAsia"/>
      <w:sz w:val="20"/>
      <w:szCs w:val="20"/>
      <w:lang w:val="es-ES_tradnl" w:eastAsia="es-ES"/>
    </w:rPr>
  </w:style>
  <w:style w:type="character" w:styleId="Hipervnculovisitado">
    <w:name w:val="FollowedHyperlink"/>
    <w:basedOn w:val="Fuentedeprrafopredeter"/>
    <w:uiPriority w:val="99"/>
    <w:semiHidden/>
    <w:unhideWhenUsed/>
    <w:rsid w:val="000A5156"/>
    <w:rPr>
      <w:color w:val="954F72" w:themeColor="followedHyperlink"/>
      <w:u w:val="single"/>
    </w:rPr>
  </w:style>
  <w:style w:type="table" w:styleId="Tablaconcuadrcula">
    <w:name w:val="Table Grid"/>
    <w:basedOn w:val="Tablanormal"/>
    <w:uiPriority w:val="39"/>
    <w:qFormat/>
    <w:rsid w:val="00383A1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1609377113336227858gmail-msonormal">
    <w:name w:val="m_1609377113336227858gmail-msonormal"/>
    <w:basedOn w:val="Normal"/>
    <w:rsid w:val="00EB767C"/>
    <w:pPr>
      <w:spacing w:before="100" w:beforeAutospacing="1" w:after="100" w:afterAutospacing="1"/>
    </w:pPr>
    <w:rPr>
      <w:lang w:val="es-ES" w:eastAsia="es-ES"/>
    </w:rPr>
  </w:style>
  <w:style w:type="paragraph" w:styleId="Sinespaciado">
    <w:name w:val="No Spacing"/>
    <w:aliases w:val="Francesa,INAI"/>
    <w:link w:val="SinespaciadoCar"/>
    <w:rsid w:val="005F09F9"/>
    <w:rPr>
      <w:lang w:eastAsia="es-ES"/>
    </w:rPr>
  </w:style>
  <w:style w:type="character" w:customStyle="1" w:styleId="SinespaciadoCar">
    <w:name w:val="Sin espaciado Car"/>
    <w:aliases w:val="Francesa Car,INAI Car"/>
    <w:link w:val="Sinespaciado"/>
    <w:locked/>
    <w:rsid w:val="005F09F9"/>
    <w:rPr>
      <w:rFonts w:ascii="Times New Roman" w:eastAsia="Times New Roman" w:hAnsi="Times New Roman" w:cs="Times New Roman"/>
      <w:sz w:val="24"/>
      <w:szCs w:val="24"/>
      <w:lang w:val="es-MX" w:eastAsia="es-ES"/>
    </w:rPr>
  </w:style>
  <w:style w:type="paragraph" w:customStyle="1" w:styleId="Fundamentos">
    <w:name w:val="Fundamentos"/>
    <w:basedOn w:val="Normal"/>
    <w:qFormat/>
    <w:rsid w:val="005F09F9"/>
    <w:pPr>
      <w:pBdr>
        <w:top w:val="nil"/>
        <w:left w:val="nil"/>
        <w:bottom w:val="nil"/>
        <w:right w:val="nil"/>
        <w:between w:val="nil"/>
      </w:pBdr>
      <w:ind w:left="567" w:right="567"/>
      <w:contextualSpacing/>
      <w:jc w:val="both"/>
    </w:pPr>
    <w:rPr>
      <w:rFonts w:ascii="Palatino Linotype" w:eastAsia="Palatino Linotype" w:hAnsi="Palatino Linotype" w:cs="Palatino Linotype"/>
      <w:i/>
      <w:color w:val="000000"/>
      <w:sz w:val="22"/>
      <w:lang w:val="es-ES_tradnl"/>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table" w:customStyle="1" w:styleId="a2">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png"/><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header" Target="header3.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9.jpeg"/></Relationships>
</file>

<file path=word/_rels/header2.xml.rels><?xml version="1.0" encoding="UTF-8" standalone="yes"?>
<Relationships xmlns="http://schemas.openxmlformats.org/package/2006/relationships"><Relationship Id="rId1" Type="http://schemas.openxmlformats.org/officeDocument/2006/relationships/image" Target="media/image9.jpeg"/></Relationships>
</file>

<file path=word/_rels/header3.xml.rels><?xml version="1.0" encoding="UTF-8" standalone="yes"?>
<Relationships xmlns="http://schemas.openxmlformats.org/package/2006/relationships"><Relationship Id="rId1"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hYduberm43JMn8ntQbZIMdbPcSKQ==">CgMxLjAyCGguZ2pkZ3hzMgloLjMwajB6bGwyCWguMWZvYjl0ZTIJaC4zem55c2g3MgloLjJldDkycDAyCGgudHlqY3d0MgloLjNkeTZ2a20yCWguMXQzaDVzZjIJaC40ZDM0b2c4MgloLjJzOGV5bzE4AHIhMUZTaVZWZDVud2REbVlhbFpZVExUTEVfbnd0a3hjemV5</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29</TotalTime>
  <Pages>25</Pages>
  <Words>4694</Words>
  <Characters>25817</Characters>
  <Application>Microsoft Office Word</Application>
  <DocSecurity>0</DocSecurity>
  <Lines>215</Lines>
  <Paragraphs>60</Paragraphs>
  <ScaleCrop>false</ScaleCrop>
  <HeadingPairs>
    <vt:vector size="2" baseType="variant">
      <vt:variant>
        <vt:lpstr>Título</vt:lpstr>
      </vt:variant>
      <vt:variant>
        <vt:i4>1</vt:i4>
      </vt:variant>
    </vt:vector>
  </HeadingPairs>
  <TitlesOfParts>
    <vt:vector size="1" baseType="lpstr">
      <vt:lpstr/>
    </vt:vector>
  </TitlesOfParts>
  <Company>HP Inc.</Company>
  <LinksUpToDate>false</LinksUpToDate>
  <CharactersWithSpaces>30451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INFOEM403</cp:lastModifiedBy>
  <cp:revision>6</cp:revision>
  <dcterms:created xsi:type="dcterms:W3CDTF">2024-12-17T16:56:00Z</dcterms:created>
  <dcterms:modified xsi:type="dcterms:W3CDTF">2025-01-31T19:36:00Z</dcterms:modified>
</cp:coreProperties>
</file>